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89A4D0" w14:textId="5D955503" w:rsidR="00677EE6" w:rsidRDefault="00E82958" w:rsidP="00E82958">
      <w:pPr>
        <w:pStyle w:val="Pagedecouverture"/>
        <w:rPr>
          <w:noProof/>
        </w:rPr>
      </w:pPr>
      <w:r>
        <w:rPr>
          <w:noProof/>
        </w:rPr>
        <w:pict w14:anchorId="1BD390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1E026365-D441-4615-8612-C433F73BAF88" style="width:455.25pt;height:399pt">
            <v:imagedata r:id="rId11" o:title=""/>
          </v:shape>
        </w:pict>
      </w:r>
    </w:p>
    <w:p w14:paraId="1E849954" w14:textId="77777777" w:rsidR="003B3D45" w:rsidRDefault="003B3D45" w:rsidP="003B3D45">
      <w:pPr>
        <w:rPr>
          <w:noProof/>
        </w:rPr>
        <w:sectPr w:rsidR="003B3D45" w:rsidSect="00E82958">
          <w:footerReference w:type="even" r:id="rId12"/>
          <w:footerReference w:type="default" r:id="rId13"/>
          <w:pgSz w:w="11907" w:h="16839"/>
          <w:pgMar w:top="1134" w:right="1417" w:bottom="1134" w:left="1417" w:header="709" w:footer="709" w:gutter="0"/>
          <w:pgNumType w:start="0"/>
          <w:cols w:space="720"/>
          <w:docGrid w:linePitch="360"/>
        </w:sectPr>
      </w:pPr>
    </w:p>
    <w:p w14:paraId="5FFAF638" w14:textId="77777777" w:rsidR="007C06DB" w:rsidRPr="00744DCA" w:rsidRDefault="007C06DB">
      <w:pPr>
        <w:pStyle w:val="Exposdesmotifstitre"/>
        <w:rPr>
          <w:noProof/>
        </w:rPr>
      </w:pPr>
      <w:bookmarkStart w:id="0" w:name="_GoBack"/>
      <w:bookmarkEnd w:id="0"/>
      <w:r w:rsidRPr="00744DCA">
        <w:rPr>
          <w:noProof/>
        </w:rPr>
        <w:lastRenderedPageBreak/>
        <w:t>EXPLANATORY MEMORANDUM</w:t>
      </w:r>
    </w:p>
    <w:p w14:paraId="39C49FDB" w14:textId="77777777" w:rsidR="007C06DB" w:rsidRPr="00744DCA" w:rsidRDefault="007C06DB">
      <w:pPr>
        <w:pStyle w:val="ManualHeading1"/>
        <w:rPr>
          <w:noProof/>
        </w:rPr>
      </w:pPr>
      <w:r w:rsidRPr="00744DCA">
        <w:rPr>
          <w:noProof/>
        </w:rPr>
        <w:t>1.</w:t>
      </w:r>
      <w:r w:rsidRPr="00744DCA">
        <w:rPr>
          <w:noProof/>
        </w:rPr>
        <w:tab/>
        <w:t>CONTEXT OF THE PROPOSAL</w:t>
      </w:r>
    </w:p>
    <w:p w14:paraId="47356269" w14:textId="77777777" w:rsidR="007C06DB" w:rsidRPr="00744DCA" w:rsidRDefault="007C06DB">
      <w:pPr>
        <w:pStyle w:val="ManualHeading2"/>
        <w:rPr>
          <w:rFonts w:eastAsia="Arial Unicode MS"/>
          <w:noProof/>
        </w:rPr>
      </w:pPr>
      <w:r w:rsidRPr="00744DCA">
        <w:rPr>
          <w:rFonts w:eastAsia="Arial Unicode MS"/>
          <w:noProof/>
          <w:color w:val="000000"/>
          <w:u w:color="000000"/>
          <w:bdr w:val="nil"/>
          <w:lang w:val="en-US" w:eastAsia="en-GB"/>
        </w:rPr>
        <w:t>•</w:t>
      </w:r>
      <w:r w:rsidRPr="00744DCA">
        <w:rPr>
          <w:rFonts w:eastAsia="Arial Unicode MS"/>
          <w:noProof/>
          <w:color w:val="000000"/>
          <w:u w:color="000000"/>
          <w:bdr w:val="nil"/>
          <w:lang w:val="en-US" w:eastAsia="en-GB"/>
        </w:rPr>
        <w:tab/>
      </w:r>
      <w:r w:rsidRPr="00744DCA">
        <w:rPr>
          <w:rFonts w:eastAsia="Arial Unicode MS"/>
          <w:noProof/>
        </w:rPr>
        <w:t>Reasons for and objectives of the proposal</w:t>
      </w:r>
    </w:p>
    <w:p w14:paraId="660D256B" w14:textId="77777777" w:rsidR="007C06DB" w:rsidRPr="00744DCA" w:rsidRDefault="076B5C2F" w:rsidP="77F4BA51">
      <w:pPr>
        <w:keepNext/>
        <w:outlineLvl w:val="1"/>
        <w:rPr>
          <w:rFonts w:eastAsia="Times New Roman"/>
          <w:noProof/>
          <w:lang w:val="en-US"/>
        </w:rPr>
      </w:pPr>
      <w:r w:rsidRPr="00744DCA">
        <w:rPr>
          <w:rFonts w:eastAsia="Times New Roman"/>
          <w:noProof/>
          <w:lang w:val="en-US"/>
        </w:rPr>
        <w:t xml:space="preserve">On 24 February 2022, Russia launched a full-scale military invasion of Ukraine, with devastating consequences for Ukraine and its people. Two years of intense fighting, heavy artillery shelling and airstrikes have resulted in high numbers of civilian casualties and immense human suffering. Russia’s war of aggression has caused extensive damage to civilian and defence critical infrastructure, production capacities and services across Ukraine and the wholesale destruction of cities and towns in some parts of the country. The resulting humanitarian crisis has displaced millions of Ukrainians from their homes and left many in desperate need of food, shelter and medical assistance. To this day, Russian aerial strikes continue to attack targets throughout the country. It will take years, if not decades, to heal the trauma of this senseless war. </w:t>
      </w:r>
      <w:r w:rsidR="69B5894E" w:rsidRPr="00744DCA">
        <w:rPr>
          <w:rFonts w:eastAsia="Times New Roman"/>
          <w:noProof/>
          <w:lang w:val="en-US"/>
        </w:rPr>
        <w:t xml:space="preserve">The EU supports Ukraine’s independence, sovereignty and territorial integrity within its internationally recognised borders, its inherent right of self-defence, and its pursuit of a comprehensive, just and sustainable peace in line with international law and the UN Charter. Russia’s war of aggression against Ukraine poses a fundamental threat not only to Ukraine but also to the European and global security. The EU’s contribution to Ukraine’s self-defence is a crucial investment in the EU’s own security. In this vein, the European Union and Member States will contribute, together with partners, to future security commitments to Ukraine, which will help Ukraine to defend itself, resist destabilization efforts and deter acts of aggression in the future. </w:t>
      </w:r>
      <w:r w:rsidRPr="00744DCA">
        <w:rPr>
          <w:rFonts w:eastAsia="Times New Roman"/>
          <w:noProof/>
          <w:lang w:val="en-US"/>
        </w:rPr>
        <w:t xml:space="preserve">There is no defence without </w:t>
      </w:r>
      <w:r w:rsidR="67CAC7BB" w:rsidRPr="00744DCA">
        <w:rPr>
          <w:rFonts w:eastAsia="Times New Roman"/>
          <w:noProof/>
          <w:lang w:val="en-US"/>
        </w:rPr>
        <w:t xml:space="preserve">a </w:t>
      </w:r>
      <w:r w:rsidRPr="00744DCA">
        <w:rPr>
          <w:rFonts w:eastAsia="Times New Roman"/>
          <w:noProof/>
          <w:lang w:val="en-US"/>
        </w:rPr>
        <w:t>defence industry. Ukraine is heavily dependen</w:t>
      </w:r>
      <w:r w:rsidR="1D30D411" w:rsidRPr="00744DCA">
        <w:rPr>
          <w:rFonts w:eastAsia="Times New Roman"/>
          <w:noProof/>
          <w:lang w:val="en-US"/>
        </w:rPr>
        <w:t>t</w:t>
      </w:r>
      <w:r w:rsidRPr="00744DCA">
        <w:rPr>
          <w:rFonts w:eastAsia="Times New Roman"/>
          <w:noProof/>
          <w:lang w:val="en-US"/>
        </w:rPr>
        <w:t xml:space="preserve"> on military support made available by the EU and its Member States, including due to its largely destroyed defence industrial base. </w:t>
      </w:r>
    </w:p>
    <w:p w14:paraId="21615A75" w14:textId="77777777" w:rsidR="007C06DB" w:rsidRPr="00744DCA" w:rsidRDefault="007C06DB" w:rsidP="007C06DB">
      <w:pPr>
        <w:keepNext/>
        <w:outlineLvl w:val="1"/>
        <w:rPr>
          <w:rFonts w:eastAsia="Times New Roman"/>
          <w:noProof/>
          <w:szCs w:val="24"/>
          <w:lang w:val="en-US"/>
        </w:rPr>
      </w:pPr>
      <w:r w:rsidRPr="00744DCA">
        <w:rPr>
          <w:rFonts w:eastAsia="Times New Roman"/>
          <w:noProof/>
          <w:szCs w:val="24"/>
          <w:lang w:val="en-US"/>
        </w:rPr>
        <w:t xml:space="preserve">Russia’s military aggression against Ukraine has marked the dramatic return of territorial conflict and high-intensity warfare on European soil. The production capacity of the European Defence Technological and Industrial Base (EDTIB) has been tailored to respond primarily to limited Member States needs, mostly along national dividing lines, due to decades of public underinvestment. In such a scenario, defence companies often faced the need to reduce production rates in order to keep production lines afloat and maintain skilled personnel, while producing limited quantity of defence systems for national customers. Today, for many European defence companies the export of defence equipment to non-EU customers is a major </w:t>
      </w:r>
      <w:r w:rsidR="00126BA2" w:rsidRPr="00744DCA" w:rsidDel="00135919">
        <w:rPr>
          <w:rFonts w:eastAsia="Times New Roman"/>
          <w:noProof/>
          <w:szCs w:val="24"/>
          <w:lang w:val="en-US"/>
        </w:rPr>
        <w:t xml:space="preserve"> </w:t>
      </w:r>
      <w:r w:rsidRPr="00744DCA">
        <w:rPr>
          <w:rFonts w:eastAsia="Times New Roman"/>
          <w:noProof/>
          <w:szCs w:val="24"/>
          <w:lang w:val="en-US"/>
        </w:rPr>
        <w:t>market.</w:t>
      </w:r>
    </w:p>
    <w:p w14:paraId="2ED7F327" w14:textId="77777777" w:rsidR="007C06DB" w:rsidRPr="00744DCA" w:rsidRDefault="007C06DB" w:rsidP="007C06DB">
      <w:pPr>
        <w:keepNext/>
        <w:rPr>
          <w:rFonts w:eastAsia="Times New Roman"/>
          <w:noProof/>
          <w:szCs w:val="24"/>
          <w:lang w:val="en-US"/>
        </w:rPr>
      </w:pPr>
      <w:r w:rsidRPr="00744DCA">
        <w:rPr>
          <w:rFonts w:eastAsia="Times New Roman"/>
          <w:noProof/>
          <w:szCs w:val="24"/>
          <w:lang w:val="en-US"/>
        </w:rPr>
        <w:t xml:space="preserve">The surge of demand for certain defence products in Europe caused by the radically changed security environment </w:t>
      </w:r>
      <w:r w:rsidR="008641F8" w:rsidRPr="00744DCA">
        <w:rPr>
          <w:rFonts w:eastAsia="Times New Roman"/>
          <w:noProof/>
          <w:szCs w:val="24"/>
          <w:lang w:val="en-US"/>
        </w:rPr>
        <w:t xml:space="preserve">happened </w:t>
      </w:r>
      <w:r w:rsidRPr="00744DCA">
        <w:rPr>
          <w:rFonts w:eastAsia="Times New Roman"/>
          <w:noProof/>
          <w:szCs w:val="24"/>
          <w:lang w:val="en-US"/>
        </w:rPr>
        <w:t xml:space="preserve">against this backdrop of an EDTIB constrained by limited “peace time” production capacity. On the long run, this situation raises the question of defence industrial readiness in Europe, i.e. the capacity of the EDTIB to respond effectively (in time and scale) to changes in European demand for defence products. This is closely linked to the broader challenge of security of supply (SoS) of defence equipment in Europe. Although this topic is not new to </w:t>
      </w:r>
      <w:r w:rsidR="00E85F5A" w:rsidRPr="00744DCA">
        <w:rPr>
          <w:rFonts w:eastAsia="Times New Roman"/>
          <w:noProof/>
          <w:szCs w:val="24"/>
          <w:lang w:val="en-US"/>
        </w:rPr>
        <w:t xml:space="preserve">EU </w:t>
      </w:r>
      <w:r w:rsidRPr="00744DCA">
        <w:rPr>
          <w:rFonts w:eastAsia="Times New Roman"/>
          <w:noProof/>
          <w:szCs w:val="24"/>
          <w:lang w:val="en-US"/>
        </w:rPr>
        <w:t>Member States, the recent ammunition plan has put it in the spotlight, by raising the question of the EDTIB’s ability to ensure Europe’s SoS of defence equipment both in peace and war times.</w:t>
      </w:r>
    </w:p>
    <w:p w14:paraId="2D97DEEF" w14:textId="77777777" w:rsidR="007C06DB" w:rsidRPr="00744DCA" w:rsidRDefault="076B5C2F" w:rsidP="77F4BA51">
      <w:pPr>
        <w:rPr>
          <w:rFonts w:eastAsia="Times New Roman"/>
          <w:noProof/>
          <w:lang w:val="en-US"/>
        </w:rPr>
      </w:pPr>
      <w:r w:rsidRPr="00744DCA">
        <w:rPr>
          <w:rFonts w:eastAsia="Times New Roman"/>
          <w:noProof/>
          <w:lang w:val="en-US"/>
        </w:rPr>
        <w:t xml:space="preserve">Following the outbreak of the war and the invitation of the Versailles declaration of March 2022, in </w:t>
      </w:r>
      <w:r w:rsidR="2E110F66" w:rsidRPr="00744DCA">
        <w:rPr>
          <w:rFonts w:eastAsia="Times New Roman"/>
          <w:noProof/>
          <w:lang w:val="en-US"/>
        </w:rPr>
        <w:t>M</w:t>
      </w:r>
      <w:r w:rsidRPr="00744DCA">
        <w:rPr>
          <w:rFonts w:eastAsia="Times New Roman"/>
          <w:noProof/>
          <w:lang w:val="en-US"/>
        </w:rPr>
        <w:t>ay 2022, the Commission, and the High Representative</w:t>
      </w:r>
      <w:r w:rsidR="7D2BBE15" w:rsidRPr="00744DCA">
        <w:rPr>
          <w:rFonts w:asciiTheme="minorHAnsi" w:hAnsiTheme="minorHAnsi" w:cstheme="minorBidi"/>
          <w:noProof/>
          <w:color w:val="FF0000"/>
          <w:sz w:val="28"/>
          <w:szCs w:val="28"/>
          <w:lang w:val="en-IE"/>
        </w:rPr>
        <w:t xml:space="preserve"> </w:t>
      </w:r>
      <w:r w:rsidR="7D2BBE15" w:rsidRPr="00744DCA">
        <w:rPr>
          <w:rFonts w:eastAsia="Times New Roman"/>
          <w:noProof/>
          <w:lang w:val="en-IE"/>
        </w:rPr>
        <w:t>of the Union for Foreign Affairs and Security Policy (“the High Representative”)</w:t>
      </w:r>
      <w:r w:rsidRPr="00744DCA">
        <w:rPr>
          <w:rFonts w:eastAsia="Times New Roman"/>
          <w:noProof/>
          <w:lang w:val="en-US"/>
        </w:rPr>
        <w:t xml:space="preserve">/Head of </w:t>
      </w:r>
      <w:r w:rsidR="02764C25" w:rsidRPr="00744DCA">
        <w:rPr>
          <w:rFonts w:eastAsia="Times New Roman"/>
          <w:noProof/>
          <w:lang w:val="en-US"/>
        </w:rPr>
        <w:t xml:space="preserve">the European Defence </w:t>
      </w:r>
      <w:r w:rsidRPr="00744DCA">
        <w:rPr>
          <w:rFonts w:eastAsia="Times New Roman"/>
          <w:noProof/>
          <w:lang w:val="en-US"/>
        </w:rPr>
        <w:t xml:space="preserve">Agency </w:t>
      </w:r>
      <w:r w:rsidR="585AF90C" w:rsidRPr="00744DCA">
        <w:rPr>
          <w:rFonts w:eastAsia="Times New Roman"/>
          <w:noProof/>
          <w:lang w:val="en-US"/>
        </w:rPr>
        <w:t xml:space="preserve">(EDA) </w:t>
      </w:r>
      <w:r w:rsidRPr="00744DCA">
        <w:rPr>
          <w:rFonts w:eastAsia="Times New Roman"/>
          <w:noProof/>
          <w:lang w:val="en-US"/>
        </w:rPr>
        <w:t xml:space="preserve">adopted the Joint Communication on Defence Investment Gaps </w:t>
      </w:r>
      <w:r w:rsidR="2FA13EFB" w:rsidRPr="00744DCA">
        <w:rPr>
          <w:rFonts w:eastAsia="Times New Roman"/>
          <w:noProof/>
          <w:lang w:val="en-US"/>
        </w:rPr>
        <w:t>A</w:t>
      </w:r>
      <w:r w:rsidRPr="00744DCA">
        <w:rPr>
          <w:rFonts w:eastAsia="Times New Roman"/>
          <w:noProof/>
          <w:lang w:val="en-US"/>
        </w:rPr>
        <w:t xml:space="preserve">nalysis and </w:t>
      </w:r>
      <w:r w:rsidR="1ED3D797" w:rsidRPr="00744DCA">
        <w:rPr>
          <w:rFonts w:eastAsia="Times New Roman"/>
          <w:noProof/>
          <w:lang w:val="en-US"/>
        </w:rPr>
        <w:t>W</w:t>
      </w:r>
      <w:r w:rsidRPr="00744DCA">
        <w:rPr>
          <w:rFonts w:eastAsia="Times New Roman"/>
          <w:noProof/>
          <w:lang w:val="en-US"/>
        </w:rPr>
        <w:t xml:space="preserve">ay </w:t>
      </w:r>
      <w:r w:rsidR="316BFB94" w:rsidRPr="00744DCA">
        <w:rPr>
          <w:rFonts w:eastAsia="Times New Roman"/>
          <w:noProof/>
          <w:lang w:val="en-US"/>
        </w:rPr>
        <w:t>F</w:t>
      </w:r>
      <w:r w:rsidRPr="00744DCA">
        <w:rPr>
          <w:rFonts w:eastAsia="Times New Roman"/>
          <w:noProof/>
          <w:lang w:val="en-US"/>
        </w:rPr>
        <w:t xml:space="preserve">orward (JOIN/2022/24 final). The </w:t>
      </w:r>
      <w:r w:rsidR="00942B67" w:rsidRPr="00744DCA">
        <w:rPr>
          <w:rFonts w:eastAsia="Times New Roman"/>
          <w:noProof/>
          <w:lang w:val="en-US"/>
        </w:rPr>
        <w:t xml:space="preserve">Joint Communication </w:t>
      </w:r>
      <w:r w:rsidRPr="00744DCA">
        <w:rPr>
          <w:rFonts w:eastAsia="Times New Roman"/>
          <w:noProof/>
          <w:lang w:val="en-US"/>
        </w:rPr>
        <w:t xml:space="preserve">highlighted that the past decades of underinvestment in defence from Member States resulted into both capability and industrial gaps within the Union. </w:t>
      </w:r>
    </w:p>
    <w:p w14:paraId="36504068" w14:textId="77777777" w:rsidR="007C06DB" w:rsidRPr="00744DCA" w:rsidRDefault="007C06DB" w:rsidP="007C06DB">
      <w:pPr>
        <w:rPr>
          <w:rFonts w:eastAsia="Times New Roman"/>
          <w:noProof/>
          <w:szCs w:val="24"/>
          <w:lang w:val="en-US"/>
        </w:rPr>
      </w:pPr>
      <w:r w:rsidRPr="00744DCA">
        <w:rPr>
          <w:rFonts w:eastAsia="Times New Roman"/>
          <w:noProof/>
          <w:szCs w:val="24"/>
          <w:lang w:val="en-US"/>
        </w:rPr>
        <w:t xml:space="preserve">Since the presentation of the Joint Communication of May 2022, several measures have been tabled to react to the most immediate consequences of Russia’s war of aggression against Ukraine:  </w:t>
      </w:r>
    </w:p>
    <w:p w14:paraId="3FC3977E" w14:textId="77777777" w:rsidR="007C06DB" w:rsidRPr="00744DCA" w:rsidRDefault="007C06DB" w:rsidP="00B2056B">
      <w:pPr>
        <w:pStyle w:val="Tiret0"/>
        <w:numPr>
          <w:ilvl w:val="0"/>
          <w:numId w:val="112"/>
        </w:numPr>
        <w:rPr>
          <w:noProof/>
        </w:rPr>
      </w:pPr>
      <w:r w:rsidRPr="00744DCA">
        <w:rPr>
          <w:noProof/>
        </w:rPr>
        <w:t xml:space="preserve">As announced in the Joint Communication of May 2022, the Commission, and the High Representative/Head of Agency established the </w:t>
      </w:r>
      <w:r w:rsidRPr="00744DCA">
        <w:rPr>
          <w:b/>
          <w:bCs/>
          <w:noProof/>
        </w:rPr>
        <w:t>Defence Joint Procurement Task Force</w:t>
      </w:r>
      <w:r w:rsidRPr="00744DCA">
        <w:rPr>
          <w:noProof/>
        </w:rPr>
        <w:t xml:space="preserve"> </w:t>
      </w:r>
      <w:r w:rsidRPr="00744DCA">
        <w:rPr>
          <w:b/>
          <w:bCs/>
          <w:noProof/>
        </w:rPr>
        <w:t xml:space="preserve">(DJPTF) </w:t>
      </w:r>
      <w:r w:rsidRPr="00744DCA">
        <w:rPr>
          <w:noProof/>
        </w:rPr>
        <w:t>to work with Member States to support the coordination of their very short-term procurement needs. The Task Force focused on de-confliction and coordination to avoid a race to secure orders. The Task Force also established an aggregate estimate of needs and mapped and highlight</w:t>
      </w:r>
      <w:r w:rsidR="00044C14" w:rsidRPr="00744DCA">
        <w:rPr>
          <w:noProof/>
        </w:rPr>
        <w:t>ed</w:t>
      </w:r>
      <w:r w:rsidRPr="00744DCA">
        <w:rPr>
          <w:noProof/>
        </w:rPr>
        <w:t xml:space="preserve"> the need for expansion of the EU industrial manufacturing capacities necessary to answer the needs. </w:t>
      </w:r>
    </w:p>
    <w:p w14:paraId="4D97A213" w14:textId="77777777" w:rsidR="007C06DB" w:rsidRPr="00744DCA" w:rsidRDefault="076B5C2F" w:rsidP="00B33FEA">
      <w:pPr>
        <w:pStyle w:val="Tiret0"/>
        <w:rPr>
          <w:noProof/>
        </w:rPr>
      </w:pPr>
      <w:r w:rsidRPr="00744DCA">
        <w:rPr>
          <w:noProof/>
          <w:lang w:val="en-US"/>
        </w:rPr>
        <w:t xml:space="preserve">Also, as announced in the Joint Communication of May 2022, in July 2022 the Commission presented the </w:t>
      </w:r>
      <w:r w:rsidRPr="00744DCA">
        <w:rPr>
          <w:b/>
          <w:bCs/>
          <w:noProof/>
          <w:lang w:val="en-US"/>
        </w:rPr>
        <w:t>European Defence Industrial Reinforcement through common Procurement Act</w:t>
      </w:r>
      <w:r w:rsidRPr="00744DCA">
        <w:rPr>
          <w:noProof/>
          <w:lang w:val="en-US"/>
        </w:rPr>
        <w:t xml:space="preserve"> </w:t>
      </w:r>
      <w:r w:rsidRPr="00744DCA">
        <w:rPr>
          <w:b/>
          <w:bCs/>
          <w:noProof/>
          <w:lang w:val="en-US"/>
        </w:rPr>
        <w:t>(EDIRPA)</w:t>
      </w:r>
      <w:r w:rsidRPr="00744DCA">
        <w:rPr>
          <w:noProof/>
          <w:lang w:val="en-US"/>
        </w:rPr>
        <w:t>, aimed at ince</w:t>
      </w:r>
      <w:r w:rsidR="7922E35B" w:rsidRPr="00744DCA">
        <w:rPr>
          <w:noProof/>
          <w:lang w:val="en-US"/>
        </w:rPr>
        <w:t>n</w:t>
      </w:r>
      <w:r w:rsidRPr="00744DCA">
        <w:rPr>
          <w:noProof/>
          <w:lang w:val="en-US"/>
        </w:rPr>
        <w:t>tivising through financial support, Member States’ cooperation on procurement of the most urgent and critical defence equipment. EDIRPA was adopted by co-legislators on 18 October 2023 and contributes to strengthen the adaptation of Union’s defence industry to structural market changes. EDIRPA will end on 31 December 2025.</w:t>
      </w:r>
    </w:p>
    <w:p w14:paraId="4D31A2EB" w14:textId="77777777" w:rsidR="007C06DB" w:rsidRPr="00744DCA" w:rsidRDefault="076B5C2F" w:rsidP="00B33FEA">
      <w:pPr>
        <w:pStyle w:val="Tiret0"/>
        <w:rPr>
          <w:noProof/>
        </w:rPr>
      </w:pPr>
      <w:r w:rsidRPr="00744DCA">
        <w:rPr>
          <w:noProof/>
          <w:lang w:val="en-US"/>
        </w:rPr>
        <w:t>The capability gaps highlighted by the Joint Communication of May 2022 were various, but in light of the evolution of the situation in Ukraine, a specific pressing need for ground</w:t>
      </w:r>
      <w:r w:rsidR="6990E968" w:rsidRPr="00744DCA">
        <w:rPr>
          <w:noProof/>
          <w:lang w:val="en-US"/>
        </w:rPr>
        <w:t>-</w:t>
      </w:r>
      <w:r w:rsidRPr="00744DCA">
        <w:rPr>
          <w:noProof/>
          <w:lang w:val="en-US"/>
        </w:rPr>
        <w:t>to</w:t>
      </w:r>
      <w:r w:rsidR="0697BFBC" w:rsidRPr="00744DCA">
        <w:rPr>
          <w:noProof/>
          <w:lang w:val="en-US"/>
        </w:rPr>
        <w:t>-</w:t>
      </w:r>
      <w:r w:rsidRPr="00744DCA">
        <w:rPr>
          <w:noProof/>
          <w:lang w:val="en-US"/>
        </w:rPr>
        <w:t>ground ammunition and artillery ammunition, as well as missiles emerged. This  was formally recognised by the Council, which agreed on 20 March 2023 on a three-track approach</w:t>
      </w:r>
      <w:r w:rsidR="3D105381" w:rsidRPr="00744DCA">
        <w:rPr>
          <w:rFonts w:asciiTheme="minorHAnsi" w:hAnsiTheme="minorHAnsi" w:cstheme="minorBidi"/>
          <w:noProof/>
          <w:color w:val="FF0000"/>
          <w:sz w:val="28"/>
          <w:szCs w:val="28"/>
          <w:lang w:val="en-IE"/>
        </w:rPr>
        <w:t xml:space="preserve"> </w:t>
      </w:r>
      <w:r w:rsidR="3D105381" w:rsidRPr="00744DCA">
        <w:rPr>
          <w:noProof/>
          <w:lang w:val="en-IE"/>
        </w:rPr>
        <w:t>for the delivery and joint procurement of ammunition for Ukraine</w:t>
      </w:r>
      <w:r w:rsidRPr="00744DCA">
        <w:rPr>
          <w:noProof/>
          <w:lang w:val="en-US"/>
        </w:rPr>
        <w:t xml:space="preserve">. In this context, in </w:t>
      </w:r>
      <w:r w:rsidR="2E110F66" w:rsidRPr="00744DCA">
        <w:rPr>
          <w:noProof/>
          <w:lang w:val="en-US"/>
        </w:rPr>
        <w:t>M</w:t>
      </w:r>
      <w:r w:rsidRPr="00744DCA">
        <w:rPr>
          <w:noProof/>
          <w:lang w:val="en-US"/>
        </w:rPr>
        <w:t xml:space="preserve">ay 2023 the Commission tabled a new </w:t>
      </w:r>
      <w:r w:rsidR="2E110F66" w:rsidRPr="00744DCA">
        <w:rPr>
          <w:noProof/>
          <w:lang w:val="en-US"/>
        </w:rPr>
        <w:t>proposal for a Regulation</w:t>
      </w:r>
      <w:r w:rsidRPr="00744DCA">
        <w:rPr>
          <w:noProof/>
          <w:lang w:val="en-US"/>
        </w:rPr>
        <w:t xml:space="preserve"> on </w:t>
      </w:r>
      <w:r w:rsidRPr="00744DCA">
        <w:rPr>
          <w:b/>
          <w:bCs/>
          <w:noProof/>
          <w:lang w:val="en-US"/>
        </w:rPr>
        <w:t>supporting ammunition production (ASAP)</w:t>
      </w:r>
      <w:r w:rsidRPr="00744DCA">
        <w:rPr>
          <w:noProof/>
          <w:lang w:val="en-US"/>
        </w:rPr>
        <w:t xml:space="preserve"> to </w:t>
      </w:r>
      <w:r w:rsidRPr="00744DCA">
        <w:rPr>
          <w:noProof/>
        </w:rPr>
        <w:t>face the sudden surge of demand for these products and urgently enable their timely availability, by mobilising EU budget to support investments in the ramp up of the EDTIB’s production capacities in this field. ASAP was adopted by co-legislators on 20 July 2023. It will end on 30 June 2025.</w:t>
      </w:r>
    </w:p>
    <w:p w14:paraId="0444006B" w14:textId="77777777" w:rsidR="007C06DB" w:rsidRPr="00744DCA" w:rsidRDefault="007C06DB" w:rsidP="007C06DB">
      <w:pPr>
        <w:pStyle w:val="paragraph"/>
        <w:spacing w:before="0" w:beforeAutospacing="0" w:after="0" w:afterAutospacing="0"/>
        <w:jc w:val="both"/>
        <w:textAlignment w:val="baseline"/>
        <w:rPr>
          <w:rStyle w:val="normaltextrun"/>
          <w:rFonts w:eastAsiaTheme="majorEastAsia"/>
          <w:noProof/>
        </w:rPr>
      </w:pPr>
    </w:p>
    <w:p w14:paraId="3FD0C3B1" w14:textId="77777777" w:rsidR="007C06DB" w:rsidRPr="00744DCA" w:rsidRDefault="076B5C2F" w:rsidP="77F4BA51">
      <w:pPr>
        <w:pStyle w:val="paragraph"/>
        <w:spacing w:before="0" w:beforeAutospacing="0" w:after="0" w:afterAutospacing="0"/>
        <w:jc w:val="both"/>
        <w:textAlignment w:val="baseline"/>
        <w:rPr>
          <w:noProof/>
        </w:rPr>
      </w:pPr>
      <w:r w:rsidRPr="00744DCA">
        <w:rPr>
          <w:rStyle w:val="normaltextrun"/>
          <w:rFonts w:eastAsiaTheme="majorEastAsia"/>
          <w:noProof/>
        </w:rPr>
        <w:t xml:space="preserve">The unlawful war of Russia </w:t>
      </w:r>
      <w:r w:rsidR="73621B67" w:rsidRPr="00744DCA">
        <w:rPr>
          <w:rStyle w:val="normaltextrun"/>
          <w:rFonts w:eastAsiaTheme="majorEastAsia"/>
          <w:noProof/>
        </w:rPr>
        <w:t xml:space="preserve">against </w:t>
      </w:r>
      <w:r w:rsidRPr="00744DCA">
        <w:rPr>
          <w:rStyle w:val="normaltextrun"/>
          <w:rFonts w:eastAsiaTheme="majorEastAsia"/>
          <w:noProof/>
        </w:rPr>
        <w:t xml:space="preserve">Ukraine not only raised urgent challenges for the EU and its Member States, but its continuation over time also keeps aggravating structural issues affecting the competitiveness of the EDTIB and questions its ability to ensure a sufficient level of SoS to Member States. Hence, the EU now needs to </w:t>
      </w:r>
      <w:r w:rsidRPr="00744DCA">
        <w:rPr>
          <w:rStyle w:val="findhit"/>
          <w:rFonts w:eastAsiaTheme="majorEastAsia"/>
          <w:b/>
          <w:bCs/>
          <w:noProof/>
        </w:rPr>
        <w:t>move from</w:t>
      </w:r>
      <w:r w:rsidRPr="00744DCA">
        <w:rPr>
          <w:rStyle w:val="normaltextrun"/>
          <w:rFonts w:eastAsiaTheme="majorEastAsia"/>
          <w:b/>
          <w:bCs/>
          <w:noProof/>
        </w:rPr>
        <w:t xml:space="preserve"> punctual emergency responses</w:t>
      </w:r>
      <w:r w:rsidRPr="00744DCA">
        <w:rPr>
          <w:rStyle w:val="normaltextrun"/>
          <w:rFonts w:eastAsiaTheme="majorEastAsia"/>
          <w:noProof/>
        </w:rPr>
        <w:t xml:space="preserve"> (illustrated by the above-described measures) </w:t>
      </w:r>
      <w:r w:rsidRPr="00744DCA">
        <w:rPr>
          <w:rStyle w:val="normaltextrun"/>
          <w:rFonts w:eastAsiaTheme="majorEastAsia"/>
          <w:b/>
          <w:bCs/>
          <w:noProof/>
        </w:rPr>
        <w:t>to EU defence industrial readiness</w:t>
      </w:r>
      <w:r w:rsidRPr="00744DCA">
        <w:rPr>
          <w:rStyle w:val="normaltextrun"/>
          <w:rFonts w:eastAsiaTheme="majorEastAsia"/>
          <w:noProof/>
        </w:rPr>
        <w:t>, from securing the availability of consumables in the requisite volumes during cris</w:t>
      </w:r>
      <w:r w:rsidR="4F1616F2" w:rsidRPr="00744DCA">
        <w:rPr>
          <w:rStyle w:val="normaltextrun"/>
          <w:rFonts w:eastAsiaTheme="majorEastAsia"/>
          <w:noProof/>
        </w:rPr>
        <w:t>i</w:t>
      </w:r>
      <w:r w:rsidRPr="00744DCA">
        <w:rPr>
          <w:rStyle w:val="normaltextrun"/>
          <w:rFonts w:eastAsiaTheme="majorEastAsia"/>
          <w:noProof/>
        </w:rPr>
        <w:t xml:space="preserve">s times, to ensuring the timely delivery of tomorrow’s high end critical capabilities in the coming years. This is the exact purpose of the </w:t>
      </w:r>
      <w:r w:rsidRPr="00744DCA">
        <w:rPr>
          <w:rStyle w:val="normaltextrun"/>
          <w:rFonts w:eastAsiaTheme="majorEastAsia"/>
          <w:b/>
          <w:bCs/>
          <w:noProof/>
        </w:rPr>
        <w:t>European defence industrial strategy</w:t>
      </w:r>
      <w:r w:rsidRPr="00744DCA">
        <w:rPr>
          <w:rStyle w:val="normaltextrun"/>
          <w:rFonts w:eastAsiaTheme="majorEastAsia"/>
          <w:noProof/>
        </w:rPr>
        <w:t xml:space="preserve"> (EDIS) presented on </w:t>
      </w:r>
      <w:r w:rsidR="388C9F85" w:rsidRPr="00744DCA">
        <w:rPr>
          <w:rStyle w:val="normaltextrun"/>
          <w:rFonts w:eastAsiaTheme="majorEastAsia"/>
          <w:noProof/>
        </w:rPr>
        <w:t>5 March</w:t>
      </w:r>
      <w:r w:rsidR="321FB01D" w:rsidRPr="00744DCA">
        <w:rPr>
          <w:rStyle w:val="normaltextrun"/>
          <w:rFonts w:eastAsiaTheme="majorEastAsia"/>
          <w:noProof/>
        </w:rPr>
        <w:t>.</w:t>
      </w:r>
      <w:r w:rsidR="388C9F85" w:rsidRPr="00744DCA">
        <w:rPr>
          <w:rStyle w:val="normaltextrun"/>
          <w:rFonts w:eastAsiaTheme="majorEastAsia"/>
          <w:noProof/>
        </w:rPr>
        <w:t xml:space="preserve"> </w:t>
      </w:r>
      <w:r w:rsidR="321FB01D" w:rsidRPr="00744DCA">
        <w:rPr>
          <w:rStyle w:val="normaltextrun"/>
          <w:rFonts w:eastAsiaTheme="majorEastAsia"/>
          <w:noProof/>
        </w:rPr>
        <w:t xml:space="preserve">In order to </w:t>
      </w:r>
      <w:r w:rsidRPr="00744DCA">
        <w:rPr>
          <w:rStyle w:val="normaltextrun"/>
          <w:rFonts w:eastAsiaTheme="majorEastAsia"/>
          <w:noProof/>
        </w:rPr>
        <w:t xml:space="preserve">implement the orientations set out in EDIS as well as the actions it announces, the Commission proposes a new regulation on the </w:t>
      </w:r>
      <w:r w:rsidRPr="00744DCA">
        <w:rPr>
          <w:rStyle w:val="normaltextrun"/>
          <w:rFonts w:eastAsiaTheme="majorEastAsia"/>
          <w:b/>
          <w:bCs/>
          <w:noProof/>
        </w:rPr>
        <w:t xml:space="preserve">European defence </w:t>
      </w:r>
      <w:r w:rsidR="66569F7E" w:rsidRPr="00744DCA">
        <w:rPr>
          <w:rStyle w:val="normaltextrun"/>
          <w:rFonts w:eastAsiaTheme="majorEastAsia"/>
          <w:b/>
          <w:bCs/>
          <w:noProof/>
        </w:rPr>
        <w:t xml:space="preserve">Industry </w:t>
      </w:r>
      <w:r w:rsidRPr="00744DCA">
        <w:rPr>
          <w:rStyle w:val="normaltextrun"/>
          <w:rFonts w:eastAsiaTheme="majorEastAsia"/>
          <w:b/>
          <w:bCs/>
          <w:noProof/>
        </w:rPr>
        <w:t>Programme (EDIP)</w:t>
      </w:r>
      <w:r w:rsidRPr="00744DCA">
        <w:rPr>
          <w:rStyle w:val="normaltextrun"/>
          <w:rFonts w:eastAsiaTheme="majorEastAsia"/>
          <w:noProof/>
        </w:rPr>
        <w:t xml:space="preserve">. </w:t>
      </w:r>
      <w:r w:rsidRPr="00744DCA">
        <w:rPr>
          <w:noProof/>
          <w:bdr w:val="nil"/>
          <w:lang w:val="en-US" w:eastAsia="en-GB"/>
        </w:rPr>
        <w:t xml:space="preserve">Announced by the </w:t>
      </w:r>
      <w:r w:rsidRPr="00744DCA">
        <w:rPr>
          <w:noProof/>
          <w:lang w:val="en-US"/>
        </w:rPr>
        <w:t xml:space="preserve">Joint Communication of May 2022, and called for by the European Council, EDIP aims to </w:t>
      </w:r>
      <w:r w:rsidRPr="00744DCA">
        <w:rPr>
          <w:b/>
          <w:bCs/>
          <w:noProof/>
          <w:lang w:val="en-US"/>
        </w:rPr>
        <w:t>reconcile the urgent with the long term</w:t>
      </w:r>
      <w:r w:rsidRPr="00744DCA">
        <w:rPr>
          <w:noProof/>
          <w:lang w:val="en-US"/>
        </w:rPr>
        <w:t xml:space="preserve">, by maintaining support for the EDTIB under this Multiannual Financial Framework (MFF) and preparing for the EU’s defence industrial readiness for the future. In doing so, EDIP </w:t>
      </w:r>
      <w:r w:rsidRPr="00744DCA">
        <w:rPr>
          <w:noProof/>
        </w:rPr>
        <w:t xml:space="preserve">will translate in effect part of EDIS as its action is structured around 3 main pillars. </w:t>
      </w:r>
    </w:p>
    <w:p w14:paraId="46F02754" w14:textId="77777777" w:rsidR="007C06DB" w:rsidRPr="00744DCA" w:rsidRDefault="007C06DB" w:rsidP="007C06DB">
      <w:pPr>
        <w:pStyle w:val="paragraph"/>
        <w:spacing w:before="0" w:beforeAutospacing="0" w:after="0" w:afterAutospacing="0"/>
        <w:jc w:val="both"/>
        <w:textAlignment w:val="baseline"/>
        <w:rPr>
          <w:noProof/>
          <w:u w:color="000000"/>
          <w:bdr w:val="nil"/>
          <w:lang w:val="en-US"/>
        </w:rPr>
      </w:pPr>
    </w:p>
    <w:p w14:paraId="0621AD0B" w14:textId="77777777" w:rsidR="007C06DB" w:rsidRPr="00744DCA" w:rsidRDefault="076B5C2F" w:rsidP="00B91A8D">
      <w:pPr>
        <w:pStyle w:val="paragraph"/>
        <w:numPr>
          <w:ilvl w:val="0"/>
          <w:numId w:val="17"/>
        </w:numPr>
        <w:spacing w:before="0" w:beforeAutospacing="0" w:after="0" w:afterAutospacing="0"/>
        <w:jc w:val="both"/>
        <w:textAlignment w:val="baseline"/>
        <w:rPr>
          <w:rStyle w:val="normaltextrun"/>
          <w:rFonts w:eastAsiaTheme="majorEastAsia"/>
          <w:noProof/>
          <w:bdr w:val="nil"/>
          <w:lang w:val="en-US" w:eastAsia="en-GB"/>
        </w:rPr>
      </w:pPr>
      <w:r w:rsidRPr="00744DCA">
        <w:rPr>
          <w:rStyle w:val="normaltextrun"/>
          <w:rFonts w:eastAsiaTheme="majorEastAsia"/>
          <w:b/>
          <w:bCs/>
          <w:noProof/>
          <w:color w:val="000000"/>
          <w:shd w:val="clear" w:color="auto" w:fill="FFFFFF"/>
        </w:rPr>
        <w:t>Strengthen the competitiveness and responsiveness of the EDTIB</w:t>
      </w:r>
      <w:r w:rsidRPr="00744DCA">
        <w:rPr>
          <w:rStyle w:val="normaltextrun"/>
          <w:rFonts w:eastAsiaTheme="majorEastAsia"/>
          <w:noProof/>
          <w:color w:val="000000"/>
          <w:shd w:val="clear" w:color="auto" w:fill="FFFFFF"/>
        </w:rPr>
        <w:t xml:space="preserve">. In order to increase efforts to aggregate and harmonise European demand for defence equipment requirements from the EDTIB, EDIP proposes a ready-to-use legal framework, the </w:t>
      </w:r>
      <w:r w:rsidR="0AE54541" w:rsidRPr="00744DCA">
        <w:rPr>
          <w:rStyle w:val="normaltextrun"/>
          <w:rFonts w:eastAsiaTheme="majorEastAsia"/>
          <w:noProof/>
          <w:color w:val="000000" w:themeColor="text1"/>
        </w:rPr>
        <w:t xml:space="preserve">Structures for </w:t>
      </w:r>
      <w:r w:rsidRPr="00744DCA">
        <w:rPr>
          <w:rStyle w:val="normaltextrun"/>
          <w:rFonts w:eastAsiaTheme="majorEastAsia"/>
          <w:noProof/>
          <w:color w:val="000000"/>
          <w:shd w:val="clear" w:color="auto" w:fill="FFFFFF"/>
        </w:rPr>
        <w:t xml:space="preserve">European Armament </w:t>
      </w:r>
      <w:r w:rsidRPr="00744DCA">
        <w:rPr>
          <w:rStyle w:val="normaltextrun"/>
          <w:rFonts w:eastAsiaTheme="majorEastAsia"/>
          <w:noProof/>
          <w:color w:val="000000" w:themeColor="text1"/>
        </w:rPr>
        <w:t>Programme (</w:t>
      </w:r>
      <w:r w:rsidR="0AE54541" w:rsidRPr="00744DCA">
        <w:rPr>
          <w:rStyle w:val="normaltextrun"/>
          <w:rFonts w:eastAsiaTheme="majorEastAsia"/>
          <w:noProof/>
          <w:color w:val="000000" w:themeColor="text1"/>
        </w:rPr>
        <w:t>S</w:t>
      </w:r>
      <w:r w:rsidRPr="00744DCA">
        <w:rPr>
          <w:rStyle w:val="normaltextrun"/>
          <w:rFonts w:eastAsiaTheme="majorEastAsia"/>
          <w:noProof/>
          <w:color w:val="000000" w:themeColor="text1"/>
        </w:rPr>
        <w:t>EAP</w:t>
      </w:r>
      <w:r w:rsidRPr="00744DCA">
        <w:rPr>
          <w:rStyle w:val="normaltextrun"/>
          <w:rFonts w:eastAsiaTheme="majorEastAsia"/>
          <w:noProof/>
          <w:color w:val="000000"/>
          <w:shd w:val="clear" w:color="auto" w:fill="FFFFFF"/>
        </w:rPr>
        <w:t xml:space="preserve">), for cooperating and jointly managing defence equipment throughout its life cycle. In a similar logic, EDIP extends the EDIRPA logic beyond 2025, to continue to defragment and harmonise European demand. EDIP also </w:t>
      </w:r>
      <w:r w:rsidRPr="00744DCA">
        <w:rPr>
          <w:rStyle w:val="normaltextrun"/>
          <w:rFonts w:eastAsiaTheme="majorEastAsia"/>
          <w:noProof/>
          <w:color w:val="000000" w:themeColor="text1"/>
        </w:rPr>
        <w:t>replicate</w:t>
      </w:r>
      <w:r w:rsidR="6939A30A" w:rsidRPr="00744DCA">
        <w:rPr>
          <w:rStyle w:val="normaltextrun"/>
          <w:rFonts w:eastAsiaTheme="majorEastAsia"/>
          <w:noProof/>
          <w:color w:val="000000" w:themeColor="text1"/>
        </w:rPr>
        <w:t>s</w:t>
      </w:r>
      <w:r w:rsidRPr="00744DCA">
        <w:rPr>
          <w:rStyle w:val="normaltextrun"/>
          <w:rFonts w:eastAsiaTheme="majorEastAsia"/>
          <w:noProof/>
          <w:color w:val="000000"/>
          <w:shd w:val="clear" w:color="auto" w:fill="FFFFFF"/>
        </w:rPr>
        <w:t xml:space="preserve"> the logic of ASAP to support the EDTIB’s productive investments, </w:t>
      </w:r>
      <w:r w:rsidRPr="00744DCA">
        <w:rPr>
          <w:rStyle w:val="normaltextrun"/>
          <w:rFonts w:eastAsiaTheme="majorEastAsia"/>
          <w:noProof/>
          <w:color w:val="000000" w:themeColor="text1"/>
        </w:rPr>
        <w:t>help</w:t>
      </w:r>
      <w:r w:rsidR="2FB4701C" w:rsidRPr="00744DCA">
        <w:rPr>
          <w:rStyle w:val="normaltextrun"/>
          <w:rFonts w:eastAsiaTheme="majorEastAsia"/>
          <w:noProof/>
          <w:color w:val="000000" w:themeColor="text1"/>
        </w:rPr>
        <w:t>s</w:t>
      </w:r>
      <w:r w:rsidRPr="00744DCA">
        <w:rPr>
          <w:rStyle w:val="normaltextrun"/>
          <w:rFonts w:eastAsiaTheme="majorEastAsia"/>
          <w:noProof/>
          <w:color w:val="000000"/>
          <w:shd w:val="clear" w:color="auto" w:fill="FFFFFF"/>
        </w:rPr>
        <w:t xml:space="preserve"> the EDTIB to move towards more flexible production capacities, as well as </w:t>
      </w:r>
      <w:r w:rsidRPr="00744DCA">
        <w:rPr>
          <w:rStyle w:val="normaltextrun"/>
          <w:rFonts w:eastAsiaTheme="majorEastAsia"/>
          <w:noProof/>
          <w:color w:val="000000" w:themeColor="text1"/>
        </w:rPr>
        <w:t>ensure</w:t>
      </w:r>
      <w:r w:rsidR="2E2B7C8F" w:rsidRPr="00744DCA">
        <w:rPr>
          <w:rStyle w:val="normaltextrun"/>
          <w:rFonts w:eastAsiaTheme="majorEastAsia"/>
          <w:noProof/>
          <w:color w:val="000000" w:themeColor="text1"/>
        </w:rPr>
        <w:t>s</w:t>
      </w:r>
      <w:r w:rsidRPr="00744DCA">
        <w:rPr>
          <w:rStyle w:val="normaltextrun"/>
          <w:rFonts w:eastAsiaTheme="majorEastAsia"/>
          <w:noProof/>
          <w:color w:val="000000"/>
          <w:shd w:val="clear" w:color="auto" w:fill="FFFFFF"/>
        </w:rPr>
        <w:t xml:space="preserve"> the productization phase of EDF projects. </w:t>
      </w:r>
      <w:r w:rsidRPr="00744DCA">
        <w:rPr>
          <w:noProof/>
          <w:lang w:val="en-US"/>
        </w:rPr>
        <w:t xml:space="preserve">In order to enhance access to finance for the EDTIB, EDIP also entails the establishment of a fund in order to leverage, de-risk and speed-up investments needed to increase the defence manufacturing capacities of EU-based SMEs and </w:t>
      </w:r>
      <w:r w:rsidR="7BF42F69" w:rsidRPr="00744DCA">
        <w:rPr>
          <w:noProof/>
          <w:lang w:val="en-US"/>
        </w:rPr>
        <w:t xml:space="preserve">small </w:t>
      </w:r>
      <w:r w:rsidRPr="00744DCA">
        <w:rPr>
          <w:noProof/>
          <w:lang w:val="en-US"/>
        </w:rPr>
        <w:t>mid-caps, building on the Commission’s experience of the ASAP “ramp up fund” as well as the successful set</w:t>
      </w:r>
      <w:r w:rsidR="5A2A6B52" w:rsidRPr="00744DCA">
        <w:rPr>
          <w:noProof/>
          <w:lang w:val="en-US"/>
        </w:rPr>
        <w:t>-</w:t>
      </w:r>
      <w:r w:rsidRPr="00744DCA">
        <w:rPr>
          <w:noProof/>
          <w:lang w:val="en-US"/>
        </w:rPr>
        <w:t xml:space="preserve">up of the EUDIS’ defence equity facility. </w:t>
      </w:r>
    </w:p>
    <w:p w14:paraId="54F82535" w14:textId="77777777" w:rsidR="007C06DB" w:rsidRPr="00744DCA" w:rsidRDefault="076B5C2F" w:rsidP="00B91A8D">
      <w:pPr>
        <w:pStyle w:val="paragraph"/>
        <w:numPr>
          <w:ilvl w:val="0"/>
          <w:numId w:val="17"/>
        </w:numPr>
        <w:spacing w:before="0" w:beforeAutospacing="0" w:after="0" w:afterAutospacing="0"/>
        <w:jc w:val="both"/>
        <w:textAlignment w:val="baseline"/>
        <w:rPr>
          <w:rStyle w:val="normaltextrun"/>
          <w:rFonts w:eastAsiaTheme="majorEastAsia"/>
          <w:noProof/>
          <w:bdr w:val="nil"/>
          <w:lang w:val="en-US" w:eastAsia="en-GB"/>
        </w:rPr>
      </w:pPr>
      <w:r w:rsidRPr="00744DCA">
        <w:rPr>
          <w:rStyle w:val="normaltextrun"/>
          <w:rFonts w:eastAsiaTheme="majorEastAsia"/>
          <w:b/>
          <w:bCs/>
          <w:noProof/>
          <w:color w:val="000000"/>
          <w:shd w:val="clear" w:color="auto" w:fill="FFFFFF"/>
          <w:lang w:val="en-US"/>
        </w:rPr>
        <w:t xml:space="preserve">Enhance the </w:t>
      </w:r>
      <w:r w:rsidRPr="00744DCA">
        <w:rPr>
          <w:rStyle w:val="normaltextrun"/>
          <w:rFonts w:eastAsiaTheme="majorEastAsia"/>
          <w:b/>
          <w:bCs/>
          <w:noProof/>
          <w:color w:val="000000"/>
          <w:shd w:val="clear" w:color="auto" w:fill="FFFFFF"/>
        </w:rPr>
        <w:t>ability of the EDTIB to ensure the timely availability and supply of defence products</w:t>
      </w:r>
      <w:r w:rsidRPr="00744DCA">
        <w:rPr>
          <w:rStyle w:val="normaltextrun"/>
          <w:rFonts w:eastAsiaTheme="majorEastAsia"/>
          <w:noProof/>
          <w:color w:val="000000"/>
          <w:shd w:val="clear" w:color="auto" w:fill="FFFFFF"/>
        </w:rPr>
        <w:t xml:space="preserve">. EDIP’s aims is to support Member States’ efforts in pursuing the highest possible level of SoS when it comes to defence equipment, by creating </w:t>
      </w:r>
      <w:r w:rsidRPr="00744DCA">
        <w:rPr>
          <w:rStyle w:val="normaltextrun"/>
          <w:rFonts w:eastAsiaTheme="majorEastAsia"/>
          <w:noProof/>
          <w:bdr w:val="nil"/>
          <w:lang w:eastAsia="en-GB"/>
        </w:rPr>
        <w:t xml:space="preserve">an EU wide SoS regime. The latter would also enhance </w:t>
      </w:r>
      <w:r w:rsidRPr="00744DCA">
        <w:rPr>
          <w:rStyle w:val="normaltextrun"/>
          <w:rFonts w:eastAsiaTheme="majorEastAsia"/>
          <w:noProof/>
          <w:lang w:eastAsia="en-GB"/>
        </w:rPr>
        <w:t>M</w:t>
      </w:r>
      <w:r w:rsidR="512474CE" w:rsidRPr="00744DCA">
        <w:rPr>
          <w:rStyle w:val="normaltextrun"/>
          <w:rFonts w:eastAsiaTheme="majorEastAsia"/>
          <w:noProof/>
          <w:lang w:eastAsia="en-GB"/>
        </w:rPr>
        <w:t xml:space="preserve">ember </w:t>
      </w:r>
      <w:r w:rsidRPr="00744DCA">
        <w:rPr>
          <w:rStyle w:val="normaltextrun"/>
          <w:rFonts w:eastAsiaTheme="majorEastAsia"/>
          <w:noProof/>
          <w:lang w:eastAsia="en-GB"/>
        </w:rPr>
        <w:t>S</w:t>
      </w:r>
      <w:r w:rsidR="512474CE" w:rsidRPr="00744DCA">
        <w:rPr>
          <w:rStyle w:val="normaltextrun"/>
          <w:rFonts w:eastAsiaTheme="majorEastAsia"/>
          <w:noProof/>
          <w:lang w:eastAsia="en-GB"/>
        </w:rPr>
        <w:t>tate</w:t>
      </w:r>
      <w:r w:rsidRPr="00744DCA">
        <w:rPr>
          <w:rStyle w:val="normaltextrun"/>
          <w:rFonts w:eastAsiaTheme="majorEastAsia"/>
          <w:noProof/>
          <w:lang w:eastAsia="en-GB"/>
        </w:rPr>
        <w:t>’s</w:t>
      </w:r>
      <w:r w:rsidRPr="00744DCA">
        <w:rPr>
          <w:rStyle w:val="normaltextrun"/>
          <w:rFonts w:eastAsiaTheme="majorEastAsia"/>
          <w:noProof/>
          <w:bdr w:val="nil"/>
          <w:lang w:eastAsia="en-GB"/>
        </w:rPr>
        <w:t xml:space="preserve"> trust in cross-border supply chains, creating </w:t>
      </w:r>
      <w:r w:rsidR="57985AE7" w:rsidRPr="00744DCA">
        <w:rPr>
          <w:rStyle w:val="normaltextrun"/>
          <w:rFonts w:eastAsiaTheme="majorEastAsia"/>
          <w:noProof/>
          <w:bdr w:val="nil"/>
          <w:lang w:eastAsia="en-GB"/>
        </w:rPr>
        <w:t>at</w:t>
      </w:r>
      <w:r w:rsidRPr="00744DCA">
        <w:rPr>
          <w:rStyle w:val="normaltextrun"/>
          <w:rFonts w:eastAsiaTheme="majorEastAsia"/>
          <w:noProof/>
          <w:bdr w:val="nil"/>
          <w:lang w:eastAsia="en-GB"/>
        </w:rPr>
        <w:t xml:space="preserve"> the same time a key competitive advantage for the EDTIB. A comprehensive crisis management framework would enable the coordination of responses to possible future supply crises on specific defence equipment or along their supply chains. </w:t>
      </w:r>
    </w:p>
    <w:p w14:paraId="4EB85485" w14:textId="77777777" w:rsidR="007C06DB" w:rsidRPr="00744DCA" w:rsidRDefault="076B5C2F" w:rsidP="00B91A8D">
      <w:pPr>
        <w:pStyle w:val="paragraph"/>
        <w:numPr>
          <w:ilvl w:val="0"/>
          <w:numId w:val="17"/>
        </w:numPr>
        <w:spacing w:before="0" w:beforeAutospacing="0" w:after="0" w:afterAutospacing="0"/>
        <w:jc w:val="both"/>
        <w:textAlignment w:val="baseline"/>
        <w:rPr>
          <w:noProof/>
          <w:bdr w:val="nil"/>
          <w:lang w:val="en-US" w:eastAsia="en-GB"/>
        </w:rPr>
      </w:pPr>
      <w:r w:rsidRPr="00744DCA">
        <w:rPr>
          <w:rStyle w:val="normaltextrun"/>
          <w:rFonts w:eastAsiaTheme="majorEastAsia"/>
          <w:b/>
          <w:bCs/>
          <w:noProof/>
          <w:color w:val="000000"/>
          <w:shd w:val="clear" w:color="auto" w:fill="FFFFFF"/>
        </w:rPr>
        <w:t>Contribute to the recovery, reconstruction and modernisation of the Ukraine Defence Technological and Industrial Base (Ukrainian DTIB)</w:t>
      </w:r>
      <w:r w:rsidRPr="00744DCA">
        <w:rPr>
          <w:rStyle w:val="normaltextrun"/>
          <w:rFonts w:eastAsiaTheme="majorEastAsia"/>
          <w:noProof/>
          <w:color w:val="000000"/>
          <w:shd w:val="clear" w:color="auto" w:fill="FFFFFF"/>
        </w:rPr>
        <w:t xml:space="preserve">. Ukraine’s current needs in military equipment far exceed its industrial production capacities while the EU and its </w:t>
      </w:r>
      <w:r w:rsidRPr="00744DCA">
        <w:rPr>
          <w:rStyle w:val="normaltextrun"/>
          <w:rFonts w:eastAsiaTheme="majorEastAsia"/>
          <w:noProof/>
          <w:color w:val="000000" w:themeColor="text1"/>
        </w:rPr>
        <w:t>M</w:t>
      </w:r>
      <w:r w:rsidR="512474CE" w:rsidRPr="00744DCA">
        <w:rPr>
          <w:rStyle w:val="normaltextrun"/>
          <w:rFonts w:eastAsiaTheme="majorEastAsia"/>
          <w:noProof/>
          <w:color w:val="000000" w:themeColor="text1"/>
        </w:rPr>
        <w:t xml:space="preserve">ember </w:t>
      </w:r>
      <w:r w:rsidRPr="00744DCA">
        <w:rPr>
          <w:rStyle w:val="normaltextrun"/>
          <w:rFonts w:eastAsiaTheme="majorEastAsia"/>
          <w:noProof/>
          <w:color w:val="000000" w:themeColor="text1"/>
        </w:rPr>
        <w:t>S</w:t>
      </w:r>
      <w:r w:rsidR="512474CE" w:rsidRPr="00744DCA">
        <w:rPr>
          <w:rStyle w:val="normaltextrun"/>
          <w:rFonts w:eastAsiaTheme="majorEastAsia"/>
          <w:noProof/>
          <w:color w:val="000000" w:themeColor="text1"/>
        </w:rPr>
        <w:t>tates</w:t>
      </w:r>
      <w:r w:rsidRPr="00744DCA">
        <w:rPr>
          <w:rStyle w:val="normaltextrun"/>
          <w:rFonts w:eastAsiaTheme="majorEastAsia"/>
          <w:noProof/>
          <w:color w:val="000000"/>
          <w:shd w:val="clear" w:color="auto" w:fill="FFFFFF"/>
        </w:rPr>
        <w:t xml:space="preserve"> provide military assistance from their own - largely depleted – stocks and with a defence industry tailored for peace time. </w:t>
      </w:r>
      <w:r w:rsidRPr="00744DCA">
        <w:rPr>
          <w:noProof/>
        </w:rPr>
        <w:t xml:space="preserve">In this context, both industry’s interests are to engage in a more in-depth cooperation. Failing to create a strong relationship between the respective industrial bases may result in a missed business opportunity in the short-term and in economic and strategic dependencies in the medium to long-term. In view of Ukraine’s </w:t>
      </w:r>
      <w:r w:rsidR="66DAE98F" w:rsidRPr="00744DCA">
        <w:rPr>
          <w:noProof/>
        </w:rPr>
        <w:t>future accession to</w:t>
      </w:r>
      <w:r w:rsidRPr="00744DCA">
        <w:rPr>
          <w:noProof/>
        </w:rPr>
        <w:t xml:space="preserve"> the EU, it is necessary that EDIP enhances cooperation with Ukraine at industrial level.</w:t>
      </w:r>
      <w:r w:rsidR="06023540" w:rsidRPr="00744DCA">
        <w:rPr>
          <w:noProof/>
        </w:rPr>
        <w:t xml:space="preserve"> As part of </w:t>
      </w:r>
      <w:r w:rsidR="56AD1495" w:rsidRPr="00744DCA">
        <w:rPr>
          <w:noProof/>
        </w:rPr>
        <w:t xml:space="preserve">the </w:t>
      </w:r>
      <w:r w:rsidR="06023540" w:rsidRPr="00744DCA">
        <w:rPr>
          <w:noProof/>
        </w:rPr>
        <w:t xml:space="preserve">EU’s </w:t>
      </w:r>
      <w:r w:rsidR="388DA239" w:rsidRPr="00744DCA">
        <w:rPr>
          <w:noProof/>
        </w:rPr>
        <w:t xml:space="preserve">future </w:t>
      </w:r>
      <w:r w:rsidR="06023540" w:rsidRPr="00744DCA">
        <w:rPr>
          <w:noProof/>
        </w:rPr>
        <w:t>security commitments to Ukraine</w:t>
      </w:r>
      <w:r w:rsidR="00763B84" w:rsidRPr="00744DCA">
        <w:rPr>
          <w:rStyle w:val="FootnoteReference"/>
          <w:noProof/>
        </w:rPr>
        <w:footnoteReference w:id="2"/>
      </w:r>
      <w:r w:rsidR="06023540" w:rsidRPr="00744DCA">
        <w:rPr>
          <w:noProof/>
        </w:rPr>
        <w:t>, the EU should foster greater cooperation with the Ukrainian DTIB to boost its capacity to deliver for the immediate needs, as well as to work towards alignment of standards and improved interoperability. A stronger cooperation with the Ukrainian DTIB will contribute to strengthen Ukraine’s ability to defend itself, and will benefit the EDTIB’s capacity to support both Member States’ and Ukraine’s needs.</w:t>
      </w:r>
    </w:p>
    <w:p w14:paraId="108F4C3C" w14:textId="77777777" w:rsidR="007C06DB" w:rsidRPr="00744DCA" w:rsidRDefault="007C06DB">
      <w:pPr>
        <w:pStyle w:val="ManualHeading2"/>
        <w:rPr>
          <w:rFonts w:eastAsia="Arial Unicode MS"/>
          <w:noProof/>
          <w:color w:val="000000"/>
          <w:u w:color="000000"/>
          <w:bdr w:val="nil"/>
          <w:lang w:val="en-US" w:eastAsia="en-GB"/>
        </w:rPr>
      </w:pPr>
      <w:r w:rsidRPr="00744DCA">
        <w:rPr>
          <w:rFonts w:eastAsia="Arial Unicode MS"/>
          <w:noProof/>
          <w:color w:val="000000"/>
          <w:u w:color="000000"/>
          <w:bdr w:val="nil"/>
          <w:lang w:val="en-US" w:eastAsia="en-GB"/>
        </w:rPr>
        <w:t>•</w:t>
      </w:r>
      <w:r w:rsidRPr="00744DCA">
        <w:rPr>
          <w:rFonts w:eastAsia="Arial Unicode MS"/>
          <w:noProof/>
          <w:color w:val="000000"/>
          <w:u w:color="000000"/>
          <w:bdr w:val="nil"/>
          <w:lang w:val="en-US" w:eastAsia="en-GB"/>
        </w:rPr>
        <w:tab/>
      </w:r>
      <w:r w:rsidRPr="00744DCA">
        <w:rPr>
          <w:rFonts w:eastAsia="Arial Unicode MS"/>
          <w:noProof/>
        </w:rPr>
        <w:t>Consistency with existing policy provisions in the policy area</w:t>
      </w:r>
    </w:p>
    <w:p w14:paraId="646C4C12" w14:textId="77777777" w:rsidR="007C06DB" w:rsidRPr="00744DCA" w:rsidRDefault="007C06DB">
      <w:pPr>
        <w:pBdr>
          <w:top w:val="nil"/>
          <w:left w:val="nil"/>
          <w:bottom w:val="nil"/>
          <w:right w:val="nil"/>
          <w:between w:val="nil"/>
          <w:bar w:val="nil"/>
        </w:pBdr>
        <w:spacing w:before="0" w:after="240"/>
        <w:rPr>
          <w:rFonts w:eastAsia="Arial Unicode MS"/>
          <w:noProof/>
        </w:rPr>
      </w:pPr>
      <w:r w:rsidRPr="00744DCA">
        <w:rPr>
          <w:rFonts w:eastAsia="Times New Roman"/>
          <w:noProof/>
          <w:szCs w:val="24"/>
        </w:rPr>
        <w:t xml:space="preserve">The support under EDIP will be consistent and complementary with existing collaborative EU initiatives in the field of defence industrial policy and </w:t>
      </w:r>
      <w:r w:rsidR="00672FBF" w:rsidRPr="00744DCA">
        <w:rPr>
          <w:rFonts w:eastAsia="Times New Roman"/>
          <w:noProof/>
          <w:szCs w:val="24"/>
        </w:rPr>
        <w:t xml:space="preserve">with </w:t>
      </w:r>
      <w:r w:rsidRPr="00744DCA">
        <w:rPr>
          <w:rFonts w:eastAsia="Times New Roman"/>
          <w:noProof/>
          <w:szCs w:val="24"/>
        </w:rPr>
        <w:t>other forms of bilateral support for Ukraine provided through other EU instruments, including the Ukraine Facility. It will complement, the EU’s main programme in this policy area, the European Defence Fund</w:t>
      </w:r>
      <w:r w:rsidR="0088647A" w:rsidRPr="00744DCA">
        <w:rPr>
          <w:rFonts w:eastAsia="Times New Roman"/>
          <w:noProof/>
          <w:szCs w:val="24"/>
        </w:rPr>
        <w:t xml:space="preserve"> (EDF)</w:t>
      </w:r>
      <w:r w:rsidRPr="00744DCA">
        <w:rPr>
          <w:rFonts w:eastAsia="Times New Roman"/>
          <w:noProof/>
          <w:szCs w:val="24"/>
        </w:rPr>
        <w:t>, notably by supporting, at a later stage of the life-cycle of defence equipment, the EDF’s projects, thereby helping the future market uptake of the programme’s results. EDIP will also build on the experience acquired in the context of other EU programmes, such as EDIRPA or ASAP, in particular by extending their financial support logic and expanding their scope to other types of equipment. It will finally consolidate the efforts and dialogue undertaken as part of the DJPTF.</w:t>
      </w:r>
    </w:p>
    <w:p w14:paraId="29AF4A2C" w14:textId="77777777" w:rsidR="007C06DB" w:rsidRPr="00744DCA" w:rsidRDefault="007C06DB">
      <w:pPr>
        <w:pStyle w:val="ManualHeading2"/>
        <w:rPr>
          <w:rFonts w:eastAsia="Arial Unicode MS"/>
          <w:noProof/>
        </w:rPr>
      </w:pPr>
      <w:r w:rsidRPr="00744DCA">
        <w:rPr>
          <w:rFonts w:eastAsia="Arial Unicode MS"/>
          <w:noProof/>
          <w:color w:val="000000"/>
          <w:u w:color="000000"/>
          <w:bdr w:val="nil"/>
          <w:lang w:val="en-US" w:eastAsia="en-GB"/>
        </w:rPr>
        <w:t>•</w:t>
      </w:r>
      <w:r w:rsidRPr="00744DCA">
        <w:rPr>
          <w:rFonts w:eastAsia="Arial Unicode MS"/>
          <w:noProof/>
          <w:color w:val="000000"/>
          <w:u w:color="000000"/>
          <w:bdr w:val="nil"/>
          <w:lang w:val="en-US" w:eastAsia="en-GB"/>
        </w:rPr>
        <w:tab/>
      </w:r>
      <w:r w:rsidRPr="00744DCA">
        <w:rPr>
          <w:rFonts w:eastAsia="Arial Unicode MS"/>
          <w:noProof/>
        </w:rPr>
        <w:t>Consistency with other Union policies</w:t>
      </w:r>
    </w:p>
    <w:p w14:paraId="44BD4896" w14:textId="77777777" w:rsidR="007C06DB" w:rsidRPr="00744DCA" w:rsidRDefault="076B5C2F" w:rsidP="77F4BA51">
      <w:pPr>
        <w:keepNext/>
        <w:spacing w:before="360"/>
        <w:rPr>
          <w:rFonts w:eastAsia="Times New Roman"/>
          <w:noProof/>
        </w:rPr>
      </w:pPr>
      <w:r w:rsidRPr="00744DCA">
        <w:rPr>
          <w:rFonts w:eastAsia="Times New Roman"/>
          <w:noProof/>
        </w:rPr>
        <w:t xml:space="preserve">EDIP will generate synergies with the EU defence policy and the implementation of the Strategic Compass for Security and Defence. It will be implemented in full consistency with the EU </w:t>
      </w:r>
      <w:r w:rsidR="203BD8C7" w:rsidRPr="00744DCA">
        <w:rPr>
          <w:rFonts w:eastAsia="Times New Roman"/>
          <w:noProof/>
        </w:rPr>
        <w:t>C</w:t>
      </w:r>
      <w:r w:rsidRPr="00744DCA">
        <w:rPr>
          <w:rFonts w:eastAsia="Times New Roman"/>
          <w:noProof/>
        </w:rPr>
        <w:t xml:space="preserve">apability </w:t>
      </w:r>
      <w:r w:rsidR="37C2F584" w:rsidRPr="00744DCA">
        <w:rPr>
          <w:rFonts w:eastAsia="Times New Roman"/>
          <w:noProof/>
        </w:rPr>
        <w:t>D</w:t>
      </w:r>
      <w:r w:rsidRPr="00744DCA">
        <w:rPr>
          <w:rFonts w:eastAsia="Times New Roman"/>
          <w:noProof/>
        </w:rPr>
        <w:t xml:space="preserve">evelopment </w:t>
      </w:r>
      <w:r w:rsidR="7AD25A3D" w:rsidRPr="00744DCA">
        <w:rPr>
          <w:rFonts w:eastAsia="Times New Roman"/>
          <w:noProof/>
        </w:rPr>
        <w:t>P</w:t>
      </w:r>
      <w:r w:rsidRPr="00744DCA">
        <w:rPr>
          <w:rFonts w:eastAsia="Times New Roman"/>
          <w:noProof/>
        </w:rPr>
        <w:t xml:space="preserve">lan (CDP) identifying the defence capability priorities at EU level, as well as with the EU </w:t>
      </w:r>
      <w:r w:rsidR="02ECF9F5" w:rsidRPr="00744DCA">
        <w:rPr>
          <w:rFonts w:eastAsia="Times New Roman"/>
          <w:noProof/>
        </w:rPr>
        <w:t>C</w:t>
      </w:r>
      <w:r w:rsidRPr="00744DCA">
        <w:rPr>
          <w:rFonts w:eastAsia="Times New Roman"/>
          <w:noProof/>
        </w:rPr>
        <w:t xml:space="preserve">oordinated </w:t>
      </w:r>
      <w:r w:rsidR="6C6FD200" w:rsidRPr="00744DCA">
        <w:rPr>
          <w:rFonts w:eastAsia="Times New Roman"/>
          <w:noProof/>
        </w:rPr>
        <w:t>A</w:t>
      </w:r>
      <w:r w:rsidRPr="00744DCA">
        <w:rPr>
          <w:rFonts w:eastAsia="Times New Roman"/>
          <w:noProof/>
        </w:rPr>
        <w:t xml:space="preserve">nnual </w:t>
      </w:r>
      <w:r w:rsidR="6881E210" w:rsidRPr="00744DCA">
        <w:rPr>
          <w:rFonts w:eastAsia="Times New Roman"/>
          <w:noProof/>
        </w:rPr>
        <w:t>R</w:t>
      </w:r>
      <w:r w:rsidRPr="00744DCA">
        <w:rPr>
          <w:rFonts w:eastAsia="Times New Roman"/>
          <w:noProof/>
        </w:rPr>
        <w:t xml:space="preserve">eview on </w:t>
      </w:r>
      <w:r w:rsidR="760A7FE6" w:rsidRPr="00744DCA">
        <w:rPr>
          <w:rFonts w:eastAsia="Times New Roman"/>
          <w:noProof/>
        </w:rPr>
        <w:t>D</w:t>
      </w:r>
      <w:r w:rsidRPr="00744DCA">
        <w:rPr>
          <w:rFonts w:eastAsia="Times New Roman"/>
          <w:noProof/>
        </w:rPr>
        <w:t xml:space="preserve">efence (CARD), which inter alia identifies new opportunities for defence cooperation. EDIP will also </w:t>
      </w:r>
      <w:r w:rsidR="0A2CD575" w:rsidRPr="00744DCA">
        <w:rPr>
          <w:rFonts w:eastAsia="Times New Roman"/>
          <w:noProof/>
        </w:rPr>
        <w:t>facilitate</w:t>
      </w:r>
      <w:r w:rsidRPr="00744DCA">
        <w:rPr>
          <w:rFonts w:eastAsia="Times New Roman"/>
          <w:noProof/>
        </w:rPr>
        <w:t xml:space="preserve"> Member States cooperation efforts in the Permanent Structured Cooperation (PESCO) framework. It should serve the implementation of PESCO projects, and contribute to speed up, ease and support the fulfilment of the more binding commitments undertaken by Member States in this context. EDIP will complement the European Defence Agency’s (EDA) pre-existing action in the field of SoS. EDIP will also build notably upon EDA’s Key Strategic Activities work</w:t>
      </w:r>
      <w:r w:rsidR="4EAB70FF" w:rsidRPr="00744DCA">
        <w:rPr>
          <w:rFonts w:eastAsia="Times New Roman"/>
          <w:noProof/>
        </w:rPr>
        <w:t xml:space="preserve"> </w:t>
      </w:r>
      <w:r w:rsidRPr="00744DCA">
        <w:rPr>
          <w:rFonts w:eastAsia="Times New Roman"/>
          <w:noProof/>
        </w:rPr>
        <w:t xml:space="preserve">strand to inform discussions </w:t>
      </w:r>
      <w:r w:rsidR="10ABED9F" w:rsidRPr="00744DCA">
        <w:rPr>
          <w:rFonts w:eastAsia="Times New Roman"/>
          <w:noProof/>
        </w:rPr>
        <w:t xml:space="preserve">held </w:t>
      </w:r>
      <w:r w:rsidRPr="00744DCA">
        <w:rPr>
          <w:rFonts w:eastAsia="Times New Roman"/>
          <w:noProof/>
        </w:rPr>
        <w:t>in the framework of the Defence Industrial Readiness Board. EDIP will also be implemented in full consistency with the EU’s military assistance to Ukraine in the context of the European Peace Facility (EPF). EDIP will useful</w:t>
      </w:r>
      <w:r w:rsidR="45B92455" w:rsidRPr="00744DCA">
        <w:rPr>
          <w:rFonts w:eastAsia="Times New Roman"/>
          <w:noProof/>
        </w:rPr>
        <w:t>l</w:t>
      </w:r>
      <w:r w:rsidRPr="00744DCA">
        <w:rPr>
          <w:rFonts w:eastAsia="Times New Roman"/>
          <w:noProof/>
        </w:rPr>
        <w:t>y complement the objectives of recovery and reconstruction pursued by the EU under the Ukraine Facility, notably by streng</w:t>
      </w:r>
      <w:r w:rsidR="0425F9A0" w:rsidRPr="00744DCA">
        <w:rPr>
          <w:rFonts w:eastAsia="Times New Roman"/>
          <w:noProof/>
        </w:rPr>
        <w:t>t</w:t>
      </w:r>
      <w:r w:rsidRPr="00744DCA">
        <w:rPr>
          <w:rFonts w:eastAsia="Times New Roman"/>
          <w:noProof/>
        </w:rPr>
        <w:t xml:space="preserve">hening Ukraine’s ability to defend itself by relying on a resilient and responsive </w:t>
      </w:r>
      <w:r w:rsidRPr="00744DCA">
        <w:rPr>
          <w:rFonts w:eastAsia="Times New Roman"/>
          <w:noProof/>
          <w:lang w:val="en-US"/>
        </w:rPr>
        <w:t>DTIB</w:t>
      </w:r>
      <w:r w:rsidRPr="00744DCA">
        <w:rPr>
          <w:rFonts w:eastAsia="Times New Roman"/>
          <w:noProof/>
        </w:rPr>
        <w:t>. More broadly, account may also be taken of relevant activities carried out by the North Atlantic Treaty Organisation (NATO) and other partners where they serve the Union's security and defence interests and do not exclude any Member State from participating.</w:t>
      </w:r>
    </w:p>
    <w:p w14:paraId="2C966AB9" w14:textId="77777777" w:rsidR="007C06DB" w:rsidRPr="00744DCA" w:rsidRDefault="076B5C2F" w:rsidP="77F4BA51">
      <w:pPr>
        <w:pBdr>
          <w:top w:val="nil"/>
          <w:left w:val="nil"/>
          <w:bottom w:val="nil"/>
          <w:right w:val="nil"/>
          <w:between w:val="nil"/>
          <w:bar w:val="nil"/>
        </w:pBdr>
        <w:spacing w:before="0" w:after="240"/>
        <w:rPr>
          <w:rFonts w:eastAsia="Arial Unicode MS"/>
          <w:noProof/>
        </w:rPr>
      </w:pPr>
      <w:r w:rsidRPr="00744DCA">
        <w:rPr>
          <w:rFonts w:eastAsia="Times New Roman"/>
          <w:noProof/>
        </w:rPr>
        <w:t>By providing an EU-wide SoS Regime through notably a two-tier crisis framework, EDIP will complement the Internal market emergency and resilience act’ (IMERA), which does not concern defence products. Measures available to the Commission within the EDIP crisis framework for certain non-defence products critical for the supply of defence produ</w:t>
      </w:r>
      <w:r w:rsidR="346BAA5A" w:rsidRPr="00744DCA">
        <w:rPr>
          <w:rFonts w:eastAsia="Times New Roman"/>
          <w:noProof/>
        </w:rPr>
        <w:t>c</w:t>
      </w:r>
      <w:r w:rsidRPr="00744DCA">
        <w:rPr>
          <w:rFonts w:eastAsia="Times New Roman"/>
          <w:noProof/>
        </w:rPr>
        <w:t xml:space="preserve">ts identified as </w:t>
      </w:r>
      <w:r w:rsidR="222214FA" w:rsidRPr="00744DCA">
        <w:rPr>
          <w:rFonts w:eastAsia="Times New Roman"/>
          <w:noProof/>
        </w:rPr>
        <w:t xml:space="preserve">having </w:t>
      </w:r>
      <w:r w:rsidRPr="00744DCA">
        <w:rPr>
          <w:rFonts w:eastAsia="Times New Roman"/>
          <w:noProof/>
        </w:rPr>
        <w:t>priorit</w:t>
      </w:r>
      <w:r w:rsidR="0233A214" w:rsidRPr="00744DCA">
        <w:rPr>
          <w:rFonts w:eastAsia="Times New Roman"/>
          <w:noProof/>
        </w:rPr>
        <w:t>y</w:t>
      </w:r>
      <w:r w:rsidRPr="00744DCA">
        <w:rPr>
          <w:rFonts w:eastAsia="Times New Roman"/>
          <w:noProof/>
        </w:rPr>
        <w:t xml:space="preserve"> only aims at ensuring that concerned defence supply chains may access, as a matter of priority, the components and materials required for ensuring an adequate level of SoS at EU level.</w:t>
      </w:r>
    </w:p>
    <w:p w14:paraId="218918F2" w14:textId="77777777" w:rsidR="007C06DB" w:rsidRPr="00744DCA" w:rsidRDefault="007C06DB">
      <w:pPr>
        <w:pStyle w:val="ManualHeading1"/>
        <w:rPr>
          <w:noProof/>
        </w:rPr>
      </w:pPr>
      <w:r w:rsidRPr="00744DCA">
        <w:rPr>
          <w:noProof/>
        </w:rPr>
        <w:t>2.</w:t>
      </w:r>
      <w:r w:rsidRPr="00744DCA">
        <w:rPr>
          <w:noProof/>
        </w:rPr>
        <w:tab/>
        <w:t>LEGAL BASIS, SUBSIDIARITY AND PROPORTIONALITY</w:t>
      </w:r>
    </w:p>
    <w:p w14:paraId="238EB84F" w14:textId="77777777" w:rsidR="007C06DB" w:rsidRPr="00744DCA" w:rsidRDefault="007C06DB">
      <w:pPr>
        <w:pStyle w:val="ManualHeading2"/>
        <w:rPr>
          <w:rFonts w:eastAsia="Arial Unicode MS"/>
          <w:noProof/>
          <w:u w:color="000000"/>
          <w:bdr w:val="nil"/>
          <w:lang w:val="en-US" w:eastAsia="en-GB"/>
        </w:rPr>
      </w:pPr>
      <w:r w:rsidRPr="00744DCA">
        <w:rPr>
          <w:rFonts w:eastAsia="Arial Unicode MS"/>
          <w:noProof/>
          <w:u w:color="000000"/>
          <w:bdr w:val="nil"/>
          <w:lang w:val="en-US" w:eastAsia="en-GB"/>
        </w:rPr>
        <w:t>•</w:t>
      </w:r>
      <w:r w:rsidRPr="00744DCA">
        <w:rPr>
          <w:rFonts w:eastAsia="Arial Unicode MS"/>
          <w:noProof/>
          <w:u w:color="000000"/>
          <w:bdr w:val="nil"/>
          <w:lang w:val="en-US" w:eastAsia="en-GB"/>
        </w:rPr>
        <w:tab/>
        <w:t>Legal basis</w:t>
      </w:r>
    </w:p>
    <w:p w14:paraId="3541719C" w14:textId="77777777" w:rsidR="007C06DB" w:rsidRPr="00744DCA" w:rsidRDefault="007C06DB" w:rsidP="007C06DB">
      <w:pPr>
        <w:rPr>
          <w:rFonts w:eastAsia="Times New Roman"/>
          <w:noProof/>
          <w:szCs w:val="24"/>
        </w:rPr>
      </w:pPr>
      <w:r w:rsidRPr="00744DCA">
        <w:rPr>
          <w:rFonts w:eastAsia="Times New Roman"/>
          <w:noProof/>
          <w:szCs w:val="24"/>
        </w:rPr>
        <w:t xml:space="preserve">EDIP establishes a set of measures and lays down a budget aimed at supporting defence readiness of the Union and its Member States through the strengthening of the competitiveness, responsiveness and ability of the EDTIB to ensure the timely availability and supply of defence products and at contributing to the recovery, reconstruction and modernisation of the Ukrainian DTIB. Hence the regulation </w:t>
      </w:r>
      <w:r w:rsidR="004C7003" w:rsidRPr="00744DCA">
        <w:rPr>
          <w:rFonts w:eastAsia="Times New Roman"/>
          <w:noProof/>
          <w:szCs w:val="24"/>
        </w:rPr>
        <w:t>re</w:t>
      </w:r>
      <w:r w:rsidRPr="00744DCA">
        <w:rPr>
          <w:rFonts w:eastAsia="Times New Roman"/>
          <w:noProof/>
          <w:szCs w:val="24"/>
        </w:rPr>
        <w:t xml:space="preserve">lies on 3 different legal bases: </w:t>
      </w:r>
    </w:p>
    <w:p w14:paraId="2AB04F61" w14:textId="77777777" w:rsidR="007C06DB" w:rsidRPr="00744DCA" w:rsidRDefault="076B5C2F" w:rsidP="00B33FEA">
      <w:pPr>
        <w:pStyle w:val="Tiret0"/>
        <w:rPr>
          <w:noProof/>
        </w:rPr>
      </w:pPr>
      <w:r w:rsidRPr="00744DCA">
        <w:rPr>
          <w:noProof/>
        </w:rPr>
        <w:t>Article 173 TFEU in relation to the competitiveness of the EDTIB</w:t>
      </w:r>
    </w:p>
    <w:p w14:paraId="48E210AF" w14:textId="77777777" w:rsidR="007C06DB" w:rsidRPr="00744DCA" w:rsidRDefault="076B5C2F" w:rsidP="00B33FEA">
      <w:pPr>
        <w:pStyle w:val="Tiret0"/>
        <w:rPr>
          <w:noProof/>
        </w:rPr>
      </w:pPr>
      <w:r w:rsidRPr="00744DCA">
        <w:rPr>
          <w:noProof/>
        </w:rPr>
        <w:t>Article 114 TFEU in relation to the European Defence Equipment Market (EDEM)</w:t>
      </w:r>
    </w:p>
    <w:p w14:paraId="23A6D840" w14:textId="77777777" w:rsidR="007C06DB" w:rsidRPr="00744DCA" w:rsidRDefault="076B5C2F" w:rsidP="00B33FEA">
      <w:pPr>
        <w:pStyle w:val="Tiret0"/>
        <w:rPr>
          <w:noProof/>
        </w:rPr>
      </w:pPr>
      <w:r w:rsidRPr="00744DCA">
        <w:rPr>
          <w:noProof/>
        </w:rPr>
        <w:t>Article 212 TFEU in relation to the streng</w:t>
      </w:r>
      <w:r w:rsidR="74E8CCB3" w:rsidRPr="00744DCA">
        <w:rPr>
          <w:noProof/>
        </w:rPr>
        <w:t>t</w:t>
      </w:r>
      <w:r w:rsidRPr="00744DCA">
        <w:rPr>
          <w:noProof/>
        </w:rPr>
        <w:t>hening of the Ukrainian DTIB</w:t>
      </w:r>
    </w:p>
    <w:p w14:paraId="5310DE36" w14:textId="082EBC96" w:rsidR="008670BC" w:rsidRDefault="008670BC" w:rsidP="00B33FEA">
      <w:pPr>
        <w:pStyle w:val="Tiret0"/>
        <w:rPr>
          <w:noProof/>
        </w:rPr>
      </w:pPr>
      <w:r>
        <w:rPr>
          <w:noProof/>
        </w:rPr>
        <w:t>Article 322 TFEU in relation to the financial provisions.</w:t>
      </w:r>
    </w:p>
    <w:p w14:paraId="52C2DE73" w14:textId="77777777" w:rsidR="007C06DB" w:rsidRPr="00744DCA" w:rsidRDefault="007C06DB" w:rsidP="007C06DB">
      <w:pPr>
        <w:rPr>
          <w:rFonts w:eastAsia="Arial Unicode MS"/>
          <w:noProof/>
          <w:szCs w:val="24"/>
        </w:rPr>
      </w:pPr>
      <w:r w:rsidRPr="00744DCA">
        <w:rPr>
          <w:rFonts w:eastAsia="Times New Roman"/>
          <w:noProof/>
          <w:szCs w:val="24"/>
        </w:rPr>
        <w:t xml:space="preserve">To reflect these multiple legal bases, EDIP is structured around 3 pillars, </w:t>
      </w:r>
      <w:r w:rsidRPr="00744DCA">
        <w:rPr>
          <w:rFonts w:eastAsia="Arial Unicode MS"/>
          <w:noProof/>
          <w:szCs w:val="24"/>
        </w:rPr>
        <w:t>each corresponding to one of the legal bases of this regulation.</w:t>
      </w:r>
    </w:p>
    <w:p w14:paraId="18DCBB65" w14:textId="77777777" w:rsidR="007C06DB" w:rsidRPr="00744DCA" w:rsidRDefault="076B5C2F" w:rsidP="00B33FEA">
      <w:pPr>
        <w:pStyle w:val="Tiret0"/>
        <w:rPr>
          <w:noProof/>
        </w:rPr>
      </w:pPr>
      <w:r w:rsidRPr="00744DCA">
        <w:rPr>
          <w:noProof/>
        </w:rPr>
        <w:t>The first pillar is composed of measures to ensure that the conditions necessary for the competitiveness of the EDTIB exist, the appropriate legal basis for such measures is Article 173. As described in the EDIS, Russia’s unlawful war of aggression against Ukraine has drastically and structurally modifed the security environment in Europe which results into a new market situation for the EDTIB. Yet two years after the outbreak of Russia</w:t>
      </w:r>
      <w:r w:rsidR="707A433F" w:rsidRPr="00744DCA">
        <w:rPr>
          <w:noProof/>
        </w:rPr>
        <w:t>’s</w:t>
      </w:r>
      <w:r w:rsidRPr="00744DCA">
        <w:rPr>
          <w:noProof/>
        </w:rPr>
        <w:t xml:space="preserve"> unjustified war in Ukraine, the EDTIB still needs to adapt to this new reality. Also, as stated in the EDIS, the EDTIB needs to adopt a flexible production apparatus, able to adapt and adjust to the evolution of European demand. Hence, in line with Article 173 paragraph 1, the Commission can take action aiming at speeding up the adjustment of the defence industry to structural changes. Measures like the extension of the EDIRPA and ASAP logic, the set</w:t>
      </w:r>
      <w:r w:rsidR="70F13768" w:rsidRPr="00744DCA">
        <w:rPr>
          <w:noProof/>
        </w:rPr>
        <w:t>-</w:t>
      </w:r>
      <w:r w:rsidRPr="00744DCA">
        <w:rPr>
          <w:noProof/>
        </w:rPr>
        <w:t xml:space="preserve">up of the </w:t>
      </w:r>
      <w:r w:rsidR="253927CC" w:rsidRPr="00744DCA">
        <w:rPr>
          <w:noProof/>
        </w:rPr>
        <w:t>SEAP</w:t>
      </w:r>
      <w:r w:rsidRPr="00744DCA">
        <w:rPr>
          <w:noProof/>
        </w:rPr>
        <w:t xml:space="preserve"> legal framework as well as the establishment of the fund will aim at helping the EDTIB to adapt to the new market reality. Finally, according to Article 173 paragraph 2, the Commission may take any useful initiative to promote coordination amongst Member States in the field of defence industrial policy. </w:t>
      </w:r>
    </w:p>
    <w:p w14:paraId="670DCE75" w14:textId="77777777" w:rsidR="007C06DB" w:rsidRPr="00744DCA" w:rsidRDefault="076B5C2F" w:rsidP="00B33FEA">
      <w:pPr>
        <w:pStyle w:val="Tiret0"/>
        <w:rPr>
          <w:noProof/>
        </w:rPr>
      </w:pPr>
      <w:r w:rsidRPr="00744DCA">
        <w:rPr>
          <w:noProof/>
        </w:rPr>
        <w:t>The second pillar is composed of measures which have as their object the functioning of the internal market and in particular the EDEM, the appropriate legal basis for such measures is Article 114. Ensuring the public security of the territory of the Union constitutes an overriding public policy objective and this security depends also on the availability of defence goods and services in sufficient quantities. As described in the EDIS, the current geopolitical context results in a general increase for defence equipment and potential future peak of demand for specific defence products in the Union and possibly at global scale. This situation affects the functioning of internal market for these products and threatens their security of supply. Member States are primar</w:t>
      </w:r>
      <w:r w:rsidR="33EBC1BA" w:rsidRPr="00744DCA">
        <w:rPr>
          <w:noProof/>
        </w:rPr>
        <w:t>i</w:t>
      </w:r>
      <w:r w:rsidRPr="00744DCA">
        <w:rPr>
          <w:noProof/>
        </w:rPr>
        <w:t>ly responsible to ensure their military SoS, as a matter of national defence. However, as explained in the EDIS, there is an increasingly European dimension to SoS. Also, notably as illustrated in the supply crisis of ammunition addressed by ASAP, divergent national legislation, in particular regarding the certification of defence products</w:t>
      </w:r>
      <w:r w:rsidR="744A8098" w:rsidRPr="00744DCA">
        <w:rPr>
          <w:noProof/>
        </w:rPr>
        <w:t xml:space="preserve"> </w:t>
      </w:r>
      <w:r w:rsidRPr="00744DCA">
        <w:rPr>
          <w:noProof/>
        </w:rPr>
        <w:t>and divergent approaches to national security have proven to be bottlenecks for European defence products supply chains and obstacles to interoperability. Therefore, ensuring the functioning of the internal market, by avoiding shortages of defence products in the Union, can be best addressed through Union</w:t>
      </w:r>
      <w:r w:rsidR="559D314C" w:rsidRPr="00744DCA">
        <w:rPr>
          <w:noProof/>
        </w:rPr>
        <w:t xml:space="preserve"> </w:t>
      </w:r>
      <w:r w:rsidRPr="00744DCA">
        <w:rPr>
          <w:noProof/>
        </w:rPr>
        <w:t>harmonising legislation based on Article 114 of the Treaty. The set</w:t>
      </w:r>
      <w:r w:rsidR="223BA201" w:rsidRPr="00744DCA">
        <w:rPr>
          <w:noProof/>
        </w:rPr>
        <w:t>-</w:t>
      </w:r>
      <w:r w:rsidRPr="00744DCA">
        <w:rPr>
          <w:noProof/>
        </w:rPr>
        <w:t xml:space="preserve">up of an EU-wide SoS regime for defence equipment </w:t>
      </w:r>
      <w:r w:rsidR="26072C3B" w:rsidRPr="00744DCA">
        <w:rPr>
          <w:noProof/>
        </w:rPr>
        <w:t>re</w:t>
      </w:r>
      <w:r w:rsidRPr="00744DCA">
        <w:rPr>
          <w:noProof/>
        </w:rPr>
        <w:t>lies on several aspects. Firstly, EDIP includes measures to enhance the preparedness of Member States in the new geopolitical context characterized notably by the need to replenish stocks and further expand defence capabuilities as soon as possible. EDIP notably includes measures to simplify the re-opening of existing and future framework contracts with the EDTIB  to other Member States. Secondly, EDIP entails measures to perform an identification and monitoring of critical products and industrial capacities in the supply chains of certain defence products. Finally, when a supply crisis arises, EDIP provide</w:t>
      </w:r>
      <w:r w:rsidR="333D9207" w:rsidRPr="00744DCA">
        <w:rPr>
          <w:noProof/>
        </w:rPr>
        <w:t>s</w:t>
      </w:r>
      <w:r w:rsidRPr="00744DCA">
        <w:rPr>
          <w:noProof/>
        </w:rPr>
        <w:t xml:space="preserve"> for </w:t>
      </w:r>
      <w:r w:rsidRPr="00744DCA">
        <w:rPr>
          <w:noProof/>
          <w:lang w:eastAsia="en-IE"/>
        </w:rPr>
        <w:t xml:space="preserve">a modular and gradual crisis management framework, with the possibility given to the Board to decide on the most appropriate mode of crisis management and, for the more serious crises, on measures to be activated. Hence, </w:t>
      </w:r>
      <w:r w:rsidRPr="00744DCA">
        <w:rPr>
          <w:noProof/>
        </w:rPr>
        <w:t xml:space="preserve">EDIP will ensure that supply disruption are well anticipated and addressed without delay in order to preserve the functioning of the internal market and ensure an adequate level of SoS for Member States. </w:t>
      </w:r>
    </w:p>
    <w:p w14:paraId="17B64442" w14:textId="77777777" w:rsidR="007C06DB" w:rsidRPr="00744DCA" w:rsidRDefault="076B5C2F" w:rsidP="00B33FEA">
      <w:pPr>
        <w:pStyle w:val="Tiret0"/>
        <w:rPr>
          <w:noProof/>
        </w:rPr>
      </w:pPr>
      <w:r w:rsidRPr="00744DCA">
        <w:rPr>
          <w:noProof/>
        </w:rPr>
        <w:t>The third pillar is composed of measures contributing to the recovery, reconstruction and modernisation of the Ukrainian DTIB and progressive integration into the EDTIB</w:t>
      </w:r>
      <w:r w:rsidR="0F70553A" w:rsidRPr="00744DCA">
        <w:rPr>
          <w:noProof/>
        </w:rPr>
        <w:t>.</w:t>
      </w:r>
      <w:r w:rsidRPr="00744DCA">
        <w:rPr>
          <w:noProof/>
        </w:rPr>
        <w:t xml:space="preserve"> </w:t>
      </w:r>
      <w:r w:rsidR="0F70553A" w:rsidRPr="00744DCA">
        <w:rPr>
          <w:noProof/>
        </w:rPr>
        <w:t xml:space="preserve">The </w:t>
      </w:r>
      <w:r w:rsidRPr="00744DCA">
        <w:rPr>
          <w:noProof/>
        </w:rPr>
        <w:t>appropriate legal basis for such measures is Article 212. Special attention shall be given to the objective to support Ukraine to progressively align with Union rules, standards, policies and practices (‘acquis’) with a view to future Union membership. With this third pillar, the Union's operations will complement and reinforce those of the Member States.</w:t>
      </w:r>
    </w:p>
    <w:p w14:paraId="46656514" w14:textId="77777777" w:rsidR="007C06DB" w:rsidRPr="00744DCA" w:rsidRDefault="007C06DB" w:rsidP="007C06DB">
      <w:pPr>
        <w:pBdr>
          <w:top w:val="nil"/>
          <w:left w:val="nil"/>
          <w:bottom w:val="nil"/>
          <w:right w:val="nil"/>
          <w:between w:val="nil"/>
          <w:bar w:val="nil"/>
        </w:pBdr>
        <w:spacing w:before="0" w:after="240"/>
        <w:rPr>
          <w:rFonts w:eastAsia="Arial Unicode MS"/>
          <w:noProof/>
        </w:rPr>
      </w:pPr>
      <w:r w:rsidRPr="00744DCA">
        <w:rPr>
          <w:rFonts w:eastAsia="Arial Unicode MS"/>
          <w:noProof/>
          <w:szCs w:val="24"/>
        </w:rPr>
        <w:t>Other articles of the TFEU or each article on its own cannot justify the three of the above pillars and the measures they entail. The proposed elements are provided in one act, as all the measures constitute a coherent approach to address, in different ways, the need for strengthening of the Union’s defence industrial readiness.</w:t>
      </w:r>
    </w:p>
    <w:p w14:paraId="3AE38695" w14:textId="77777777" w:rsidR="007C06DB" w:rsidRPr="00744DCA" w:rsidRDefault="007C06DB">
      <w:pPr>
        <w:pStyle w:val="ManualHeading2"/>
        <w:rPr>
          <w:rFonts w:eastAsia="Arial Unicode MS"/>
          <w:noProof/>
          <w:u w:color="000000"/>
          <w:bdr w:val="nil"/>
          <w:lang w:val="en-US" w:eastAsia="en-GB"/>
        </w:rPr>
      </w:pPr>
      <w:r w:rsidRPr="00744DCA">
        <w:rPr>
          <w:rFonts w:eastAsia="Arial Unicode MS"/>
          <w:noProof/>
          <w:u w:color="000000"/>
          <w:bdr w:val="nil"/>
          <w:lang w:val="en-US" w:eastAsia="en-GB"/>
        </w:rPr>
        <w:t>•</w:t>
      </w:r>
      <w:r w:rsidRPr="00744DCA">
        <w:rPr>
          <w:rFonts w:eastAsia="Arial Unicode MS"/>
          <w:noProof/>
          <w:u w:color="000000"/>
          <w:bdr w:val="nil"/>
          <w:lang w:val="en-US" w:eastAsia="en-GB"/>
        </w:rPr>
        <w:tab/>
        <w:t xml:space="preserve">Subsidiarity (for non-exclusive competence) </w:t>
      </w:r>
    </w:p>
    <w:p w14:paraId="45AEE58F" w14:textId="77777777" w:rsidR="007C06DB" w:rsidRPr="00744DCA" w:rsidRDefault="007C06DB" w:rsidP="007C06DB">
      <w:pPr>
        <w:pStyle w:val="paragraph"/>
        <w:spacing w:before="0" w:beforeAutospacing="0" w:after="240" w:afterAutospacing="0" w:line="276" w:lineRule="auto"/>
        <w:jc w:val="both"/>
        <w:textAlignment w:val="baseline"/>
        <w:rPr>
          <w:noProof/>
        </w:rPr>
      </w:pPr>
      <w:r w:rsidRPr="00744DCA">
        <w:rPr>
          <w:noProof/>
        </w:rPr>
        <w:t>Member State</w:t>
      </w:r>
      <w:r w:rsidR="00875A5D" w:rsidRPr="00744DCA">
        <w:rPr>
          <w:noProof/>
        </w:rPr>
        <w:t>s</w:t>
      </w:r>
      <w:r w:rsidRPr="00744DCA">
        <w:rPr>
          <w:noProof/>
        </w:rPr>
        <w:t xml:space="preserve"> critically rely on the capacity of the EDTIB to meet the needs of their armed forces in time and scale. The size of damages caused to Ukraine and to the Ukraine defence industrial base by Russia’s war of aggression is such that Ukraine will require extensive and sustained support that no Member State </w:t>
      </w:r>
      <w:r w:rsidR="00B75444" w:rsidRPr="00744DCA">
        <w:rPr>
          <w:noProof/>
        </w:rPr>
        <w:t xml:space="preserve">can </w:t>
      </w:r>
      <w:r w:rsidRPr="00744DCA">
        <w:rPr>
          <w:noProof/>
        </w:rPr>
        <w:t>provide alone. It is therefore key to ensure that both the EDTIB and the Ukrainian DTIB are capable of pe</w:t>
      </w:r>
      <w:r w:rsidR="00A17510" w:rsidRPr="00744DCA">
        <w:rPr>
          <w:noProof/>
        </w:rPr>
        <w:t>r</w:t>
      </w:r>
      <w:r w:rsidRPr="00744DCA">
        <w:rPr>
          <w:noProof/>
        </w:rPr>
        <w:t xml:space="preserve">forming this strategic role. Action at European level appears to be the most suitable in this area. </w:t>
      </w:r>
    </w:p>
    <w:p w14:paraId="61A97A36" w14:textId="77777777" w:rsidR="007C06DB" w:rsidRPr="00744DCA" w:rsidRDefault="007C06DB" w:rsidP="007C06DB">
      <w:pPr>
        <w:pStyle w:val="paragraph"/>
        <w:spacing w:before="0" w:beforeAutospacing="0" w:after="240" w:afterAutospacing="0" w:line="276" w:lineRule="auto"/>
        <w:jc w:val="both"/>
        <w:textAlignment w:val="baseline"/>
        <w:rPr>
          <w:noProof/>
        </w:rPr>
      </w:pPr>
      <w:r w:rsidRPr="00744DCA">
        <w:rPr>
          <w:noProof/>
        </w:rPr>
        <w:t xml:space="preserve">As for the support to the competitiveness of the EDTIB: </w:t>
      </w:r>
    </w:p>
    <w:p w14:paraId="3DC24C99" w14:textId="77777777" w:rsidR="007C06DB" w:rsidRPr="00744DCA" w:rsidRDefault="076B5C2F" w:rsidP="00B33FEA">
      <w:pPr>
        <w:pStyle w:val="Tiret0"/>
        <w:rPr>
          <w:noProof/>
          <w:lang w:val="en-US"/>
        </w:rPr>
      </w:pPr>
      <w:r w:rsidRPr="00744DCA">
        <w:rPr>
          <w:noProof/>
          <w:lang w:eastAsia="en-IE"/>
        </w:rPr>
        <w:t xml:space="preserve">The Union and its Member States are faced on one side with a brutal change of their security environment resulting in an increase of European demand for defence equipment, and on the other side an EDTIB constrained by limited “peace time” production capacity. If this situation persists over the long term, it will continue to structurally affect and worsen the competitiveness of the EDTIB. </w:t>
      </w:r>
      <w:r w:rsidRPr="00744DCA">
        <w:rPr>
          <w:noProof/>
          <w:lang w:val="en-US"/>
        </w:rPr>
        <w:t xml:space="preserve">Although at lower tier levels, the EDTIB’s supply chains tend to span across borders, the latter remains structurally divided along national lines in the higher tier levels. This results from </w:t>
      </w:r>
      <w:r w:rsidR="6395DAF4" w:rsidRPr="00744DCA">
        <w:rPr>
          <w:noProof/>
          <w:lang w:val="en-US"/>
        </w:rPr>
        <w:t xml:space="preserve">EU Member States’ </w:t>
      </w:r>
      <w:r w:rsidRPr="00744DCA">
        <w:rPr>
          <w:noProof/>
          <w:lang w:val="en-US"/>
        </w:rPr>
        <w:t xml:space="preserve">demand for defence equipment, which, despite its recent increase, remains fundamentally fragmented and thereby deprives the EDTIB </w:t>
      </w:r>
      <w:r w:rsidR="2ACF4BB3" w:rsidRPr="00744DCA">
        <w:rPr>
          <w:noProof/>
          <w:lang w:val="en-US"/>
        </w:rPr>
        <w:t xml:space="preserve">of </w:t>
      </w:r>
      <w:r w:rsidRPr="00744DCA">
        <w:rPr>
          <w:noProof/>
          <w:lang w:val="en-US"/>
        </w:rPr>
        <w:t xml:space="preserve">the benefits of a trully functional </w:t>
      </w:r>
      <w:r w:rsidR="6B4E64B2" w:rsidRPr="00744DCA">
        <w:rPr>
          <w:noProof/>
          <w:lang w:val="en-US"/>
        </w:rPr>
        <w:t xml:space="preserve">EU </w:t>
      </w:r>
      <w:r w:rsidRPr="00744DCA">
        <w:rPr>
          <w:noProof/>
          <w:lang w:val="en-US"/>
        </w:rPr>
        <w:t xml:space="preserve">defence market. Member States never achieved the collective benchmark of dedicating 35% of their total defence equipment procurement to </w:t>
      </w:r>
      <w:r w:rsidR="6A960D2F" w:rsidRPr="00744DCA">
        <w:rPr>
          <w:noProof/>
          <w:lang w:val="en-US"/>
        </w:rPr>
        <w:t>E</w:t>
      </w:r>
      <w:r w:rsidRPr="00744DCA">
        <w:rPr>
          <w:noProof/>
          <w:lang w:val="en-US"/>
        </w:rPr>
        <w:t xml:space="preserve">uropean  collaborative procurement, </w:t>
      </w:r>
      <w:r w:rsidR="35B2379A" w:rsidRPr="00744DCA">
        <w:rPr>
          <w:noProof/>
          <w:lang w:val="en-US"/>
        </w:rPr>
        <w:t xml:space="preserve">that </w:t>
      </w:r>
      <w:r w:rsidRPr="00744DCA">
        <w:rPr>
          <w:noProof/>
          <w:lang w:val="en-US"/>
        </w:rPr>
        <w:t xml:space="preserve">they set for themselves in 2007. This demonstrates that Member States face considerable difficulties preventing them from increasing their joint procurement of defence equipment. Therefore, the Union is best placed to take measures to incentivise aggregation and harmonisation of </w:t>
      </w:r>
      <w:r w:rsidR="714E06C5" w:rsidRPr="00744DCA">
        <w:rPr>
          <w:noProof/>
          <w:lang w:val="en-US"/>
        </w:rPr>
        <w:t xml:space="preserve">EU </w:t>
      </w:r>
      <w:r w:rsidRPr="00744DCA">
        <w:rPr>
          <w:noProof/>
          <w:lang w:val="en-US"/>
        </w:rPr>
        <w:t>demand for defence equipment, as well as to facilitate Member States’ long</w:t>
      </w:r>
      <w:r w:rsidR="624DE2D1" w:rsidRPr="00744DCA">
        <w:rPr>
          <w:noProof/>
          <w:lang w:val="en-US"/>
        </w:rPr>
        <w:t>-</w:t>
      </w:r>
      <w:r w:rsidRPr="00744DCA">
        <w:rPr>
          <w:noProof/>
          <w:lang w:val="en-US"/>
        </w:rPr>
        <w:t xml:space="preserve">term cooperation throughout the life cycle of defence equipment. </w:t>
      </w:r>
    </w:p>
    <w:p w14:paraId="62016165" w14:textId="77777777" w:rsidR="007C06DB" w:rsidRPr="00744DCA" w:rsidRDefault="076B5C2F" w:rsidP="00B33FEA">
      <w:pPr>
        <w:pStyle w:val="Tiret0"/>
        <w:rPr>
          <w:noProof/>
          <w:lang w:val="en-US"/>
        </w:rPr>
      </w:pPr>
      <w:r w:rsidRPr="00744DCA">
        <w:rPr>
          <w:noProof/>
          <w:lang w:val="en-US"/>
        </w:rPr>
        <w:t xml:space="preserve">Also, </w:t>
      </w:r>
      <w:r w:rsidR="019D45BD" w:rsidRPr="00744DCA">
        <w:rPr>
          <w:noProof/>
          <w:lang w:val="en-US"/>
        </w:rPr>
        <w:t xml:space="preserve">lack of </w:t>
      </w:r>
      <w:r w:rsidRPr="00744DCA">
        <w:rPr>
          <w:noProof/>
          <w:lang w:val="en-US"/>
        </w:rPr>
        <w:t>coordination and over-concentration of Member States</w:t>
      </w:r>
      <w:r w:rsidR="1C728796" w:rsidRPr="00744DCA">
        <w:rPr>
          <w:noProof/>
          <w:lang w:val="en-US"/>
        </w:rPr>
        <w:t>’</w:t>
      </w:r>
      <w:r w:rsidRPr="00744DCA">
        <w:rPr>
          <w:noProof/>
          <w:lang w:val="en-US"/>
        </w:rPr>
        <w:t xml:space="preserve"> demand on the same type of defence products, in the same time</w:t>
      </w:r>
      <w:r w:rsidR="3DB71405" w:rsidRPr="00744DCA">
        <w:rPr>
          <w:noProof/>
          <w:lang w:val="en-US"/>
        </w:rPr>
        <w:t>-</w:t>
      </w:r>
      <w:r w:rsidRPr="00744DCA">
        <w:rPr>
          <w:noProof/>
          <w:lang w:val="en-US"/>
        </w:rPr>
        <w:t xml:space="preserve">frame, and possibly coupled with shortages of supplies, would result in spiralling prices and </w:t>
      </w:r>
      <w:r w:rsidR="42089247" w:rsidRPr="00744DCA">
        <w:rPr>
          <w:noProof/>
          <w:lang w:val="en-US"/>
        </w:rPr>
        <w:t>crowding</w:t>
      </w:r>
      <w:r w:rsidRPr="00744DCA">
        <w:rPr>
          <w:noProof/>
          <w:lang w:val="en-US"/>
        </w:rPr>
        <w:t xml:space="preserve">-out effect (i.e. difficulties for Member States with more limited purchasing power to secure required defence items). Therefore, by preventing potential conflicts between parallel national procurement efforts, measures put in place at European level to aggregate </w:t>
      </w:r>
      <w:r w:rsidR="22D224F3" w:rsidRPr="00744DCA">
        <w:rPr>
          <w:noProof/>
          <w:lang w:val="en-US"/>
        </w:rPr>
        <w:t xml:space="preserve">EU Member States’ </w:t>
      </w:r>
      <w:r w:rsidRPr="00744DCA">
        <w:rPr>
          <w:noProof/>
          <w:lang w:val="en-US"/>
        </w:rPr>
        <w:t>demand, will also streng</w:t>
      </w:r>
      <w:r w:rsidR="2FD30147" w:rsidRPr="00744DCA">
        <w:rPr>
          <w:noProof/>
          <w:lang w:val="en-US"/>
        </w:rPr>
        <w:t>t</w:t>
      </w:r>
      <w:r w:rsidRPr="00744DCA">
        <w:rPr>
          <w:noProof/>
          <w:lang w:val="en-US"/>
        </w:rPr>
        <w:t xml:space="preserve">hen solidarity between Member States. </w:t>
      </w:r>
    </w:p>
    <w:p w14:paraId="6A025B65" w14:textId="77777777" w:rsidR="007C06DB" w:rsidRPr="00744DCA" w:rsidRDefault="076B5C2F" w:rsidP="003D5D3A">
      <w:pPr>
        <w:pStyle w:val="Tiret0"/>
        <w:rPr>
          <w:noProof/>
          <w:szCs w:val="24"/>
          <w:lang w:val="en-US"/>
        </w:rPr>
      </w:pPr>
      <w:r w:rsidRPr="00744DCA">
        <w:rPr>
          <w:noProof/>
          <w:lang w:val="en-US"/>
        </w:rPr>
        <w:t xml:space="preserve">Uncoordinated demand also reduces the visibility of market trends. In turn, the lack of visibility and predictability of European demand hampers the capacity of industry to invest, in a sector that is entirely demand driven. Yet, pressed by a new security environment, the Union cannot afford to wait until the EDTIB has sufficient predictability of orders to invest in adapting its production capacity. The </w:t>
      </w:r>
      <w:r w:rsidR="02DA9FBF" w:rsidRPr="00744DCA">
        <w:rPr>
          <w:noProof/>
          <w:lang w:val="en-US"/>
        </w:rPr>
        <w:t xml:space="preserve">European </w:t>
      </w:r>
      <w:r w:rsidRPr="00744DCA">
        <w:rPr>
          <w:noProof/>
          <w:lang w:val="en-US"/>
        </w:rPr>
        <w:t xml:space="preserve">defence industry needs to adapt as quickly as possible to the new market situation. This means that there is a need to support de-risking industry’s investments in flexible manufacturing capacities. </w:t>
      </w:r>
      <w:r w:rsidR="61C8927B" w:rsidRPr="00744DCA">
        <w:rPr>
          <w:noProof/>
          <w:lang w:val="en-US"/>
        </w:rPr>
        <w:t>An</w:t>
      </w:r>
      <w:r w:rsidRPr="00744DCA">
        <w:rPr>
          <w:noProof/>
          <w:lang w:val="en-US"/>
        </w:rPr>
        <w:t xml:space="preserve"> intervention of this type at Member State level only could lead to inbalances in the geographical distribution of investment and in an increase of the fragmentation of supply chains. The European level would also appear to be the most appropriate for taking action to de-risk investment in the EDTIB, throughout the Union and with a view to helping the sector develop a flexible production apparatus.</w:t>
      </w:r>
    </w:p>
    <w:p w14:paraId="77792D9F" w14:textId="77777777" w:rsidR="007C06DB" w:rsidRPr="00744DCA" w:rsidRDefault="076B5C2F" w:rsidP="00B33FEA">
      <w:pPr>
        <w:pStyle w:val="Tiret0"/>
        <w:rPr>
          <w:noProof/>
          <w:lang w:val="en-US"/>
        </w:rPr>
      </w:pPr>
      <w:r w:rsidRPr="00744DCA">
        <w:rPr>
          <w:noProof/>
          <w:lang w:val="en-US"/>
        </w:rPr>
        <w:t xml:space="preserve">It is also important for the EDTIB’s competitiveness to capitalise on the results of the EDF, both in terms of products or technologies resulting from the programmes’ projects, and of the opening up of supply chains achieved thanks to them. However, several issues might hamper or even deter common </w:t>
      </w:r>
      <w:r w:rsidR="4683BF7B" w:rsidRPr="00744DCA">
        <w:rPr>
          <w:noProof/>
          <w:lang w:val="en-US"/>
        </w:rPr>
        <w:t xml:space="preserve">procurement </w:t>
      </w:r>
      <w:r w:rsidRPr="00744DCA">
        <w:rPr>
          <w:noProof/>
          <w:lang w:val="en-US"/>
        </w:rPr>
        <w:t>of end products stemming from EDF R&amp;D. This means that EDF project results may face a new ‘</w:t>
      </w:r>
      <w:r w:rsidR="40954122" w:rsidRPr="00744DCA">
        <w:rPr>
          <w:noProof/>
          <w:lang w:val="en-US"/>
        </w:rPr>
        <w:t>commercialisation gap</w:t>
      </w:r>
      <w:r w:rsidRPr="00744DCA">
        <w:rPr>
          <w:noProof/>
          <w:lang w:val="en-US"/>
        </w:rPr>
        <w:t xml:space="preserve">’ in their post R&amp;D phases that Member States alone cannot address. The Union is best positioned to take action to ensure that collaborative efforts initiated under EDF continue beyond the R&amp;D phase. </w:t>
      </w:r>
    </w:p>
    <w:p w14:paraId="7ED8173B" w14:textId="77777777" w:rsidR="007C06DB" w:rsidRPr="00744DCA" w:rsidRDefault="007C06DB" w:rsidP="007C06DB">
      <w:pPr>
        <w:keepNext/>
        <w:outlineLvl w:val="1"/>
        <w:rPr>
          <w:rFonts w:eastAsia="Times New Roman"/>
          <w:noProof/>
          <w:szCs w:val="24"/>
          <w:lang w:val="en-US"/>
        </w:rPr>
      </w:pPr>
      <w:r w:rsidRPr="00744DCA">
        <w:rPr>
          <w:rFonts w:eastAsia="Times New Roman"/>
          <w:noProof/>
          <w:szCs w:val="24"/>
          <w:lang w:val="en-US"/>
        </w:rPr>
        <w:t xml:space="preserve">As for the SoS of defence equipment in Europe: </w:t>
      </w:r>
    </w:p>
    <w:p w14:paraId="430036FB" w14:textId="77777777" w:rsidR="007C06DB" w:rsidRPr="00744DCA" w:rsidRDefault="076B5C2F" w:rsidP="00B91A8D">
      <w:pPr>
        <w:pStyle w:val="li"/>
        <w:numPr>
          <w:ilvl w:val="0"/>
          <w:numId w:val="18"/>
        </w:numPr>
        <w:shd w:val="clear" w:color="auto" w:fill="FFFFFF" w:themeFill="background1"/>
        <w:spacing w:before="0" w:beforeAutospacing="0" w:after="0" w:afterAutospacing="0"/>
        <w:jc w:val="both"/>
        <w:rPr>
          <w:rFonts w:eastAsia="Arial Unicode MS"/>
          <w:noProof/>
          <w:lang w:eastAsia="en-US"/>
        </w:rPr>
      </w:pPr>
      <w:r w:rsidRPr="00744DCA">
        <w:rPr>
          <w:rFonts w:eastAsia="Arial Unicode MS"/>
          <w:noProof/>
          <w:lang w:eastAsia="en-US"/>
        </w:rPr>
        <w:t xml:space="preserve">Even though </w:t>
      </w:r>
      <w:r w:rsidR="522F5E1A" w:rsidRPr="00744DCA">
        <w:rPr>
          <w:rFonts w:eastAsia="Arial Unicode MS"/>
          <w:noProof/>
          <w:lang w:eastAsia="en-US"/>
        </w:rPr>
        <w:t xml:space="preserve">defence </w:t>
      </w:r>
      <w:r w:rsidRPr="00744DCA">
        <w:rPr>
          <w:rFonts w:eastAsia="Arial Unicode MS"/>
          <w:noProof/>
          <w:lang w:eastAsia="en-US"/>
        </w:rPr>
        <w:t xml:space="preserve">SoS has been primarily defined at Member State’s level since defence is a national competence, there is an increasingly European dimension to SoS, as industrial supply chains increasingly span across the EU internal market and beyond. This is in particular true for </w:t>
      </w:r>
      <w:r w:rsidRPr="00744DCA">
        <w:rPr>
          <w:noProof/>
        </w:rPr>
        <w:t xml:space="preserve">critical components and raw materials on which Member States are also increasingly interdependent. </w:t>
      </w:r>
      <w:r w:rsidRPr="00744DCA">
        <w:rPr>
          <w:noProof/>
          <w:lang w:val="en-US"/>
        </w:rPr>
        <w:t xml:space="preserve">Also as illustrated by the ammunition plan, </w:t>
      </w:r>
      <w:r w:rsidRPr="00744DCA">
        <w:rPr>
          <w:noProof/>
        </w:rPr>
        <w:t xml:space="preserve">Member States have little visibility on the overall capacities and of the supply chains of the EDTIB, preventing them from making informed decisions. Therefore, in order to ensure a sufficient level of SoS, including in crisis time, it is </w:t>
      </w:r>
      <w:r w:rsidRPr="00744DCA">
        <w:rPr>
          <w:rFonts w:eastAsia="Arial Unicode MS"/>
          <w:noProof/>
          <w:lang w:eastAsia="en-US"/>
        </w:rPr>
        <w:t>appropriate to envisage at Union level the establishment of an EU</w:t>
      </w:r>
      <w:r w:rsidR="7C6AEA46" w:rsidRPr="00744DCA">
        <w:rPr>
          <w:rFonts w:eastAsia="Arial Unicode MS"/>
          <w:noProof/>
          <w:lang w:eastAsia="en-US"/>
        </w:rPr>
        <w:t>-</w:t>
      </w:r>
      <w:r w:rsidRPr="00744DCA">
        <w:rPr>
          <w:rFonts w:eastAsia="Arial Unicode MS"/>
          <w:noProof/>
          <w:lang w:eastAsia="en-US"/>
        </w:rPr>
        <w:t>wide SoS regime under EDIP. Such framework will enhance the coordination of response</w:t>
      </w:r>
      <w:r w:rsidR="2C6465E2" w:rsidRPr="00744DCA">
        <w:rPr>
          <w:rFonts w:eastAsia="Arial Unicode MS"/>
          <w:noProof/>
          <w:lang w:eastAsia="en-US"/>
        </w:rPr>
        <w:t>s</w:t>
      </w:r>
      <w:r w:rsidRPr="00744DCA">
        <w:rPr>
          <w:rFonts w:eastAsia="Arial Unicode MS"/>
          <w:noProof/>
          <w:lang w:eastAsia="en-US"/>
        </w:rPr>
        <w:t xml:space="preserve"> to supply crises of defence products and M</w:t>
      </w:r>
      <w:r w:rsidR="29EB15C6" w:rsidRPr="00744DCA">
        <w:rPr>
          <w:rFonts w:eastAsia="Arial Unicode MS"/>
          <w:noProof/>
          <w:lang w:eastAsia="en-US"/>
        </w:rPr>
        <w:t>ember States</w:t>
      </w:r>
      <w:r w:rsidRPr="00744DCA">
        <w:rPr>
          <w:rFonts w:eastAsia="Arial Unicode MS"/>
          <w:noProof/>
          <w:lang w:eastAsia="en-US"/>
        </w:rPr>
        <w:t>’ trust in cross-border supply chains, as well as strenghten</w:t>
      </w:r>
      <w:r w:rsidR="5140066D" w:rsidRPr="00744DCA">
        <w:rPr>
          <w:rFonts w:eastAsia="Arial Unicode MS"/>
          <w:noProof/>
          <w:lang w:eastAsia="en-US"/>
        </w:rPr>
        <w:t>ing</w:t>
      </w:r>
      <w:r w:rsidRPr="00744DCA">
        <w:rPr>
          <w:rFonts w:eastAsia="Arial Unicode MS"/>
          <w:noProof/>
          <w:lang w:eastAsia="en-US"/>
        </w:rPr>
        <w:t xml:space="preserve"> the EDTIB’s resilience, for the benefit of all Member States, </w:t>
      </w:r>
      <w:r w:rsidRPr="00744DCA">
        <w:rPr>
          <w:rFonts w:eastAsia="Arial Unicode MS"/>
          <w:noProof/>
          <w:lang w:val="en-GB" w:eastAsia="en-US"/>
        </w:rPr>
        <w:t>in a more effective way than through a patchwork of parallel national measures.</w:t>
      </w:r>
    </w:p>
    <w:p w14:paraId="7A4A2175" w14:textId="77777777" w:rsidR="007C06DB" w:rsidRPr="00744DCA" w:rsidRDefault="076B5C2F" w:rsidP="77F4BA51">
      <w:pPr>
        <w:keepNext/>
        <w:outlineLvl w:val="1"/>
        <w:rPr>
          <w:rFonts w:eastAsia="Times New Roman"/>
          <w:noProof/>
          <w:lang w:val="en-US"/>
        </w:rPr>
      </w:pPr>
      <w:r w:rsidRPr="00744DCA">
        <w:rPr>
          <w:rFonts w:eastAsia="Times New Roman"/>
          <w:noProof/>
          <w:lang w:val="en-US"/>
        </w:rPr>
        <w:t xml:space="preserve">As for the </w:t>
      </w:r>
      <w:r w:rsidRPr="00744DCA">
        <w:rPr>
          <w:rFonts w:eastAsia="Times New Roman"/>
          <w:noProof/>
        </w:rPr>
        <w:t>streng</w:t>
      </w:r>
      <w:r w:rsidR="4CE274DE" w:rsidRPr="00744DCA">
        <w:rPr>
          <w:rFonts w:eastAsia="Times New Roman"/>
          <w:noProof/>
        </w:rPr>
        <w:t>t</w:t>
      </w:r>
      <w:r w:rsidRPr="00744DCA">
        <w:rPr>
          <w:rFonts w:eastAsia="Times New Roman"/>
          <w:noProof/>
        </w:rPr>
        <w:t>hening of the Ukrainian DTIB:</w:t>
      </w:r>
    </w:p>
    <w:p w14:paraId="08F28363" w14:textId="77777777" w:rsidR="007C06DB" w:rsidRPr="00744DCA" w:rsidRDefault="076B5C2F" w:rsidP="00B91A8D">
      <w:pPr>
        <w:pStyle w:val="li"/>
        <w:numPr>
          <w:ilvl w:val="0"/>
          <w:numId w:val="18"/>
        </w:numPr>
        <w:shd w:val="clear" w:color="auto" w:fill="FFFFFF" w:themeFill="background1"/>
        <w:spacing w:before="0" w:beforeAutospacing="0" w:after="0" w:afterAutospacing="0"/>
        <w:jc w:val="both"/>
        <w:rPr>
          <w:rFonts w:eastAsia="Arial Unicode MS"/>
          <w:noProof/>
        </w:rPr>
      </w:pPr>
      <w:r w:rsidRPr="00744DCA">
        <w:rPr>
          <w:rFonts w:eastAsia="Arial Unicode MS"/>
          <w:noProof/>
          <w:lang w:eastAsia="en-US"/>
        </w:rPr>
        <w:t>The</w:t>
      </w:r>
      <w:r w:rsidRPr="00744DCA">
        <w:rPr>
          <w:noProof/>
          <w:lang w:val="en-US"/>
        </w:rPr>
        <w:t xml:space="preserve"> Ukraine’s defence industry is a strategically important sector of the Ukrainian’s economy. The country is seeking to maintain and increase its production capacity to meet its national defence equipment needs. However, the s</w:t>
      </w:r>
      <w:r w:rsidR="43A3D2D1" w:rsidRPr="00744DCA">
        <w:rPr>
          <w:noProof/>
          <w:lang w:val="en-US"/>
        </w:rPr>
        <w:t>cale</w:t>
      </w:r>
      <w:r w:rsidRPr="00744DCA">
        <w:rPr>
          <w:noProof/>
          <w:lang w:val="en-US"/>
        </w:rPr>
        <w:t xml:space="preserve"> of damage caused by Russia’s war of aggression to the Ukrainian DTIB infrastructures is such that Ukraine will require a specific support that no Member State could provide alone. Measures proposed under EDIP will directly streng</w:t>
      </w:r>
      <w:r w:rsidR="41A56CDD" w:rsidRPr="00744DCA">
        <w:rPr>
          <w:noProof/>
          <w:lang w:val="en-US"/>
        </w:rPr>
        <w:t>t</w:t>
      </w:r>
      <w:r w:rsidRPr="00744DCA">
        <w:rPr>
          <w:noProof/>
          <w:lang w:val="en-US"/>
        </w:rPr>
        <w:t xml:space="preserve">hen the Ukrainian DTIB and enhance its industrial cooperation with the EDTIB.  With EDIP, the EU is in a unique position to encourage in time and at scale both DTIBs to meet in a joint effort the needs of Ukraine and of Member States.  With its presence on the ground in Ukraine through its Delegation, the EU can ensure comprehensive access to information on developments affecting the country. The EU is a </w:t>
      </w:r>
      <w:r w:rsidR="75656815" w:rsidRPr="00744DCA">
        <w:rPr>
          <w:noProof/>
          <w:lang w:val="en-US"/>
        </w:rPr>
        <w:t>major</w:t>
      </w:r>
      <w:r w:rsidRPr="00744DCA">
        <w:rPr>
          <w:noProof/>
          <w:lang w:val="en-US"/>
        </w:rPr>
        <w:t xml:space="preserve"> actor </w:t>
      </w:r>
      <w:r w:rsidR="65AC1D74" w:rsidRPr="00744DCA">
        <w:rPr>
          <w:noProof/>
          <w:lang w:val="en-US"/>
        </w:rPr>
        <w:t xml:space="preserve">in the field </w:t>
      </w:r>
      <w:r w:rsidRPr="00744DCA">
        <w:rPr>
          <w:noProof/>
          <w:lang w:val="en-US"/>
        </w:rPr>
        <w:t>of military assistance provided to Ukraine and also  participate</w:t>
      </w:r>
      <w:r w:rsidR="354DE150" w:rsidRPr="00744DCA">
        <w:rPr>
          <w:noProof/>
          <w:lang w:val="en-US"/>
        </w:rPr>
        <w:t>s</w:t>
      </w:r>
      <w:r w:rsidRPr="00744DCA">
        <w:rPr>
          <w:noProof/>
          <w:lang w:val="en-US"/>
        </w:rPr>
        <w:t xml:space="preserve"> </w:t>
      </w:r>
      <w:r w:rsidR="3B69EF83" w:rsidRPr="00744DCA">
        <w:rPr>
          <w:noProof/>
          <w:lang w:val="en-US"/>
        </w:rPr>
        <w:t>in</w:t>
      </w:r>
      <w:r w:rsidRPr="00744DCA">
        <w:rPr>
          <w:noProof/>
          <w:lang w:val="en-US"/>
        </w:rPr>
        <w:t xml:space="preserve"> most of the multilateral processes aim</w:t>
      </w:r>
      <w:r w:rsidR="588E4B42" w:rsidRPr="00744DCA">
        <w:rPr>
          <w:noProof/>
          <w:lang w:val="en-US"/>
        </w:rPr>
        <w:t>ed</w:t>
      </w:r>
      <w:r w:rsidRPr="00744DCA">
        <w:rPr>
          <w:noProof/>
          <w:lang w:val="en-US"/>
        </w:rPr>
        <w:t xml:space="preserve"> at addressing </w:t>
      </w:r>
      <w:r w:rsidR="59B88D68" w:rsidRPr="00744DCA">
        <w:rPr>
          <w:noProof/>
          <w:lang w:val="en-US"/>
        </w:rPr>
        <w:t xml:space="preserve">defence </w:t>
      </w:r>
      <w:r w:rsidRPr="00744DCA">
        <w:rPr>
          <w:noProof/>
          <w:lang w:val="en-US"/>
        </w:rPr>
        <w:t>challenges that Ukraine is facing. This allows the EU to be constantly aware of new needs in terms of defence equipment and circumstances of Ukraine’s defence production capacities and, therefore, to adapt support according to evolving needs, coordinating closely with other national or industrial stakeholders. The objective of preparing candidate countries and potential candidates for Union membership can also be best addressed at Union level.</w:t>
      </w:r>
    </w:p>
    <w:p w14:paraId="5AA7266F" w14:textId="77777777" w:rsidR="007C06DB" w:rsidRPr="00744DCA" w:rsidRDefault="007C06DB">
      <w:pPr>
        <w:pStyle w:val="ManualHeading2"/>
        <w:rPr>
          <w:rFonts w:eastAsia="Arial Unicode MS"/>
          <w:noProof/>
          <w:u w:color="000000"/>
          <w:bdr w:val="nil"/>
          <w:lang w:val="en-US" w:eastAsia="en-GB"/>
        </w:rPr>
      </w:pPr>
      <w:r w:rsidRPr="00744DCA">
        <w:rPr>
          <w:rFonts w:eastAsia="Arial Unicode MS"/>
          <w:noProof/>
          <w:u w:color="000000"/>
          <w:bdr w:val="nil"/>
          <w:lang w:val="en-US" w:eastAsia="en-GB"/>
        </w:rPr>
        <w:t>•</w:t>
      </w:r>
      <w:r w:rsidRPr="00744DCA">
        <w:rPr>
          <w:rFonts w:eastAsia="Arial Unicode MS"/>
          <w:noProof/>
          <w:u w:color="000000"/>
          <w:bdr w:val="nil"/>
          <w:lang w:val="en-US" w:eastAsia="en-GB"/>
        </w:rPr>
        <w:tab/>
        <w:t>Proportionality</w:t>
      </w:r>
    </w:p>
    <w:p w14:paraId="597A5660" w14:textId="77777777" w:rsidR="007C06DB" w:rsidRPr="00744DCA" w:rsidRDefault="007C06DB" w:rsidP="007C06DB">
      <w:pPr>
        <w:keepNext/>
        <w:outlineLvl w:val="1"/>
        <w:rPr>
          <w:rFonts w:eastAsia="Times New Roman"/>
          <w:noProof/>
          <w:kern w:val="2"/>
          <w:szCs w:val="24"/>
          <w:lang w:val="en-US"/>
          <w14:ligatures w14:val="standardContextual"/>
        </w:rPr>
      </w:pPr>
      <w:r w:rsidRPr="00744DCA">
        <w:rPr>
          <w:rFonts w:eastAsia="Times New Roman"/>
          <w:noProof/>
          <w:kern w:val="2"/>
          <w:szCs w:val="24"/>
          <w:lang w:val="en-US"/>
          <w14:ligatures w14:val="standardContextual"/>
        </w:rPr>
        <w:t>The proposal complies with the proportionality principle in that it does not go beyond the minimum required to achieve the stated objectives at the European level and which is necessary for that purpose.</w:t>
      </w:r>
    </w:p>
    <w:p w14:paraId="455089D9" w14:textId="77777777" w:rsidR="007C06DB" w:rsidRPr="00744DCA" w:rsidRDefault="007C06DB" w:rsidP="007C06DB">
      <w:pPr>
        <w:pBdr>
          <w:top w:val="nil"/>
          <w:left w:val="nil"/>
          <w:bottom w:val="nil"/>
          <w:right w:val="nil"/>
          <w:between w:val="nil"/>
          <w:bar w:val="nil"/>
        </w:pBdr>
        <w:spacing w:before="0" w:after="240"/>
        <w:rPr>
          <w:rFonts w:eastAsia="Arial Unicode MS"/>
          <w:noProof/>
        </w:rPr>
      </w:pPr>
      <w:r w:rsidRPr="00744DCA">
        <w:rPr>
          <w:rFonts w:eastAsia="Times New Roman"/>
          <w:noProof/>
          <w:szCs w:val="24"/>
          <w:lang w:val="en-US"/>
        </w:rPr>
        <w:t xml:space="preserve">In view of the unprecedented geopolitical situation and the significant threat for security of the Union, the proposed policy approach is proportionate to the scale and gravity of the problems that have been identified. The need to support the adjustment of industry to structural changes, enhance the EU’s SoS for defence equipment, and </w:t>
      </w:r>
      <w:r w:rsidR="00A62146" w:rsidRPr="00744DCA">
        <w:rPr>
          <w:rFonts w:eastAsia="Times New Roman"/>
          <w:noProof/>
          <w:szCs w:val="24"/>
          <w:lang w:val="en-US"/>
        </w:rPr>
        <w:t>strengthen</w:t>
      </w:r>
      <w:r w:rsidRPr="00744DCA">
        <w:rPr>
          <w:rFonts w:eastAsia="Times New Roman"/>
          <w:noProof/>
          <w:szCs w:val="24"/>
          <w:lang w:val="en-US"/>
        </w:rPr>
        <w:t xml:space="preserve"> the Ukrainian DTIB are adequately addressed, within the limits of possible Union intervention under the Treaties. The measures set out in EDIP do not go beyond what is strictly necessary to achieve their objectives, are proportionate to the scale and gravity of the problems that have been identified to those objectives. The financial support to various actions aiming at reinforcing the competitiveness of the industry within a system of open and competitive markets. The support to the Ukrainian DTIB is based on the extension of the logic of existing support to Ukraine and </w:t>
      </w:r>
      <w:r w:rsidR="00A62146" w:rsidRPr="00744DCA">
        <w:rPr>
          <w:rFonts w:eastAsia="Times New Roman"/>
          <w:noProof/>
          <w:szCs w:val="24"/>
          <w:lang w:val="en-US"/>
        </w:rPr>
        <w:t>constitutes</w:t>
      </w:r>
      <w:r w:rsidRPr="00744DCA">
        <w:rPr>
          <w:rFonts w:eastAsia="Times New Roman"/>
          <w:noProof/>
          <w:szCs w:val="24"/>
          <w:lang w:val="en-US"/>
        </w:rPr>
        <w:t xml:space="preserve"> a targeted response to the specific circumstances of Ukraine due to the Russian war of aggression.</w:t>
      </w:r>
    </w:p>
    <w:p w14:paraId="3DC53607" w14:textId="77777777" w:rsidR="007C06DB" w:rsidRPr="00744DCA" w:rsidRDefault="007C06DB">
      <w:pPr>
        <w:pStyle w:val="ManualHeading2"/>
        <w:rPr>
          <w:rFonts w:eastAsia="Arial Unicode MS"/>
          <w:noProof/>
          <w:u w:color="000000"/>
          <w:bdr w:val="nil"/>
          <w:lang w:val="en-US" w:eastAsia="en-GB"/>
        </w:rPr>
      </w:pPr>
      <w:r w:rsidRPr="00744DCA">
        <w:rPr>
          <w:rFonts w:eastAsia="Arial Unicode MS"/>
          <w:noProof/>
          <w:u w:color="000000"/>
          <w:bdr w:val="nil"/>
          <w:lang w:val="en-US" w:eastAsia="en-GB"/>
        </w:rPr>
        <w:t>•</w:t>
      </w:r>
      <w:r w:rsidRPr="00744DCA">
        <w:rPr>
          <w:rFonts w:eastAsia="Arial Unicode MS"/>
          <w:noProof/>
          <w:u w:color="000000"/>
          <w:bdr w:val="nil"/>
          <w:lang w:val="en-US" w:eastAsia="en-GB"/>
        </w:rPr>
        <w:tab/>
        <w:t>Choice of the instrument</w:t>
      </w:r>
    </w:p>
    <w:p w14:paraId="51B68F78" w14:textId="77777777" w:rsidR="007C06DB" w:rsidRPr="00744DCA" w:rsidRDefault="007C06DB">
      <w:pPr>
        <w:pBdr>
          <w:top w:val="nil"/>
          <w:left w:val="nil"/>
          <w:bottom w:val="nil"/>
          <w:right w:val="nil"/>
          <w:between w:val="nil"/>
          <w:bar w:val="nil"/>
        </w:pBdr>
        <w:spacing w:before="0" w:after="240"/>
        <w:rPr>
          <w:rFonts w:eastAsia="Arial Unicode MS"/>
          <w:noProof/>
        </w:rPr>
      </w:pPr>
      <w:r w:rsidRPr="00744DCA">
        <w:rPr>
          <w:rFonts w:eastAsia="Times New Roman"/>
          <w:noProof/>
          <w:szCs w:val="24"/>
        </w:rPr>
        <w:t>The Commission proposes a Regulation of the European Parliament and of the Council. This is the most suitable legal instrument as only a Regulation, with its uniform application, binding nature and direct applicability, can provide the necessary degree of uniformity needed to strengthen the defence industrial readiness across Europe and ensure the SoS of defence products in Europe. In addition, this is in line with Article 114, 173 and 212 of the Treaty on the Functioning of the European Union, which all set out the ordinary legislative procedure to be used to adopt measures in their respective fields of application.</w:t>
      </w:r>
    </w:p>
    <w:p w14:paraId="63AAE222" w14:textId="77777777" w:rsidR="007C06DB" w:rsidRPr="00744DCA" w:rsidRDefault="007C06DB">
      <w:pPr>
        <w:pStyle w:val="ManualHeading1"/>
        <w:rPr>
          <w:noProof/>
        </w:rPr>
      </w:pPr>
      <w:r w:rsidRPr="00744DCA">
        <w:rPr>
          <w:noProof/>
        </w:rPr>
        <w:t>3.</w:t>
      </w:r>
      <w:r w:rsidRPr="00744DCA">
        <w:rPr>
          <w:noProof/>
        </w:rPr>
        <w:tab/>
        <w:t>RESULTS OF EX-POST EVALUATIONS, STAKEHOLDER CONSULTATIONS AND IMPACT ASSESSMENTS</w:t>
      </w:r>
    </w:p>
    <w:p w14:paraId="2DB20FA4" w14:textId="77777777" w:rsidR="007C06DB" w:rsidRPr="00744DCA" w:rsidRDefault="007C06DB">
      <w:pPr>
        <w:pStyle w:val="ManualHeading2"/>
        <w:rPr>
          <w:rFonts w:eastAsia="Arial Unicode MS"/>
          <w:noProof/>
          <w:u w:color="000000"/>
          <w:bdr w:val="nil"/>
          <w:lang w:val="en-US" w:eastAsia="en-GB"/>
        </w:rPr>
      </w:pPr>
      <w:r w:rsidRPr="00744DCA">
        <w:rPr>
          <w:rFonts w:eastAsia="Arial Unicode MS"/>
          <w:noProof/>
          <w:u w:color="000000"/>
          <w:bdr w:val="nil"/>
          <w:lang w:val="en-US" w:eastAsia="en-GB"/>
        </w:rPr>
        <w:t>•</w:t>
      </w:r>
      <w:r w:rsidRPr="00744DCA">
        <w:rPr>
          <w:rFonts w:eastAsia="Arial Unicode MS"/>
          <w:noProof/>
          <w:u w:color="000000"/>
          <w:bdr w:val="nil"/>
          <w:lang w:val="en-US" w:eastAsia="en-GB"/>
        </w:rPr>
        <w:tab/>
        <w:t>Stakeholder consultations</w:t>
      </w:r>
    </w:p>
    <w:p w14:paraId="230EBF87" w14:textId="77777777" w:rsidR="007C06DB" w:rsidRPr="00744DCA" w:rsidRDefault="007C06DB" w:rsidP="007C06DB">
      <w:pPr>
        <w:rPr>
          <w:rFonts w:eastAsia="Calibri"/>
          <w:noProof/>
          <w:szCs w:val="24"/>
        </w:rPr>
      </w:pPr>
      <w:r w:rsidRPr="00744DCA">
        <w:rPr>
          <w:rFonts w:eastAsia="Calibri"/>
          <w:noProof/>
          <w:szCs w:val="24"/>
        </w:rPr>
        <w:t>A formal stakeholder consultation could not be carried out due to the urgency of preparing the proposal so that it can be adopted in a timely manner by the co-legislators to render it operational as of beginning of 2025, when new needs will have to be met relating to the geopolitical situation as well as for recovery and reconstruction of the Ukraine defence industrial base.</w:t>
      </w:r>
    </w:p>
    <w:p w14:paraId="07D65352" w14:textId="77777777" w:rsidR="007C06DB" w:rsidRPr="00744DCA" w:rsidRDefault="007C06DB" w:rsidP="007C06DB">
      <w:pPr>
        <w:rPr>
          <w:rFonts w:eastAsia="Calibri"/>
          <w:noProof/>
          <w:szCs w:val="24"/>
        </w:rPr>
      </w:pPr>
      <w:r w:rsidRPr="00744DCA">
        <w:rPr>
          <w:rFonts w:eastAsia="Calibri"/>
          <w:noProof/>
          <w:szCs w:val="24"/>
        </w:rPr>
        <w:t>The Commission, in close cooperation with the High Representative, has conducted a comprehensive consultation process with Member States, Industry, the financial sector and think tanks to inform the work on the EDIS. The consultation was based on contributions from stakeholders during events (workshops, meetings) and written contributions.. Ahead of these workshops, the Commission shared issue papers (publicised on the website of the European Commission), notably covering thematics pertaining to EDIP’s measures, to serve as a basis for the discussion during the events. Those same issue papers also served as a basis for the written contributions that were shared by the consulted stakeholders with the Commission and the High Representative. Any EU citizen willing to take part in the consultation was invited to send a written contribution to a dedicated email address. In total, more than 270</w:t>
      </w:r>
      <w:r w:rsidRPr="00744DCA">
        <w:rPr>
          <w:noProof/>
        </w:rPr>
        <w:t xml:space="preserve"> </w:t>
      </w:r>
      <w:r w:rsidRPr="00744DCA">
        <w:rPr>
          <w:rFonts w:eastAsia="Calibri"/>
          <w:noProof/>
          <w:szCs w:val="24"/>
        </w:rPr>
        <w:t xml:space="preserve">written contributions from over 90 different stakeholders have been sent to the Commission and the High Representative and have been analysed to feed the preparatory work of EDIS. A meeting with Ukraine’s representatives has also been organised and the latter have also shared written contributions to express their views on the upcoming EDIS. </w:t>
      </w:r>
    </w:p>
    <w:p w14:paraId="444729E2" w14:textId="77777777" w:rsidR="007C06DB" w:rsidRPr="00744DCA" w:rsidRDefault="076B5C2F" w:rsidP="77F4BA51">
      <w:pPr>
        <w:rPr>
          <w:rFonts w:eastAsia="Calibri"/>
          <w:noProof/>
        </w:rPr>
      </w:pPr>
      <w:r w:rsidRPr="00744DCA">
        <w:rPr>
          <w:rFonts w:eastAsia="Calibri"/>
          <w:noProof/>
        </w:rPr>
        <w:t>EDIP’s purpose being to start implementing the vision developed in EDIS and translating into effect actions anounced in this strategy, the inputs received in the context of EDIS, ha</w:t>
      </w:r>
      <w:r w:rsidR="34233F17" w:rsidRPr="00744DCA">
        <w:rPr>
          <w:rFonts w:eastAsia="Calibri"/>
          <w:noProof/>
        </w:rPr>
        <w:t>ve</w:t>
      </w:r>
      <w:r w:rsidRPr="00744DCA">
        <w:rPr>
          <w:rFonts w:eastAsia="Calibri"/>
          <w:noProof/>
        </w:rPr>
        <w:t xml:space="preserve"> been largely taken into account to devise EDIP’s measures. In broad terms, the inputs received related to the main actions of EDIP  can be described as followed: </w:t>
      </w:r>
    </w:p>
    <w:p w14:paraId="791EACAC" w14:textId="77777777" w:rsidR="007C06DB" w:rsidRPr="00744DCA" w:rsidRDefault="076B5C2F" w:rsidP="00B33FEA">
      <w:pPr>
        <w:pStyle w:val="Tiret0"/>
        <w:rPr>
          <w:noProof/>
        </w:rPr>
      </w:pPr>
      <w:r w:rsidRPr="00744DCA">
        <w:rPr>
          <w:noProof/>
        </w:rPr>
        <w:t xml:space="preserve">on the support to the EDTIB’s adaptation to the structural changes resulting from the new security situation, most stakeholders were supportive of the idea. The extension of ASAP and EDIRPA intervention logic as well as the need to capitalise on the results of the EDF were often seen positively. These mostly converging positions have been considered by the Commission, as illustrated, inter alia, by the proposal of measures to expand the logic of ASAP and EDIRPA and to ensure the market uptake of EDF products. </w:t>
      </w:r>
    </w:p>
    <w:p w14:paraId="28D34011" w14:textId="77777777" w:rsidR="007C06DB" w:rsidRPr="00744DCA" w:rsidRDefault="076B5C2F" w:rsidP="00B33FEA">
      <w:pPr>
        <w:pStyle w:val="Tiret0"/>
        <w:rPr>
          <w:noProof/>
        </w:rPr>
      </w:pPr>
      <w:r w:rsidRPr="00744DCA">
        <w:rPr>
          <w:noProof/>
        </w:rPr>
        <w:t xml:space="preserve">On SoS, most stakeholders underlined the importance of the issue at EU level. Most of contributions also underlined </w:t>
      </w:r>
      <w:r w:rsidR="1DE6E2C7" w:rsidRPr="00744DCA">
        <w:rPr>
          <w:noProof/>
        </w:rPr>
        <w:t>that</w:t>
      </w:r>
      <w:r w:rsidRPr="00744DCA">
        <w:rPr>
          <w:noProof/>
        </w:rPr>
        <w:t xml:space="preserve"> a satisf</w:t>
      </w:r>
      <w:r w:rsidR="482805AD" w:rsidRPr="00744DCA">
        <w:rPr>
          <w:noProof/>
        </w:rPr>
        <w:t>actory</w:t>
      </w:r>
      <w:r w:rsidRPr="00744DCA">
        <w:rPr>
          <w:noProof/>
        </w:rPr>
        <w:t xml:space="preserve"> balance </w:t>
      </w:r>
      <w:r w:rsidR="03450E9B" w:rsidRPr="00744DCA">
        <w:rPr>
          <w:noProof/>
        </w:rPr>
        <w:t xml:space="preserve">should be struck </w:t>
      </w:r>
      <w:r w:rsidRPr="00744DCA">
        <w:rPr>
          <w:noProof/>
        </w:rPr>
        <w:t>between the need to improve SoS at EU level and the respect of Member States’ sovereignty and prerogatives in the field of defence. In order to strike such a balance, the Commission notably proposes a gradual and proportionate regime for SoS, where Member States are fully and constantly involved, and where industry’s economic interest</w:t>
      </w:r>
      <w:r w:rsidR="5B32E98C" w:rsidRPr="00744DCA">
        <w:rPr>
          <w:noProof/>
        </w:rPr>
        <w:t>s</w:t>
      </w:r>
      <w:r w:rsidRPr="00744DCA">
        <w:rPr>
          <w:noProof/>
        </w:rPr>
        <w:t xml:space="preserve"> are duly considered and proportionately protected. </w:t>
      </w:r>
    </w:p>
    <w:p w14:paraId="4B4D9023" w14:textId="77777777" w:rsidR="007C06DB" w:rsidRPr="00744DCA" w:rsidRDefault="076B5C2F" w:rsidP="00B33FEA">
      <w:pPr>
        <w:pStyle w:val="Tiret0"/>
        <w:rPr>
          <w:noProof/>
        </w:rPr>
      </w:pPr>
      <w:r w:rsidRPr="00744DCA">
        <w:rPr>
          <w:noProof/>
        </w:rPr>
        <w:t xml:space="preserve">On the mainstreaming of a defence industrial readiness culture, most stakeholders consulted aknowledged the need to ensure a sufficient access to finance </w:t>
      </w:r>
      <w:r w:rsidR="6B5EAFE2" w:rsidRPr="00744DCA">
        <w:rPr>
          <w:noProof/>
        </w:rPr>
        <w:t>for</w:t>
      </w:r>
      <w:r w:rsidRPr="00744DCA">
        <w:rPr>
          <w:noProof/>
        </w:rPr>
        <w:t xml:space="preserve"> the defence sector and in particular </w:t>
      </w:r>
      <w:r w:rsidR="4DF79509" w:rsidRPr="00744DCA">
        <w:rPr>
          <w:noProof/>
        </w:rPr>
        <w:t>for</w:t>
      </w:r>
      <w:r w:rsidRPr="00744DCA">
        <w:rPr>
          <w:noProof/>
        </w:rPr>
        <w:t xml:space="preserve"> SMEs active in the EDTIB. The Commission pa</w:t>
      </w:r>
      <w:r w:rsidR="61AF53B3" w:rsidRPr="00744DCA">
        <w:rPr>
          <w:noProof/>
        </w:rPr>
        <w:t>i</w:t>
      </w:r>
      <w:r w:rsidRPr="00744DCA">
        <w:rPr>
          <w:noProof/>
        </w:rPr>
        <w:t xml:space="preserve">d particular attention to the views expressed in this regard, notably by proposing the </w:t>
      </w:r>
      <w:r w:rsidR="18DECEAF" w:rsidRPr="00744DCA">
        <w:rPr>
          <w:noProof/>
        </w:rPr>
        <w:t xml:space="preserve">Fund to Accelerate defence Supply-chains Transformation (FAST) </w:t>
      </w:r>
      <w:r w:rsidRPr="00744DCA">
        <w:rPr>
          <w:noProof/>
        </w:rPr>
        <w:t xml:space="preserve">which by design will benefit SMEs and </w:t>
      </w:r>
      <w:r w:rsidR="18DECEAF" w:rsidRPr="00744DCA">
        <w:rPr>
          <w:noProof/>
        </w:rPr>
        <w:t>small m</w:t>
      </w:r>
      <w:r w:rsidRPr="00744DCA">
        <w:rPr>
          <w:noProof/>
        </w:rPr>
        <w:t>id</w:t>
      </w:r>
      <w:r w:rsidR="2E5E0ACD" w:rsidRPr="00744DCA">
        <w:rPr>
          <w:noProof/>
        </w:rPr>
        <w:t>-</w:t>
      </w:r>
      <w:r w:rsidRPr="00744DCA">
        <w:rPr>
          <w:noProof/>
        </w:rPr>
        <w:t xml:space="preserve">caps. </w:t>
      </w:r>
    </w:p>
    <w:p w14:paraId="799F5EE3" w14:textId="77777777" w:rsidR="007C06DB" w:rsidRPr="00744DCA" w:rsidRDefault="076B5C2F" w:rsidP="00B33FEA">
      <w:pPr>
        <w:pStyle w:val="Tiret0"/>
        <w:rPr>
          <w:noProof/>
        </w:rPr>
      </w:pPr>
      <w:r w:rsidRPr="00744DCA">
        <w:rPr>
          <w:noProof/>
        </w:rPr>
        <w:t>On the cooperation with Ukraine on defence industrial matters, most stakeholders were sympathetic to the idea. The Commission has taken into account stakeholders</w:t>
      </w:r>
      <w:r w:rsidR="0288B3E3" w:rsidRPr="00744DCA">
        <w:rPr>
          <w:noProof/>
        </w:rPr>
        <w:t>’</w:t>
      </w:r>
      <w:r w:rsidRPr="00744DCA">
        <w:rPr>
          <w:noProof/>
        </w:rPr>
        <w:t xml:space="preserve"> inputs as well as Ukraine’s views to tailor in the most appropriate way dedicated actions under EDIP.</w:t>
      </w:r>
    </w:p>
    <w:p w14:paraId="720811F0" w14:textId="77777777" w:rsidR="007C06DB" w:rsidRPr="00744DCA" w:rsidRDefault="007C06DB" w:rsidP="007C06DB">
      <w:pPr>
        <w:pBdr>
          <w:top w:val="nil"/>
          <w:left w:val="nil"/>
          <w:bottom w:val="nil"/>
          <w:right w:val="nil"/>
          <w:between w:val="nil"/>
          <w:bar w:val="nil"/>
        </w:pBdr>
        <w:spacing w:before="0" w:after="240"/>
        <w:rPr>
          <w:rFonts w:eastAsia="Arial Unicode MS"/>
          <w:noProof/>
        </w:rPr>
      </w:pPr>
      <w:r w:rsidRPr="00744DCA">
        <w:rPr>
          <w:rFonts w:eastAsia="Calibri"/>
          <w:noProof/>
          <w:szCs w:val="24"/>
        </w:rPr>
        <w:t>The EU will ensure appropriate communication and visibility around the objectives and the actions delivered within the scope of this Regulation, within the Union, in Ukraine and beyond.</w:t>
      </w:r>
    </w:p>
    <w:p w14:paraId="3AA51E8C" w14:textId="77777777" w:rsidR="007C06DB" w:rsidRPr="00744DCA" w:rsidRDefault="007C06DB">
      <w:pPr>
        <w:pStyle w:val="ManualHeading2"/>
        <w:rPr>
          <w:rFonts w:eastAsia="Arial Unicode MS"/>
          <w:noProof/>
          <w:u w:color="000000"/>
          <w:bdr w:val="nil"/>
          <w:lang w:val="en-US" w:eastAsia="en-GB"/>
        </w:rPr>
      </w:pPr>
      <w:r w:rsidRPr="00744DCA">
        <w:rPr>
          <w:rFonts w:eastAsia="Arial Unicode MS"/>
          <w:noProof/>
          <w:u w:color="000000"/>
          <w:bdr w:val="nil"/>
          <w:lang w:val="en-US" w:eastAsia="en-GB"/>
        </w:rPr>
        <w:t>•</w:t>
      </w:r>
      <w:r w:rsidRPr="00744DCA">
        <w:rPr>
          <w:rFonts w:eastAsia="Arial Unicode MS"/>
          <w:noProof/>
          <w:u w:color="000000"/>
          <w:bdr w:val="nil"/>
          <w:lang w:val="en-US" w:eastAsia="en-GB"/>
        </w:rPr>
        <w:tab/>
        <w:t>Collection and use of expertise</w:t>
      </w:r>
    </w:p>
    <w:p w14:paraId="6B91AC29" w14:textId="77777777" w:rsidR="007C06DB" w:rsidRPr="00744DCA" w:rsidRDefault="007C06DB">
      <w:pPr>
        <w:pBdr>
          <w:top w:val="nil"/>
          <w:left w:val="nil"/>
          <w:bottom w:val="nil"/>
          <w:right w:val="nil"/>
          <w:between w:val="nil"/>
          <w:bar w:val="nil"/>
        </w:pBdr>
        <w:spacing w:before="0" w:after="240"/>
        <w:rPr>
          <w:rFonts w:eastAsia="Arial Unicode MS"/>
          <w:noProof/>
        </w:rPr>
      </w:pPr>
      <w:r w:rsidRPr="00744DCA">
        <w:rPr>
          <w:rFonts w:eastAsia="Calibri"/>
          <w:noProof/>
          <w:szCs w:val="24"/>
        </w:rPr>
        <w:t>The EDIS comprehensive consultation has enabled the Commission and the High Representative, to receive a large number of inputs from different types of experts (e.g. National administration experts, defence industry experts, financial sector experts, think tank experts, Academics). The expertise gathered by the Commission and High Representative in the context of EDIS has been used to developped the measures proposed under EDIP.</w:t>
      </w:r>
    </w:p>
    <w:p w14:paraId="4E868FCA" w14:textId="77777777" w:rsidR="007C06DB" w:rsidRPr="00744DCA" w:rsidRDefault="007C06DB">
      <w:pPr>
        <w:pStyle w:val="ManualHeading2"/>
        <w:rPr>
          <w:rFonts w:eastAsia="Arial Unicode MS"/>
          <w:noProof/>
          <w:u w:color="000000"/>
          <w:bdr w:val="nil"/>
          <w:lang w:val="en-US" w:eastAsia="en-GB"/>
        </w:rPr>
      </w:pPr>
      <w:r w:rsidRPr="00744DCA">
        <w:rPr>
          <w:rFonts w:eastAsia="Arial Unicode MS"/>
          <w:noProof/>
          <w:u w:color="000000"/>
          <w:bdr w:val="nil"/>
          <w:lang w:val="en-US" w:eastAsia="en-GB"/>
        </w:rPr>
        <w:t>•</w:t>
      </w:r>
      <w:r w:rsidRPr="00744DCA">
        <w:rPr>
          <w:rFonts w:eastAsia="Arial Unicode MS"/>
          <w:noProof/>
          <w:u w:color="000000"/>
          <w:bdr w:val="nil"/>
          <w:lang w:val="en-US" w:eastAsia="en-GB"/>
        </w:rPr>
        <w:tab/>
        <w:t>Impact assessment</w:t>
      </w:r>
    </w:p>
    <w:p w14:paraId="1B470BA1" w14:textId="77777777" w:rsidR="007C06DB" w:rsidRPr="00744DCA" w:rsidRDefault="007C06DB" w:rsidP="007C06DB">
      <w:pPr>
        <w:rPr>
          <w:rFonts w:eastAsia="Calibri"/>
          <w:noProof/>
          <w:szCs w:val="24"/>
        </w:rPr>
      </w:pPr>
      <w:r w:rsidRPr="00744DCA">
        <w:rPr>
          <w:rFonts w:eastAsia="Calibri"/>
          <w:noProof/>
          <w:szCs w:val="24"/>
        </w:rPr>
        <w:t>Due to the urgent nature of the proposal, which is designed to support the rapid adaptation of the European defence industry to the new geopolitical environment and provide assistance to a country at war as of beginning of 2024, no impact assessment could be carried out.</w:t>
      </w:r>
    </w:p>
    <w:p w14:paraId="0F95F1C3" w14:textId="77777777" w:rsidR="007C06DB" w:rsidRPr="00744DCA" w:rsidRDefault="076B5C2F" w:rsidP="77F4BA51">
      <w:pPr>
        <w:rPr>
          <w:rFonts w:eastAsia="Calibri"/>
          <w:noProof/>
        </w:rPr>
      </w:pPr>
      <w:r w:rsidRPr="00744DCA">
        <w:rPr>
          <w:rFonts w:eastAsia="Calibri"/>
          <w:noProof/>
        </w:rPr>
        <w:t xml:space="preserve">The geopolitical context and in particular the continuation in time of </w:t>
      </w:r>
      <w:r w:rsidRPr="00744DCA">
        <w:rPr>
          <w:rFonts w:eastAsia="Times New Roman"/>
          <w:noProof/>
          <w:lang w:val="en-US"/>
        </w:rPr>
        <w:t xml:space="preserve">Russia’s military aggression against Ukraine, led the </w:t>
      </w:r>
      <w:r w:rsidRPr="00744DCA">
        <w:rPr>
          <w:rFonts w:eastAsia="Calibri"/>
          <w:noProof/>
        </w:rPr>
        <w:t xml:space="preserve">Commission to decide to quickly move from adopting punctual emergency responses in July (i.e. ASAP) and October (i.e. EDIRPA) 2023, to taking a more structural approach to address the long-term consequences faced by the EDTIB and continue to support Ukraine. </w:t>
      </w:r>
    </w:p>
    <w:p w14:paraId="06688A41" w14:textId="77777777" w:rsidR="007C06DB" w:rsidRPr="00744DCA" w:rsidRDefault="076B5C2F" w:rsidP="77F4BA51">
      <w:pPr>
        <w:rPr>
          <w:rFonts w:eastAsia="Calibri"/>
          <w:noProof/>
        </w:rPr>
      </w:pPr>
      <w:r w:rsidRPr="00744DCA">
        <w:rPr>
          <w:rFonts w:eastAsia="Calibri"/>
          <w:noProof/>
        </w:rPr>
        <w:t>In addition, the European Council called in its Conclusions of 14 and 15 December 2023 to “</w:t>
      </w:r>
      <w:r w:rsidRPr="00744DCA">
        <w:rPr>
          <w:rFonts w:eastAsia="Calibri"/>
          <w:i/>
          <w:iCs/>
          <w:noProof/>
        </w:rPr>
        <w:t>swiftly</w:t>
      </w:r>
      <w:r w:rsidRPr="00744DCA">
        <w:rPr>
          <w:rFonts w:eastAsia="Calibri"/>
          <w:noProof/>
        </w:rPr>
        <w:t xml:space="preserve">” present a proposal for </w:t>
      </w:r>
      <w:r w:rsidR="05AF8D64" w:rsidRPr="00744DCA">
        <w:rPr>
          <w:rFonts w:eastAsia="Calibri"/>
          <w:noProof/>
        </w:rPr>
        <w:t>the</w:t>
      </w:r>
      <w:r w:rsidRPr="00744DCA">
        <w:rPr>
          <w:rFonts w:eastAsia="Calibri"/>
          <w:noProof/>
        </w:rPr>
        <w:t xml:space="preserve"> EDIP and indicated in its Conclusions of 1 February 2024 that it “</w:t>
      </w:r>
      <w:r w:rsidRPr="00744DCA">
        <w:rPr>
          <w:rFonts w:eastAsia="Calibri"/>
          <w:i/>
          <w:iCs/>
          <w:noProof/>
        </w:rPr>
        <w:t>will revert to the matter of security and defence, including Europe’s need to increase its overall defence readiness and further strengthen its defence technological and industrial base, at its next meeting in March 2024, with a view to agreeing on further steps to make the European defence industry more resilient, innovative and competitive</w:t>
      </w:r>
      <w:r w:rsidRPr="00744DCA">
        <w:rPr>
          <w:rFonts w:eastAsia="Calibri"/>
          <w:noProof/>
        </w:rPr>
        <w:t xml:space="preserve">”. </w:t>
      </w:r>
    </w:p>
    <w:p w14:paraId="738C8CDE" w14:textId="77777777" w:rsidR="007C06DB" w:rsidRPr="00744DCA" w:rsidRDefault="007C06DB">
      <w:pPr>
        <w:pBdr>
          <w:top w:val="nil"/>
          <w:left w:val="nil"/>
          <w:bottom w:val="nil"/>
          <w:right w:val="nil"/>
          <w:between w:val="nil"/>
          <w:bar w:val="nil"/>
        </w:pBdr>
        <w:spacing w:before="0" w:after="240"/>
        <w:rPr>
          <w:rFonts w:eastAsia="Arial Unicode MS"/>
          <w:noProof/>
        </w:rPr>
      </w:pPr>
      <w:r w:rsidRPr="00744DCA">
        <w:rPr>
          <w:rFonts w:eastAsia="Calibri"/>
          <w:noProof/>
          <w:szCs w:val="24"/>
        </w:rPr>
        <w:t>Hence, it was not possible to deliver an impact assessment in the timeframe available to table an EDIP proposal in time for the discussion that will take place at the European Council of March 2024. However, the EDIP proposal draws on the work undertaken in the framework of the DJPTF, on the early lessons learned from the implementation of ASAP and EDIRPA, and builds on the comprehensive consultation process that has been conducted in the context of EDIS.</w:t>
      </w:r>
      <w:r w:rsidR="00624212" w:rsidRPr="00744DCA">
        <w:rPr>
          <w:rFonts w:eastAsia="Calibri"/>
          <w:noProof/>
          <w:szCs w:val="24"/>
        </w:rPr>
        <w:t xml:space="preserve"> </w:t>
      </w:r>
      <w:r w:rsidR="00624212" w:rsidRPr="00744DCA">
        <w:rPr>
          <w:noProof/>
        </w:rPr>
        <w:t xml:space="preserve">Within 3 months after the publication of this regulation proposal, the Commission will publish a Staff working document to present the justification for this legislative EU action and explain its appropriateness </w:t>
      </w:r>
      <w:r w:rsidR="00624212" w:rsidRPr="00744DCA">
        <w:rPr>
          <w:noProof/>
          <w:lang w:val="en-US"/>
        </w:rPr>
        <w:t>to achieve the identified policy objectives</w:t>
      </w:r>
      <w:r w:rsidR="00624212" w:rsidRPr="00744DCA">
        <w:rPr>
          <w:noProof/>
        </w:rPr>
        <w:t xml:space="preserve">. </w:t>
      </w:r>
    </w:p>
    <w:p w14:paraId="720515C2" w14:textId="77777777" w:rsidR="007C06DB" w:rsidRPr="00744DCA" w:rsidRDefault="007C06DB">
      <w:pPr>
        <w:pStyle w:val="ManualHeading2"/>
        <w:rPr>
          <w:rFonts w:eastAsia="Arial Unicode MS"/>
          <w:noProof/>
          <w:u w:color="000000"/>
          <w:bdr w:val="nil"/>
          <w:lang w:val="en-US" w:eastAsia="en-GB"/>
        </w:rPr>
      </w:pPr>
      <w:r w:rsidRPr="00744DCA">
        <w:rPr>
          <w:rFonts w:eastAsia="Arial Unicode MS"/>
          <w:noProof/>
          <w:u w:color="000000"/>
          <w:bdr w:val="nil"/>
          <w:lang w:val="en-US" w:eastAsia="en-GB"/>
        </w:rPr>
        <w:t>•</w:t>
      </w:r>
      <w:r w:rsidRPr="00744DCA">
        <w:rPr>
          <w:rFonts w:eastAsia="Arial Unicode MS"/>
          <w:noProof/>
          <w:u w:color="000000"/>
          <w:bdr w:val="nil"/>
          <w:lang w:val="en-US" w:eastAsia="en-GB"/>
        </w:rPr>
        <w:tab/>
        <w:t>Regulatory fitness and simplification</w:t>
      </w:r>
    </w:p>
    <w:p w14:paraId="4820B015" w14:textId="77777777" w:rsidR="007C06DB" w:rsidRPr="00744DCA" w:rsidRDefault="007C06DB">
      <w:pPr>
        <w:pBdr>
          <w:top w:val="nil"/>
          <w:left w:val="nil"/>
          <w:bottom w:val="nil"/>
          <w:right w:val="nil"/>
          <w:between w:val="nil"/>
          <w:bar w:val="nil"/>
        </w:pBdr>
        <w:spacing w:before="0" w:after="240"/>
        <w:rPr>
          <w:rFonts w:eastAsia="Arial Unicode MS"/>
          <w:noProof/>
        </w:rPr>
      </w:pPr>
      <w:r w:rsidRPr="00744DCA">
        <w:rPr>
          <w:rFonts w:eastAsia="Calibri"/>
          <w:noProof/>
          <w:szCs w:val="24"/>
        </w:rPr>
        <w:t xml:space="preserve">EDIP is not expected to increase the administrative burden. The proposed performance-based approach </w:t>
      </w:r>
      <w:r w:rsidR="00605C22" w:rsidRPr="00744DCA">
        <w:rPr>
          <w:rFonts w:eastAsia="Calibri"/>
          <w:noProof/>
          <w:szCs w:val="24"/>
        </w:rPr>
        <w:t xml:space="preserve">available </w:t>
      </w:r>
      <w:r w:rsidRPr="00744DCA">
        <w:rPr>
          <w:rFonts w:eastAsia="Calibri"/>
          <w:noProof/>
          <w:szCs w:val="24"/>
        </w:rPr>
        <w:t>for its eligible actions, relying on the conditionality between the disbursement of payments and the achievement of milestones and targets by the consortium, is also an element of simplification in the implementation of the instrument</w:t>
      </w:r>
      <w:r w:rsidR="00605C22" w:rsidRPr="00744DCA">
        <w:rPr>
          <w:rFonts w:eastAsia="Calibri"/>
          <w:noProof/>
          <w:szCs w:val="24"/>
        </w:rPr>
        <w:t>.</w:t>
      </w:r>
    </w:p>
    <w:p w14:paraId="290FF22B" w14:textId="77777777" w:rsidR="007C06DB" w:rsidRPr="00744DCA" w:rsidRDefault="007C06DB">
      <w:pPr>
        <w:pStyle w:val="ManualHeading2"/>
        <w:rPr>
          <w:rFonts w:eastAsia="Arial Unicode MS"/>
          <w:noProof/>
          <w:u w:color="000000"/>
          <w:bdr w:val="nil"/>
          <w:lang w:val="en-US" w:eastAsia="en-GB"/>
        </w:rPr>
      </w:pPr>
      <w:r w:rsidRPr="00744DCA">
        <w:rPr>
          <w:rFonts w:eastAsia="Arial Unicode MS"/>
          <w:noProof/>
          <w:u w:color="000000"/>
          <w:bdr w:val="nil"/>
          <w:lang w:val="en-US" w:eastAsia="en-GB"/>
        </w:rPr>
        <w:t>•</w:t>
      </w:r>
      <w:r w:rsidRPr="00744DCA">
        <w:rPr>
          <w:rFonts w:eastAsia="Arial Unicode MS"/>
          <w:noProof/>
          <w:u w:color="000000"/>
          <w:bdr w:val="nil"/>
          <w:lang w:val="en-US" w:eastAsia="en-GB"/>
        </w:rPr>
        <w:tab/>
        <w:t>Fundamental rights</w:t>
      </w:r>
    </w:p>
    <w:p w14:paraId="63CA1B9C" w14:textId="77777777" w:rsidR="00605C22" w:rsidRPr="00744DCA" w:rsidRDefault="00605C22" w:rsidP="00605C22">
      <w:pPr>
        <w:pBdr>
          <w:top w:val="nil"/>
          <w:left w:val="nil"/>
          <w:bottom w:val="nil"/>
          <w:right w:val="nil"/>
          <w:between w:val="nil"/>
          <w:bar w:val="nil"/>
        </w:pBdr>
        <w:spacing w:after="240"/>
        <w:rPr>
          <w:rFonts w:eastAsia="Calibri"/>
          <w:noProof/>
        </w:rPr>
      </w:pPr>
      <w:r w:rsidRPr="00744DCA">
        <w:rPr>
          <w:rFonts w:eastAsia="Calibri"/>
          <w:noProof/>
        </w:rPr>
        <w:t>Enhancing the security of EU citizens can contribute to safeguarding their fundamental rights.</w:t>
      </w:r>
    </w:p>
    <w:p w14:paraId="5B920E28" w14:textId="77777777" w:rsidR="00605C22" w:rsidRPr="00744DCA" w:rsidRDefault="00605C22" w:rsidP="00605C22">
      <w:pPr>
        <w:pBdr>
          <w:top w:val="nil"/>
          <w:left w:val="nil"/>
          <w:bottom w:val="nil"/>
          <w:right w:val="nil"/>
          <w:between w:val="nil"/>
          <w:bar w:val="nil"/>
        </w:pBdr>
        <w:spacing w:after="240"/>
        <w:rPr>
          <w:rFonts w:eastAsia="Calibri"/>
          <w:noProof/>
        </w:rPr>
      </w:pPr>
      <w:r w:rsidRPr="00744DCA">
        <w:rPr>
          <w:rFonts w:eastAsia="Calibri"/>
          <w:noProof/>
        </w:rPr>
        <w:t xml:space="preserve">Also, actions related to defence common procurement of goods or services, which are prohibited by applicable international law, shall not be eligible for support from the </w:t>
      </w:r>
      <w:r w:rsidR="000D1B35" w:rsidRPr="00744DCA">
        <w:rPr>
          <w:rFonts w:eastAsia="Calibri"/>
          <w:noProof/>
        </w:rPr>
        <w:t>Programme</w:t>
      </w:r>
      <w:r w:rsidRPr="00744DCA">
        <w:rPr>
          <w:rFonts w:eastAsia="Calibri"/>
          <w:noProof/>
        </w:rPr>
        <w:t>. Moreover, actions with a view to the common procurement of lethal autonomous weapons without the possibility for meaningful human control over selection and engagement decisions when carrying out strikes against humans shall not be eligible for support from the EDIP.</w:t>
      </w:r>
    </w:p>
    <w:p w14:paraId="0D35F03F" w14:textId="77777777" w:rsidR="00605C22" w:rsidRPr="00744DCA" w:rsidRDefault="00605C22" w:rsidP="00605C22">
      <w:pPr>
        <w:pBdr>
          <w:top w:val="nil"/>
          <w:left w:val="nil"/>
          <w:bottom w:val="nil"/>
          <w:right w:val="nil"/>
          <w:between w:val="nil"/>
          <w:bar w:val="nil"/>
        </w:pBdr>
        <w:spacing w:after="240"/>
        <w:rPr>
          <w:rFonts w:eastAsia="Calibri"/>
          <w:noProof/>
          <w:szCs w:val="24"/>
        </w:rPr>
      </w:pPr>
      <w:r w:rsidRPr="00744DCA">
        <w:rPr>
          <w:rFonts w:eastAsia="Calibri"/>
          <w:noProof/>
          <w:szCs w:val="24"/>
        </w:rPr>
        <w:t>In addition, Article 16 of the Charter of Fundamental Rights of the European Union (‘the Charter’) provides for the freedom to conduct a business. Nevertheless, some measures under pillar 2 needed to ensure the SoS of defence equipment in the Union may temporarily limit the freedom to conduct a business and the freedom of contract, protected by Article 16 and the right to property, protected by Article 17 of the Charter. Any limitation of those rights in this proposal will, in accordance with Article 52(1) of the Charter, be provided for by law, respect the essence of those rights and freedoms, and comply with the principle of proportionality.</w:t>
      </w:r>
    </w:p>
    <w:p w14:paraId="694E60F3" w14:textId="77777777" w:rsidR="00605C22" w:rsidRPr="00744DCA" w:rsidRDefault="447C8E0E" w:rsidP="00B33FEA">
      <w:pPr>
        <w:pStyle w:val="Tiret0"/>
        <w:rPr>
          <w:noProof/>
        </w:rPr>
      </w:pPr>
      <w:r w:rsidRPr="00744DCA">
        <w:rPr>
          <w:noProof/>
        </w:rPr>
        <w:t>First EDIP entails provisions on request</w:t>
      </w:r>
      <w:r w:rsidR="32E03A6C" w:rsidRPr="00744DCA">
        <w:rPr>
          <w:noProof/>
        </w:rPr>
        <w:t>s</w:t>
      </w:r>
      <w:r w:rsidRPr="00744DCA">
        <w:rPr>
          <w:noProof/>
        </w:rPr>
        <w:t xml:space="preserve"> for information and prioritization mechanisms (priority rated orders and priority rated requests) which are strictly condition</w:t>
      </w:r>
      <w:r w:rsidR="4DA81E4C" w:rsidRPr="00744DCA">
        <w:rPr>
          <w:noProof/>
        </w:rPr>
        <w:t>al on</w:t>
      </w:r>
      <w:r w:rsidRPr="00744DCA">
        <w:rPr>
          <w:noProof/>
        </w:rPr>
        <w:t xml:space="preserve"> the activation of the most appropriate crisis mode through the adoption of a Council implementing act when it comes to a supply crisis mode and when it comes to a security-related supply crisis mode. </w:t>
      </w:r>
    </w:p>
    <w:p w14:paraId="7EEA2FBA" w14:textId="77777777" w:rsidR="00605C22" w:rsidRPr="00744DCA" w:rsidRDefault="447C8E0E" w:rsidP="00B33FEA">
      <w:pPr>
        <w:pStyle w:val="Tiret0"/>
        <w:rPr>
          <w:noProof/>
        </w:rPr>
      </w:pPr>
      <w:r w:rsidRPr="00744DCA">
        <w:rPr>
          <w:noProof/>
        </w:rPr>
        <w:t>Second, the obligation to disclose specific information to the Commission, provided that certain conditions are met, respects the essence of and will not disproportionately affect the freedom to conduct a business (Article 16 of the Charter). Any information request serves the objective of general interest of the Union to enable the information gathering about the production capabilities, production capacities and primary disruptions of potential mitigation measures to shortages affecting the production of crisis-relevant products or defence products. These information requests are appropriate and effective to attain the objective by providing information stric</w:t>
      </w:r>
      <w:r w:rsidR="411E3621" w:rsidRPr="00744DCA">
        <w:rPr>
          <w:noProof/>
        </w:rPr>
        <w:t>t</w:t>
      </w:r>
      <w:r w:rsidRPr="00744DCA">
        <w:rPr>
          <w:noProof/>
        </w:rPr>
        <w:t xml:space="preserve">ly necessary to assess the crisis at hand. The Commission in principle only requests the desired information from representative organisations and may issue requests to individual undertakings only if it is necessary in addition. Since information on the supply situation is not available otherwise, there is not any equally effective measure to attain the information necessary to enable European decision-makers to take mitigation action. In light of the serious geopolitical and security consequences of defence products shortages and the respective importance of mitigation measures, information requests are proportionate to the desired aim. Furthermore, the limitation to the freedom to conduct a business and the right to property are offset by appropriate safeguards. Any request </w:t>
      </w:r>
      <w:r w:rsidR="225E880D" w:rsidRPr="00744DCA">
        <w:rPr>
          <w:noProof/>
        </w:rPr>
        <w:t>for</w:t>
      </w:r>
      <w:r w:rsidRPr="00744DCA">
        <w:rPr>
          <w:noProof/>
        </w:rPr>
        <w:t xml:space="preserve"> information may only be launched for crisis-relevant defence products, raw materials or components thereof, that are specifically identified by the Commission through an implementing act, and that are affected by disruptions or potential disruptions leading to significant shortages.</w:t>
      </w:r>
    </w:p>
    <w:p w14:paraId="7935F086" w14:textId="77777777" w:rsidR="007C06DB" w:rsidRPr="00744DCA" w:rsidRDefault="447C8E0E" w:rsidP="00B33FEA">
      <w:pPr>
        <w:pStyle w:val="Tiret0"/>
        <w:rPr>
          <w:rFonts w:eastAsia="Arial Unicode MS"/>
          <w:noProof/>
        </w:rPr>
      </w:pPr>
      <w:r w:rsidRPr="00744DCA">
        <w:rPr>
          <w:noProof/>
        </w:rPr>
        <w:t>Third, the obligation to accept and prioritise priority rated orders respects the essence of and will not disproportionately affect the freedom to conduct a business and the freedom of contract (Article 16 of the Charter) and the right to property (Article 17 of the Charter). This obligation serves the objective of general interest of the Union to address crisis-relevant products supply disruptions. The obligation is appropriate and effective to attain this objective by ensuring the available resources are preferentially utilised for production of such relevant defence products. There is no equally effective measure. When it comes to crisis-relevant products idenfied as affected by a supply crisis, it is proportionate to oblige undertakings w</w:t>
      </w:r>
      <w:r w:rsidR="52232F3E" w:rsidRPr="00744DCA">
        <w:rPr>
          <w:noProof/>
        </w:rPr>
        <w:t>h</w:t>
      </w:r>
      <w:r w:rsidRPr="00744DCA">
        <w:rPr>
          <w:noProof/>
        </w:rPr>
        <w:t xml:space="preserve">ich are involved in the supply chain of the latter to accept and prioritise certain orders. Appropriate safeguards ensure that any negative impact of the prioritisation obligation on the freedom to conduct a business, the freedom of contract and the right to property does not amount to a violation of these rights. Any obligation to prioritise certain orders may only be launched for crisis-relevant products that are specifically identified, by the Commission and through an implementing act, and that are affected by disruptions or potential disruptions leading to significant shortages. The undertaking concerned may request the Commission to review the priority rated order if it is unable to perform the order or </w:t>
      </w:r>
      <w:r w:rsidR="2DC6C11D" w:rsidRPr="00744DCA">
        <w:rPr>
          <w:noProof/>
        </w:rPr>
        <w:t xml:space="preserve">if </w:t>
      </w:r>
      <w:r w:rsidRPr="00744DCA">
        <w:rPr>
          <w:noProof/>
        </w:rPr>
        <w:t>performing the order would place unreasonable economic burden on them and entail particular hardship. Furthermore, the subject of the obligation is exempt from any liability for damages for the violation of contractual obligations resulting from compliance with the obligation.</w:t>
      </w:r>
    </w:p>
    <w:p w14:paraId="25592B8F" w14:textId="77777777" w:rsidR="007C06DB" w:rsidRPr="00744DCA" w:rsidRDefault="007C06DB">
      <w:pPr>
        <w:pStyle w:val="ManualHeading1"/>
        <w:rPr>
          <w:noProof/>
        </w:rPr>
      </w:pPr>
      <w:r w:rsidRPr="00744DCA">
        <w:rPr>
          <w:noProof/>
        </w:rPr>
        <w:t>4.</w:t>
      </w:r>
      <w:r w:rsidRPr="00744DCA">
        <w:rPr>
          <w:noProof/>
        </w:rPr>
        <w:tab/>
        <w:t>BUDGETARY IMPLICATIONS</w:t>
      </w:r>
    </w:p>
    <w:p w14:paraId="68E8CF8F" w14:textId="2FA27966" w:rsidR="00605C22" w:rsidRPr="00744DCA" w:rsidRDefault="00605C22" w:rsidP="00605C22">
      <w:pPr>
        <w:pBdr>
          <w:top w:val="nil"/>
          <w:left w:val="nil"/>
          <w:bottom w:val="nil"/>
          <w:right w:val="nil"/>
          <w:between w:val="nil"/>
          <w:bar w:val="nil"/>
        </w:pBdr>
        <w:spacing w:after="240"/>
        <w:rPr>
          <w:rFonts w:eastAsia="Calibri"/>
          <w:noProof/>
        </w:rPr>
      </w:pPr>
      <w:r w:rsidRPr="7A6E49EB">
        <w:rPr>
          <w:rFonts w:eastAsia="Calibri"/>
          <w:noProof/>
        </w:rPr>
        <w:t xml:space="preserve">The financial envelope for the implementation of the Regulation for the period from period XX XX XXXX to 31/12/2027 shall be </w:t>
      </w:r>
      <w:r>
        <w:rPr>
          <w:rFonts w:eastAsia="Calibri"/>
          <w:noProof/>
        </w:rPr>
        <w:t>EUR 1 500 million</w:t>
      </w:r>
      <w:r w:rsidRPr="7A6E49EB">
        <w:rPr>
          <w:rFonts w:eastAsia="Calibri"/>
          <w:noProof/>
        </w:rPr>
        <w:t xml:space="preserve"> in current prices.</w:t>
      </w:r>
    </w:p>
    <w:p w14:paraId="466F8D25" w14:textId="77777777" w:rsidR="007C06DB" w:rsidRPr="00744DCA" w:rsidRDefault="00605C22" w:rsidP="00605C22">
      <w:pPr>
        <w:pBdr>
          <w:top w:val="nil"/>
          <w:left w:val="nil"/>
          <w:bottom w:val="nil"/>
          <w:right w:val="nil"/>
          <w:between w:val="nil"/>
          <w:bar w:val="nil"/>
        </w:pBdr>
        <w:spacing w:before="0" w:after="240"/>
        <w:rPr>
          <w:rFonts w:eastAsia="Arial Unicode MS"/>
          <w:noProof/>
        </w:rPr>
      </w:pPr>
      <w:r w:rsidRPr="00744DCA">
        <w:rPr>
          <w:rFonts w:eastAsia="Calibri"/>
          <w:noProof/>
        </w:rPr>
        <w:t>The impact on the multi-annual financial framework period in terms of required budget and human resources is detailed in the legislative financial statement annexed to the proposal.</w:t>
      </w:r>
    </w:p>
    <w:p w14:paraId="4086A95F" w14:textId="77777777" w:rsidR="007C06DB" w:rsidRPr="00744DCA" w:rsidRDefault="007C06DB">
      <w:pPr>
        <w:pStyle w:val="ManualHeading1"/>
        <w:rPr>
          <w:noProof/>
        </w:rPr>
      </w:pPr>
      <w:r w:rsidRPr="00744DCA">
        <w:rPr>
          <w:noProof/>
        </w:rPr>
        <w:t>5.</w:t>
      </w:r>
      <w:r w:rsidRPr="00744DCA">
        <w:rPr>
          <w:noProof/>
        </w:rPr>
        <w:tab/>
        <w:t>OTHER ELEMENTS</w:t>
      </w:r>
    </w:p>
    <w:p w14:paraId="091C6EB1" w14:textId="77777777" w:rsidR="007C06DB" w:rsidRPr="00744DCA" w:rsidRDefault="007C06DB">
      <w:pPr>
        <w:pStyle w:val="ManualHeading2"/>
        <w:rPr>
          <w:rFonts w:eastAsia="Arial Unicode MS"/>
          <w:noProof/>
          <w:u w:color="000000"/>
          <w:bdr w:val="nil"/>
          <w:lang w:val="en-US" w:eastAsia="en-GB"/>
        </w:rPr>
      </w:pPr>
      <w:r w:rsidRPr="00744DCA">
        <w:rPr>
          <w:rFonts w:eastAsia="Arial Unicode MS"/>
          <w:noProof/>
          <w:u w:color="000000"/>
          <w:bdr w:val="nil"/>
          <w:lang w:val="en-US" w:eastAsia="en-GB"/>
        </w:rPr>
        <w:t>•</w:t>
      </w:r>
      <w:r w:rsidRPr="00744DCA">
        <w:rPr>
          <w:rFonts w:eastAsia="Arial Unicode MS"/>
          <w:noProof/>
          <w:u w:color="000000"/>
          <w:bdr w:val="nil"/>
          <w:lang w:val="en-US" w:eastAsia="en-GB"/>
        </w:rPr>
        <w:tab/>
        <w:t>Implementation plans and monitoring, evaluation and reporting arrangements</w:t>
      </w:r>
    </w:p>
    <w:p w14:paraId="22CF333A" w14:textId="77777777" w:rsidR="007C06DB" w:rsidRPr="00744DCA" w:rsidRDefault="447C8E0E" w:rsidP="77F4BA51">
      <w:pPr>
        <w:pBdr>
          <w:top w:val="nil"/>
          <w:left w:val="nil"/>
          <w:bottom w:val="nil"/>
          <w:right w:val="nil"/>
          <w:between w:val="nil"/>
          <w:bar w:val="nil"/>
        </w:pBdr>
        <w:spacing w:before="0" w:after="240"/>
        <w:rPr>
          <w:rFonts w:eastAsia="Arial Unicode MS"/>
          <w:noProof/>
        </w:rPr>
      </w:pPr>
      <w:r w:rsidRPr="00744DCA">
        <w:rPr>
          <w:rFonts w:eastAsia="Calibri"/>
          <w:noProof/>
        </w:rPr>
        <w:t xml:space="preserve">The Commission should draw up an evaluation report for the </w:t>
      </w:r>
      <w:r w:rsidR="1507F02A" w:rsidRPr="00744DCA">
        <w:rPr>
          <w:rFonts w:eastAsia="Calibri"/>
          <w:noProof/>
        </w:rPr>
        <w:t xml:space="preserve">Programme </w:t>
      </w:r>
      <w:r w:rsidRPr="00744DCA">
        <w:rPr>
          <w:rFonts w:eastAsia="Calibri"/>
          <w:noProof/>
        </w:rPr>
        <w:t xml:space="preserve">and communicate it to the European Parliament and to the Council no later than 30/6/2027. This report will notably assess the progress made towards the achievement of the objectives set in the proposal. Also, taking into account the evaluation report, the Commission may submit proposals for any appropriate amendments to this Regulation, notably </w:t>
      </w:r>
      <w:r w:rsidR="500C43E6" w:rsidRPr="00744DCA">
        <w:rPr>
          <w:rFonts w:eastAsia="Calibri"/>
          <w:noProof/>
        </w:rPr>
        <w:t>with a view to</w:t>
      </w:r>
      <w:r w:rsidRPr="00744DCA">
        <w:rPr>
          <w:rFonts w:eastAsia="Calibri"/>
          <w:noProof/>
        </w:rPr>
        <w:t xml:space="preserve"> addressing any persisting risks hampering the defence industrial readiness of the EU or in relation to the security of supply of defence products in Europe.</w:t>
      </w:r>
    </w:p>
    <w:p w14:paraId="79E70216" w14:textId="77777777" w:rsidR="007C06DB" w:rsidRPr="00744DCA" w:rsidRDefault="007C06DB">
      <w:pPr>
        <w:rPr>
          <w:noProof/>
        </w:rPr>
        <w:sectPr w:rsidR="007C06DB" w:rsidRPr="00744DCA" w:rsidSect="00E82958">
          <w:headerReference w:type="even" r:id="rId14"/>
          <w:footerReference w:type="even" r:id="rId15"/>
          <w:footerReference w:type="default" r:id="rId16"/>
          <w:headerReference w:type="first" r:id="rId17"/>
          <w:footerReference w:type="first" r:id="rId18"/>
          <w:pgSz w:w="11907" w:h="16839"/>
          <w:pgMar w:top="1134" w:right="1417" w:bottom="1134" w:left="1417" w:header="709" w:footer="709" w:gutter="0"/>
          <w:cols w:space="708"/>
          <w:docGrid w:linePitch="360"/>
        </w:sectPr>
      </w:pPr>
    </w:p>
    <w:p w14:paraId="2E480BD1" w14:textId="347C00A0" w:rsidR="003B3D45" w:rsidRDefault="00B871B7" w:rsidP="00B871B7">
      <w:pPr>
        <w:pStyle w:val="Rfrenceinterinstitutionnelle"/>
        <w:rPr>
          <w:noProof/>
        </w:rPr>
      </w:pPr>
      <w:r>
        <w:rPr>
          <w:noProof/>
        </w:rPr>
        <w:t>2024/0061 (COD)</w:t>
      </w:r>
    </w:p>
    <w:p w14:paraId="1CFA2B38" w14:textId="2E801094" w:rsidR="00CB5EDF" w:rsidRPr="00744DCA" w:rsidRDefault="00B871B7" w:rsidP="00B871B7">
      <w:pPr>
        <w:pStyle w:val="Statut"/>
        <w:rPr>
          <w:noProof/>
        </w:rPr>
      </w:pPr>
      <w:r w:rsidRPr="00B871B7">
        <w:rPr>
          <w:noProof/>
        </w:rPr>
        <w:t>Proposal for a</w:t>
      </w:r>
    </w:p>
    <w:p w14:paraId="4458B219" w14:textId="26CE77CB" w:rsidR="00CB5EDF" w:rsidRPr="00744DCA" w:rsidRDefault="00B871B7" w:rsidP="00B871B7">
      <w:pPr>
        <w:pStyle w:val="Typedudocument"/>
        <w:rPr>
          <w:noProof/>
        </w:rPr>
      </w:pPr>
      <w:r w:rsidRPr="00B871B7">
        <w:rPr>
          <w:noProof/>
        </w:rPr>
        <w:t>REGULATION OF THE EUROPEAN PARLIAMENT AND OF THE COUNCIL</w:t>
      </w:r>
    </w:p>
    <w:p w14:paraId="19B5501C" w14:textId="14CAE646" w:rsidR="00CB5EDF" w:rsidRPr="00744DCA" w:rsidRDefault="00B871B7" w:rsidP="00B871B7">
      <w:pPr>
        <w:pStyle w:val="Titreobjet"/>
        <w:rPr>
          <w:noProof/>
        </w:rPr>
      </w:pPr>
      <w:r w:rsidRPr="00B871B7">
        <w:rPr>
          <w:noProof/>
        </w:rPr>
        <w:t>establishing the European Defence Industry Programme and a framework of measures to ensure the timely availability and supply of defence products (‘EDIP’)</w:t>
      </w:r>
    </w:p>
    <w:p w14:paraId="5BCF12A5" w14:textId="1EBE6619" w:rsidR="00CB5EDF" w:rsidRPr="00744DCA" w:rsidRDefault="00B871B7" w:rsidP="00B871B7">
      <w:pPr>
        <w:pStyle w:val="IntrtEEE"/>
        <w:rPr>
          <w:noProof/>
        </w:rPr>
      </w:pPr>
      <w:r w:rsidRPr="00B871B7">
        <w:rPr>
          <w:noProof/>
        </w:rPr>
        <w:t>(Text with EEA relevance)</w:t>
      </w:r>
    </w:p>
    <w:p w14:paraId="320B20EE" w14:textId="77777777" w:rsidR="00CB5EDF" w:rsidRPr="00744DCA" w:rsidRDefault="00CB5EDF" w:rsidP="00CB5EDF">
      <w:pPr>
        <w:pStyle w:val="Institutionquiagit"/>
        <w:rPr>
          <w:noProof/>
        </w:rPr>
      </w:pPr>
      <w:r w:rsidRPr="00744DCA">
        <w:rPr>
          <w:noProof/>
        </w:rPr>
        <w:t>THE EUROPEAN PARLIAMENT AND THE COUNCIL OF THE EUROPEAN UNION,</w:t>
      </w:r>
    </w:p>
    <w:p w14:paraId="6FFB0DE5" w14:textId="77777777" w:rsidR="00CB5EDF" w:rsidRPr="00744DCA" w:rsidRDefault="00CB5EDF" w:rsidP="00CB5EDF">
      <w:pPr>
        <w:rPr>
          <w:noProof/>
        </w:rPr>
      </w:pPr>
      <w:r w:rsidRPr="00744DCA">
        <w:rPr>
          <w:noProof/>
        </w:rPr>
        <w:t xml:space="preserve">Having regard to the Treaty on the Functioning of the European Union, and in particular Article </w:t>
      </w:r>
      <w:r w:rsidR="00FB1A1E" w:rsidRPr="00744DCA">
        <w:rPr>
          <w:noProof/>
        </w:rPr>
        <w:t>114</w:t>
      </w:r>
      <w:r w:rsidR="00AE3E4A" w:rsidRPr="00744DCA">
        <w:rPr>
          <w:noProof/>
        </w:rPr>
        <w:t>(1)</w:t>
      </w:r>
      <w:r w:rsidR="00FB1A1E" w:rsidRPr="00744DCA">
        <w:rPr>
          <w:noProof/>
        </w:rPr>
        <w:t xml:space="preserve">, </w:t>
      </w:r>
      <w:r w:rsidR="000E355E" w:rsidRPr="00744DCA">
        <w:rPr>
          <w:noProof/>
        </w:rPr>
        <w:t xml:space="preserve">Article </w:t>
      </w:r>
      <w:r w:rsidRPr="00744DCA">
        <w:rPr>
          <w:noProof/>
        </w:rPr>
        <w:t>173</w:t>
      </w:r>
      <w:r w:rsidR="00AE3E4A" w:rsidRPr="00744DCA">
        <w:rPr>
          <w:noProof/>
        </w:rPr>
        <w:t>(3)</w:t>
      </w:r>
      <w:r w:rsidRPr="00744DCA">
        <w:rPr>
          <w:noProof/>
        </w:rPr>
        <w:t xml:space="preserve">, </w:t>
      </w:r>
      <w:r w:rsidR="000E355E" w:rsidRPr="00744DCA">
        <w:rPr>
          <w:noProof/>
        </w:rPr>
        <w:t xml:space="preserve">Article </w:t>
      </w:r>
      <w:r w:rsidRPr="00744DCA">
        <w:rPr>
          <w:noProof/>
        </w:rPr>
        <w:t>212</w:t>
      </w:r>
      <w:r w:rsidR="00AE3E4A" w:rsidRPr="00744DCA">
        <w:rPr>
          <w:noProof/>
        </w:rPr>
        <w:t>(2)</w:t>
      </w:r>
      <w:r w:rsidRPr="00744DCA">
        <w:rPr>
          <w:noProof/>
        </w:rPr>
        <w:t xml:space="preserve"> </w:t>
      </w:r>
      <w:r w:rsidR="00555C9A" w:rsidRPr="00744DCA">
        <w:rPr>
          <w:noProof/>
        </w:rPr>
        <w:t xml:space="preserve">and </w:t>
      </w:r>
      <w:r w:rsidR="000E355E" w:rsidRPr="00744DCA">
        <w:rPr>
          <w:noProof/>
        </w:rPr>
        <w:t xml:space="preserve">Article </w:t>
      </w:r>
      <w:r w:rsidR="00555C9A" w:rsidRPr="00744DCA">
        <w:rPr>
          <w:noProof/>
        </w:rPr>
        <w:t xml:space="preserve">322(1) </w:t>
      </w:r>
      <w:r w:rsidRPr="00744DCA">
        <w:rPr>
          <w:noProof/>
        </w:rPr>
        <w:t>thereof,</w:t>
      </w:r>
    </w:p>
    <w:p w14:paraId="0D50F651" w14:textId="77777777" w:rsidR="00CB5EDF" w:rsidRPr="00744DCA" w:rsidRDefault="00CB5EDF" w:rsidP="00CB5EDF">
      <w:pPr>
        <w:rPr>
          <w:noProof/>
        </w:rPr>
      </w:pPr>
      <w:r w:rsidRPr="00744DCA">
        <w:rPr>
          <w:noProof/>
        </w:rPr>
        <w:t>Having regard to the proposal from the European Commission,</w:t>
      </w:r>
    </w:p>
    <w:p w14:paraId="76063918" w14:textId="77777777" w:rsidR="00CB5EDF" w:rsidRPr="00744DCA" w:rsidRDefault="00CB5EDF" w:rsidP="00CB5EDF">
      <w:pPr>
        <w:rPr>
          <w:noProof/>
        </w:rPr>
      </w:pPr>
      <w:r w:rsidRPr="00744DCA">
        <w:rPr>
          <w:noProof/>
        </w:rPr>
        <w:t>After transmission of the draft legislative act to the national parliaments,</w:t>
      </w:r>
    </w:p>
    <w:p w14:paraId="67C94C58" w14:textId="77777777" w:rsidR="00CB5EDF" w:rsidRPr="00744DCA" w:rsidRDefault="00CB5EDF" w:rsidP="00CB5EDF">
      <w:pPr>
        <w:rPr>
          <w:noProof/>
        </w:rPr>
      </w:pPr>
      <w:r w:rsidRPr="00744DCA">
        <w:rPr>
          <w:noProof/>
        </w:rPr>
        <w:t>Having regard to the opinion of the European Economic and Social Committee</w:t>
      </w:r>
      <w:r w:rsidRPr="00744DCA">
        <w:rPr>
          <w:rStyle w:val="FootnoteReference"/>
          <w:noProof/>
        </w:rPr>
        <w:footnoteReference w:id="3"/>
      </w:r>
      <w:r w:rsidRPr="00744DCA">
        <w:rPr>
          <w:noProof/>
        </w:rPr>
        <w:t xml:space="preserve">, </w:t>
      </w:r>
    </w:p>
    <w:p w14:paraId="7895272D" w14:textId="0EF1192E" w:rsidR="004917E3" w:rsidRDefault="00FC5DEC" w:rsidP="00CB5EDF">
      <w:pPr>
        <w:rPr>
          <w:noProof/>
        </w:rPr>
      </w:pPr>
      <w:r>
        <w:rPr>
          <w:noProof/>
        </w:rPr>
        <w:t>Having regard to the opinion of the European Court of Auditors</w:t>
      </w:r>
      <w:r>
        <w:rPr>
          <w:noProof/>
          <w:vertAlign w:val="superscript"/>
        </w:rPr>
        <w:footnoteReference w:id="4"/>
      </w:r>
      <w:r>
        <w:rPr>
          <w:noProof/>
        </w:rPr>
        <w:t>,</w:t>
      </w:r>
    </w:p>
    <w:p w14:paraId="3082CB46" w14:textId="152CF3E4" w:rsidR="00CB5EDF" w:rsidRPr="00744DCA" w:rsidRDefault="00CB5EDF" w:rsidP="00CB5EDF">
      <w:pPr>
        <w:rPr>
          <w:noProof/>
        </w:rPr>
      </w:pPr>
      <w:r w:rsidRPr="00744DCA">
        <w:rPr>
          <w:noProof/>
        </w:rPr>
        <w:t>Acting in accordance with the ordinary legislative procedure,</w:t>
      </w:r>
    </w:p>
    <w:p w14:paraId="24BD0736" w14:textId="77777777" w:rsidR="00CB5EDF" w:rsidRPr="00744DCA" w:rsidRDefault="00CB5EDF" w:rsidP="00CB5EDF">
      <w:pPr>
        <w:rPr>
          <w:noProof/>
        </w:rPr>
      </w:pPr>
      <w:r w:rsidRPr="00744DCA">
        <w:rPr>
          <w:noProof/>
        </w:rPr>
        <w:t>Whereas:</w:t>
      </w:r>
    </w:p>
    <w:p w14:paraId="02CA60BD" w14:textId="77777777" w:rsidR="00CB5EDF" w:rsidRPr="00744DCA" w:rsidRDefault="299C41F4" w:rsidP="00B2056B">
      <w:pPr>
        <w:pStyle w:val="ManualConsidrant"/>
        <w:rPr>
          <w:noProof/>
        </w:rPr>
      </w:pPr>
      <w:r>
        <w:rPr>
          <w:noProof/>
        </w:rPr>
        <w:t>(1)</w:t>
      </w:r>
      <w:r>
        <w:rPr>
          <w:noProof/>
        </w:rPr>
        <w:tab/>
      </w:r>
      <w:r w:rsidRPr="00744DCA">
        <w:rPr>
          <w:noProof/>
        </w:rPr>
        <w:t>The Heads of State or Government</w:t>
      </w:r>
      <w:r w:rsidR="000E355E" w:rsidRPr="00744DCA">
        <w:rPr>
          <w:noProof/>
        </w:rPr>
        <w:t xml:space="preserve"> of the Union</w:t>
      </w:r>
      <w:r w:rsidRPr="00744DCA">
        <w:rPr>
          <w:noProof/>
        </w:rPr>
        <w:t>, meeting in Versailles on 11 March</w:t>
      </w:r>
      <w:r w:rsidR="06D92C25" w:rsidRPr="00744DCA">
        <w:rPr>
          <w:noProof/>
        </w:rPr>
        <w:t xml:space="preserve"> 2022</w:t>
      </w:r>
      <w:r w:rsidRPr="00744DCA">
        <w:rPr>
          <w:noProof/>
        </w:rPr>
        <w:t>, committed to “bolster European defence capabilities” in light of Russia’s unprovoked and unjustified war of aggression against Ukraine. They agreed to increase defence expenditures, step up cooperation through joint projects and common procurement of defence capabilities, close shortfalls, boost innovation and strengthen and develop the EU defence industry, including through establishing a European Defence Industry Programme (the ‘Programme’).</w:t>
      </w:r>
    </w:p>
    <w:p w14:paraId="28EDD607" w14:textId="77777777" w:rsidR="00CB5EDF" w:rsidRPr="00744DCA" w:rsidRDefault="65853F73" w:rsidP="00CB5EDF">
      <w:pPr>
        <w:pStyle w:val="ManualConsidrant"/>
        <w:rPr>
          <w:noProof/>
        </w:rPr>
      </w:pPr>
      <w:r>
        <w:rPr>
          <w:noProof/>
        </w:rPr>
        <w:t>(2)</w:t>
      </w:r>
      <w:r>
        <w:rPr>
          <w:noProof/>
        </w:rPr>
        <w:tab/>
      </w:r>
      <w:r w:rsidRPr="00744DCA">
        <w:rPr>
          <w:noProof/>
          <w:lang w:val="en-IE"/>
        </w:rPr>
        <w:t>The l</w:t>
      </w:r>
      <w:r w:rsidR="299C41F4" w:rsidRPr="00744DCA">
        <w:rPr>
          <w:noProof/>
          <w:lang w:val="en-IE"/>
        </w:rPr>
        <w:t xml:space="preserve">ong-term deterioration of regional and global threat levels requires a step-change in the scale and speed with which Europe’s defence technological and industrial base (EDTIB) can develop and produce the full spectrum </w:t>
      </w:r>
      <w:r w:rsidR="1255D487" w:rsidRPr="00744DCA">
        <w:rPr>
          <w:noProof/>
          <w:lang w:val="en-IE"/>
        </w:rPr>
        <w:t xml:space="preserve">of </w:t>
      </w:r>
      <w:r w:rsidR="299C41F4" w:rsidRPr="00744DCA">
        <w:rPr>
          <w:noProof/>
          <w:lang w:val="en-IE"/>
        </w:rPr>
        <w:t xml:space="preserve">military capabilities. </w:t>
      </w:r>
      <w:r w:rsidR="299C41F4" w:rsidRPr="00744DCA">
        <w:rPr>
          <w:noProof/>
        </w:rPr>
        <w:t>The return of high-intensity warfare and territorial conflict to Europe has a negative impact on the security of the Union and the Member States and requires a significant increase in the capacity of Member States to reinforce their defence capabilities.</w:t>
      </w:r>
    </w:p>
    <w:p w14:paraId="47389A32" w14:textId="77777777" w:rsidR="00CB5EDF" w:rsidRPr="00744DCA" w:rsidRDefault="00CB5EDF" w:rsidP="00CB5EDF">
      <w:pPr>
        <w:pStyle w:val="ManualConsidrant"/>
        <w:rPr>
          <w:noProof/>
          <w:lang w:val="en-IE"/>
        </w:rPr>
      </w:pPr>
      <w:r>
        <w:rPr>
          <w:noProof/>
        </w:rPr>
        <w:t>(3)</w:t>
      </w:r>
      <w:r>
        <w:rPr>
          <w:noProof/>
        </w:rPr>
        <w:tab/>
      </w:r>
      <w:r w:rsidRPr="00744DCA">
        <w:rPr>
          <w:noProof/>
          <w:lang w:val="en-IE"/>
        </w:rPr>
        <w:t>On 14 and 15 December 2023, the European Council, in its conclusions, having considered work carried out to implement the Versailles declaration and the Strategic Compass for Security and Defence, underlined that more needs to be done to fulfil the Union’s objectives of increasing defence readiness. To achieve such a readiness and defend the Union, a strong defence industry is a pre-requisite</w:t>
      </w:r>
      <w:r w:rsidR="008E6E4B" w:rsidRPr="00744DCA">
        <w:rPr>
          <w:noProof/>
          <w:lang w:val="en-IE"/>
        </w:rPr>
        <w:t>,</w:t>
      </w:r>
      <w:r w:rsidR="008E6E4B" w:rsidRPr="00744DCA">
        <w:rPr>
          <w:noProof/>
        </w:rPr>
        <w:t xml:space="preserve"> </w:t>
      </w:r>
      <w:r w:rsidR="008E6E4B" w:rsidRPr="00744DCA">
        <w:rPr>
          <w:noProof/>
          <w:lang w:val="en-IE"/>
        </w:rPr>
        <w:t>making the European defence industry more resilient, innovative and competitive</w:t>
      </w:r>
      <w:r w:rsidRPr="00744DCA">
        <w:rPr>
          <w:noProof/>
          <w:lang w:val="en-IE"/>
        </w:rPr>
        <w:t>.</w:t>
      </w:r>
    </w:p>
    <w:p w14:paraId="61803DDD" w14:textId="77777777" w:rsidR="00CB5EDF" w:rsidRPr="00744DCA" w:rsidRDefault="299C41F4">
      <w:pPr>
        <w:pStyle w:val="ManualConsidrant"/>
        <w:rPr>
          <w:noProof/>
        </w:rPr>
      </w:pPr>
      <w:r>
        <w:rPr>
          <w:noProof/>
        </w:rPr>
        <w:t>(4)</w:t>
      </w:r>
      <w:r>
        <w:rPr>
          <w:noProof/>
        </w:rPr>
        <w:tab/>
      </w:r>
      <w:r>
        <w:rPr>
          <w:noProof/>
          <w:lang w:val="en-IE"/>
        </w:rPr>
        <w:t>The</w:t>
      </w:r>
      <w:r w:rsidRPr="00744DCA">
        <w:rPr>
          <w:noProof/>
        </w:rPr>
        <w:t xml:space="preserve"> Commission and the High Representative of the Union for Foreign Affairs and Security Policy presented a Joint Communication on the Defence Investment Gaps Analysis and Way Forward on 18 May 2022 highlighting the existence, within the Union, of defence financial, industrial and capability gaps. On </w:t>
      </w:r>
      <w:r w:rsidR="006C285F" w:rsidRPr="00744DCA">
        <w:rPr>
          <w:noProof/>
        </w:rPr>
        <w:t>18 October</w:t>
      </w:r>
      <w:r w:rsidRPr="00744DCA">
        <w:rPr>
          <w:noProof/>
        </w:rPr>
        <w:t xml:space="preserve"> </w:t>
      </w:r>
      <w:r w:rsidR="006C285F" w:rsidRPr="00744DCA">
        <w:rPr>
          <w:noProof/>
        </w:rPr>
        <w:t xml:space="preserve">2023 </w:t>
      </w:r>
      <w:r w:rsidR="00A21C87" w:rsidRPr="00744DCA">
        <w:rPr>
          <w:noProof/>
        </w:rPr>
        <w:t xml:space="preserve">a Regulation </w:t>
      </w:r>
      <w:r w:rsidR="0021065B" w:rsidRPr="00744DCA">
        <w:rPr>
          <w:noProof/>
        </w:rPr>
        <w:t xml:space="preserve">(EU) 2023/2418 </w:t>
      </w:r>
      <w:r w:rsidR="00F17760" w:rsidRPr="00744DCA">
        <w:rPr>
          <w:noProof/>
        </w:rPr>
        <w:t>of the European Parliament and the Council</w:t>
      </w:r>
      <w:r w:rsidR="00CE31F5" w:rsidRPr="00744DCA">
        <w:rPr>
          <w:rStyle w:val="FootnoteReference"/>
          <w:noProof/>
        </w:rPr>
        <w:footnoteReference w:id="5"/>
      </w:r>
      <w:r w:rsidR="00F17760" w:rsidRPr="00744DCA">
        <w:rPr>
          <w:noProof/>
        </w:rPr>
        <w:t xml:space="preserve"> </w:t>
      </w:r>
      <w:r w:rsidR="00CE31F5" w:rsidRPr="00744DCA">
        <w:rPr>
          <w:noProof/>
        </w:rPr>
        <w:t xml:space="preserve">was adopted </w:t>
      </w:r>
      <w:r w:rsidRPr="00744DCA">
        <w:rPr>
          <w:noProof/>
        </w:rPr>
        <w:t xml:space="preserve">establishing </w:t>
      </w:r>
      <w:r w:rsidR="00F8229B" w:rsidRPr="00744DCA">
        <w:rPr>
          <w:noProof/>
        </w:rPr>
        <w:t xml:space="preserve">an instrument for the reinforcement of </w:t>
      </w:r>
      <w:r w:rsidRPr="00744DCA">
        <w:rPr>
          <w:noProof/>
        </w:rPr>
        <w:t>the European defence industry through common Procurement (EDIRPA), aimed at supporting collaboration between Member States in the procurement phase to fill the most urgent and critical gaps, especially those created by the response to Russia’s war of aggression against Ukraine, in a collaborative way. On</w:t>
      </w:r>
      <w:r w:rsidR="004626AB" w:rsidRPr="00744DCA">
        <w:rPr>
          <w:noProof/>
        </w:rPr>
        <w:t xml:space="preserve"> 20 July</w:t>
      </w:r>
      <w:r w:rsidRPr="00744DCA">
        <w:rPr>
          <w:noProof/>
        </w:rPr>
        <w:t xml:space="preserve"> 2023 </w:t>
      </w:r>
      <w:r w:rsidR="006201F2" w:rsidRPr="00744DCA">
        <w:rPr>
          <w:noProof/>
        </w:rPr>
        <w:t>a Regulation</w:t>
      </w:r>
      <w:r w:rsidR="00E5722F" w:rsidRPr="00744DCA">
        <w:rPr>
          <w:noProof/>
        </w:rPr>
        <w:t xml:space="preserve"> (EU) 2023/1525</w:t>
      </w:r>
      <w:r w:rsidR="00D16A40" w:rsidRPr="00744DCA">
        <w:rPr>
          <w:noProof/>
        </w:rPr>
        <w:t xml:space="preserve"> of the European Parliament and the Council</w:t>
      </w:r>
      <w:r w:rsidR="000547D9" w:rsidRPr="00744DCA">
        <w:rPr>
          <w:rStyle w:val="FootnoteReference"/>
          <w:noProof/>
        </w:rPr>
        <w:footnoteReference w:id="6"/>
      </w:r>
      <w:r w:rsidR="000547D9" w:rsidRPr="00744DCA">
        <w:rPr>
          <w:noProof/>
        </w:rPr>
        <w:t xml:space="preserve"> supporting ammunition production </w:t>
      </w:r>
      <w:r w:rsidR="5DECD6D4" w:rsidRPr="00744DCA">
        <w:rPr>
          <w:noProof/>
        </w:rPr>
        <w:t>(ASAP)</w:t>
      </w:r>
      <w:r w:rsidR="00D16A40" w:rsidRPr="00744DCA">
        <w:rPr>
          <w:noProof/>
        </w:rPr>
        <w:t xml:space="preserve"> was adopted</w:t>
      </w:r>
      <w:r w:rsidRPr="00744DCA">
        <w:rPr>
          <w:noProof/>
        </w:rPr>
        <w:t xml:space="preserve">, aimed at urgently supporting the ramp-up of manufacturing capacities of the European defence industry, secure supply chains, facilitate efficient procurement procedures, address shortfalls in production capacities and promote investments. </w:t>
      </w:r>
    </w:p>
    <w:p w14:paraId="0FD22EFD" w14:textId="77777777" w:rsidR="004F5137" w:rsidRPr="00744DCA" w:rsidRDefault="27AA91E1" w:rsidP="77F4BA51">
      <w:pPr>
        <w:pStyle w:val="ManualConsidrant"/>
        <w:rPr>
          <w:noProof/>
          <w:lang w:val="en-US"/>
        </w:rPr>
      </w:pPr>
      <w:r>
        <w:rPr>
          <w:noProof/>
        </w:rPr>
        <w:t>(5)</w:t>
      </w:r>
      <w:r>
        <w:rPr>
          <w:noProof/>
        </w:rPr>
        <w:tab/>
      </w:r>
      <w:r w:rsidRPr="00744DCA">
        <w:rPr>
          <w:noProof/>
        </w:rPr>
        <w:t>EDIRPA and ASAP were designed as emergency response and short-term programmes, both expiring in 2025 (30 June 2025 for ASAP</w:t>
      </w:r>
      <w:r w:rsidR="28F0A052" w:rsidRPr="00744DCA">
        <w:rPr>
          <w:noProof/>
        </w:rPr>
        <w:t xml:space="preserve"> and 31 December 2025 for EDIRPA</w:t>
      </w:r>
      <w:r w:rsidRPr="00744DCA">
        <w:rPr>
          <w:noProof/>
        </w:rPr>
        <w:t xml:space="preserve">). </w:t>
      </w:r>
      <w:r w:rsidR="00D07A18" w:rsidRPr="00744DCA">
        <w:rPr>
          <w:noProof/>
        </w:rPr>
        <w:t xml:space="preserve">The Programme </w:t>
      </w:r>
      <w:r w:rsidRPr="00744DCA">
        <w:rPr>
          <w:noProof/>
        </w:rPr>
        <w:t xml:space="preserve">should build on EDIRPA and ASAP achievements and extend their logic until 2027, by providing financial support for the reinforcement of the EDTIB, in a predictable, continuous and timely manner on the basis of an integrated approach. In the light of the current security situation, it appears necessary to extend the </w:t>
      </w:r>
      <w:r w:rsidR="0066469B" w:rsidRPr="00744DCA">
        <w:rPr>
          <w:noProof/>
        </w:rPr>
        <w:t xml:space="preserve">Union </w:t>
      </w:r>
      <w:r w:rsidRPr="00744DCA">
        <w:rPr>
          <w:noProof/>
        </w:rPr>
        <w:t xml:space="preserve">support </w:t>
      </w:r>
      <w:r w:rsidR="000A0882" w:rsidRPr="00744DCA">
        <w:rPr>
          <w:noProof/>
        </w:rPr>
        <w:t>a broader scope of</w:t>
      </w:r>
      <w:r w:rsidRPr="00744DCA">
        <w:rPr>
          <w:noProof/>
        </w:rPr>
        <w:t xml:space="preserve"> defence equipment including consumables </w:t>
      </w:r>
      <w:r w:rsidRPr="00744DCA">
        <w:rPr>
          <w:noProof/>
          <w:lang w:val="en-US"/>
        </w:rPr>
        <w:t xml:space="preserve">such as </w:t>
      </w:r>
      <w:r w:rsidRPr="00744DCA">
        <w:rPr>
          <w:noProof/>
          <w:lang w:val="en-IE"/>
        </w:rPr>
        <w:t>unmanned systems</w:t>
      </w:r>
      <w:r w:rsidRPr="00744DCA">
        <w:rPr>
          <w:noProof/>
          <w:lang w:val="en-US"/>
        </w:rPr>
        <w:t xml:space="preserve"> that play</w:t>
      </w:r>
      <w:r w:rsidR="404CCF84" w:rsidRPr="00744DCA">
        <w:rPr>
          <w:noProof/>
          <w:lang w:val="en-US"/>
        </w:rPr>
        <w:t xml:space="preserve"> a</w:t>
      </w:r>
      <w:r w:rsidRPr="00744DCA">
        <w:rPr>
          <w:noProof/>
          <w:lang w:val="en-US"/>
        </w:rPr>
        <w:t xml:space="preserve"> decisive role </w:t>
      </w:r>
      <w:r w:rsidR="0BA1E951" w:rsidRPr="00744DCA">
        <w:rPr>
          <w:noProof/>
          <w:lang w:val="en-US"/>
        </w:rPr>
        <w:t xml:space="preserve">in </w:t>
      </w:r>
      <w:r w:rsidRPr="00744DCA">
        <w:rPr>
          <w:noProof/>
          <w:lang w:val="en-US"/>
        </w:rPr>
        <w:t>the war theatre in Ukraine.</w:t>
      </w:r>
    </w:p>
    <w:p w14:paraId="0D616260" w14:textId="77777777" w:rsidR="00CB5EDF" w:rsidRPr="00744DCA" w:rsidRDefault="299C41F4" w:rsidP="00CB5EDF">
      <w:pPr>
        <w:pStyle w:val="ManualConsidrant"/>
        <w:rPr>
          <w:noProof/>
        </w:rPr>
      </w:pPr>
      <w:r>
        <w:rPr>
          <w:noProof/>
        </w:rPr>
        <w:t>(6)</w:t>
      </w:r>
      <w:r>
        <w:rPr>
          <w:noProof/>
        </w:rPr>
        <w:tab/>
      </w:r>
      <w:r w:rsidRPr="00744DCA">
        <w:rPr>
          <w:noProof/>
        </w:rPr>
        <w:t>The European Council of 23 June 2022 decided to grant the status of candidate country to Ukraine, which expressed a strong will to link reconstruction with reforms on its European path. In December 2023, EU leaders decided to open accession negotiations with Ukraine.</w:t>
      </w:r>
      <w:r w:rsidR="2D000181" w:rsidRPr="00744DCA">
        <w:rPr>
          <w:noProof/>
        </w:rPr>
        <w:t xml:space="preserve"> </w:t>
      </w:r>
      <w:r w:rsidR="46335639" w:rsidRPr="00744DCA">
        <w:rPr>
          <w:noProof/>
        </w:rPr>
        <w:t>On 15 December 2023, the European Council declared that the Union and Member States remain committed to contributing, for the long term and together with partners, to security commitments to Ukraine, which will help Ukraine to defend itself, resist destabilization efforts and deter acts of aggression in the future.</w:t>
      </w:r>
      <w:r w:rsidRPr="00744DCA">
        <w:rPr>
          <w:noProof/>
        </w:rPr>
        <w:t xml:space="preserve"> </w:t>
      </w:r>
      <w:r w:rsidR="43E43C53" w:rsidRPr="00744DCA">
        <w:rPr>
          <w:noProof/>
        </w:rPr>
        <w:t>S</w:t>
      </w:r>
      <w:r w:rsidRPr="00744DCA">
        <w:rPr>
          <w:noProof/>
        </w:rPr>
        <w:t>trong support to Ukraine is a key priority for the Union and an appropriate response to the Union’s strong political commitment to support Ukraine for as long as necessary.</w:t>
      </w:r>
    </w:p>
    <w:p w14:paraId="6C07B4C5" w14:textId="77777777" w:rsidR="00CB5EDF" w:rsidRPr="00744DCA" w:rsidRDefault="299C41F4" w:rsidP="00CB5EDF">
      <w:pPr>
        <w:pStyle w:val="ManualConsidrant"/>
        <w:rPr>
          <w:noProof/>
        </w:rPr>
      </w:pPr>
      <w:r>
        <w:rPr>
          <w:noProof/>
        </w:rPr>
        <w:t>(7)</w:t>
      </w:r>
      <w:r>
        <w:rPr>
          <w:noProof/>
        </w:rPr>
        <w:tab/>
      </w:r>
      <w:r w:rsidRPr="00744DCA">
        <w:rPr>
          <w:noProof/>
        </w:rPr>
        <w:t xml:space="preserve">The damage from Russia’s war of aggression to the Ukrainian economy, society and infrastructure, and in particular damage caused to the Ukraine defence </w:t>
      </w:r>
      <w:r w:rsidR="0016435C" w:rsidRPr="00744DCA">
        <w:rPr>
          <w:noProof/>
        </w:rPr>
        <w:t xml:space="preserve">technological and </w:t>
      </w:r>
      <w:r w:rsidRPr="00744DCA">
        <w:rPr>
          <w:noProof/>
        </w:rPr>
        <w:t xml:space="preserve">industrial base </w:t>
      </w:r>
      <w:r w:rsidR="0016435C" w:rsidRPr="00744DCA">
        <w:rPr>
          <w:noProof/>
        </w:rPr>
        <w:t xml:space="preserve">(Ukrainian DTIB) </w:t>
      </w:r>
      <w:r w:rsidRPr="00744DCA">
        <w:rPr>
          <w:noProof/>
        </w:rPr>
        <w:t xml:space="preserve">require comprehensive support to rebuild the </w:t>
      </w:r>
      <w:r w:rsidR="63FE869C" w:rsidRPr="00744DCA">
        <w:rPr>
          <w:noProof/>
        </w:rPr>
        <w:t>latter.</w:t>
      </w:r>
      <w:r w:rsidRPr="00744DCA">
        <w:rPr>
          <w:noProof/>
        </w:rPr>
        <w:t xml:space="preserve"> </w:t>
      </w:r>
      <w:r w:rsidR="0DE55330" w:rsidRPr="00744DCA">
        <w:rPr>
          <w:noProof/>
        </w:rPr>
        <w:t>This</w:t>
      </w:r>
      <w:r w:rsidR="04EB422C" w:rsidRPr="00744DCA">
        <w:rPr>
          <w:noProof/>
        </w:rPr>
        <w:t xml:space="preserve"> is essential in </w:t>
      </w:r>
      <w:r w:rsidR="67AAFB99" w:rsidRPr="00744DCA">
        <w:rPr>
          <w:noProof/>
        </w:rPr>
        <w:t>order</w:t>
      </w:r>
      <w:r w:rsidR="04EB422C" w:rsidRPr="00744DCA">
        <w:rPr>
          <w:noProof/>
        </w:rPr>
        <w:t xml:space="preserve"> to provide the capacity to the Ukrainian State to maintain its essential functions and allow the fast recovery, reconstruction and modernisation of the country </w:t>
      </w:r>
      <w:r w:rsidRPr="00744DCA">
        <w:rPr>
          <w:noProof/>
        </w:rPr>
        <w:t xml:space="preserve">and </w:t>
      </w:r>
      <w:r w:rsidR="7F959123" w:rsidRPr="00744DCA">
        <w:rPr>
          <w:noProof/>
        </w:rPr>
        <w:t>foster</w:t>
      </w:r>
      <w:r w:rsidR="0695A8EF" w:rsidRPr="00744DCA">
        <w:rPr>
          <w:noProof/>
        </w:rPr>
        <w:t xml:space="preserve"> its integration into the European Defence Equipment Market</w:t>
      </w:r>
      <w:r w:rsidRPr="00744DCA">
        <w:rPr>
          <w:noProof/>
        </w:rPr>
        <w:t xml:space="preserve">. </w:t>
      </w:r>
      <w:r w:rsidR="5B250F98" w:rsidRPr="00744DCA">
        <w:rPr>
          <w:noProof/>
        </w:rPr>
        <w:t xml:space="preserve">A strong Ukrainian </w:t>
      </w:r>
      <w:r w:rsidR="0016435C" w:rsidRPr="00744DCA">
        <w:rPr>
          <w:noProof/>
        </w:rPr>
        <w:t>DTIB</w:t>
      </w:r>
      <w:r w:rsidR="5B250F98" w:rsidRPr="00744DCA">
        <w:rPr>
          <w:noProof/>
        </w:rPr>
        <w:t xml:space="preserve"> is vital for Ukraine’s long</w:t>
      </w:r>
      <w:r w:rsidR="729DAC18" w:rsidRPr="00744DCA">
        <w:rPr>
          <w:noProof/>
        </w:rPr>
        <w:t>-</w:t>
      </w:r>
      <w:r w:rsidR="5B250F98" w:rsidRPr="00744DCA">
        <w:rPr>
          <w:noProof/>
        </w:rPr>
        <w:t>term security as well as</w:t>
      </w:r>
      <w:r w:rsidR="70800A66" w:rsidRPr="00744DCA">
        <w:rPr>
          <w:noProof/>
        </w:rPr>
        <w:t xml:space="preserve"> its</w:t>
      </w:r>
      <w:r w:rsidR="5B250F98" w:rsidRPr="00744DCA">
        <w:rPr>
          <w:noProof/>
        </w:rPr>
        <w:t xml:space="preserve"> reconstruction.</w:t>
      </w:r>
    </w:p>
    <w:p w14:paraId="7EAED6BC" w14:textId="77777777" w:rsidR="00CB5EDF" w:rsidRPr="00744DCA" w:rsidRDefault="299C41F4" w:rsidP="00CB5EDF">
      <w:pPr>
        <w:pStyle w:val="ManualConsidrant"/>
        <w:rPr>
          <w:noProof/>
        </w:rPr>
      </w:pPr>
      <w:r>
        <w:rPr>
          <w:noProof/>
        </w:rPr>
        <w:t>(8)</w:t>
      </w:r>
      <w:r>
        <w:rPr>
          <w:noProof/>
        </w:rPr>
        <w:tab/>
      </w:r>
      <w:r w:rsidRPr="00744DCA">
        <w:rPr>
          <w:noProof/>
        </w:rPr>
        <w:t>In this regard actions supporting the reinforcement of the Ukrainian defence technological and industrial base should be financed</w:t>
      </w:r>
      <w:r w:rsidR="00754DE9" w:rsidRPr="00744DCA">
        <w:rPr>
          <w:noProof/>
        </w:rPr>
        <w:t>.</w:t>
      </w:r>
      <w:r w:rsidRPr="00744DCA">
        <w:rPr>
          <w:noProof/>
        </w:rPr>
        <w:t xml:space="preserve"> </w:t>
      </w:r>
      <w:r w:rsidR="00754DE9" w:rsidRPr="00744DCA">
        <w:rPr>
          <w:noProof/>
        </w:rPr>
        <w:t>This support is</w:t>
      </w:r>
      <w:r w:rsidR="008147AA" w:rsidRPr="00744DCA" w:rsidDel="008147AA">
        <w:rPr>
          <w:noProof/>
        </w:rPr>
        <w:t xml:space="preserve"> </w:t>
      </w:r>
      <w:r w:rsidRPr="00744DCA">
        <w:rPr>
          <w:noProof/>
        </w:rPr>
        <w:t xml:space="preserve">complementary to </w:t>
      </w:r>
      <w:r w:rsidR="005E5C41" w:rsidRPr="00744DCA">
        <w:rPr>
          <w:noProof/>
        </w:rPr>
        <w:t>that</w:t>
      </w:r>
      <w:r w:rsidRPr="00744DCA">
        <w:rPr>
          <w:noProof/>
        </w:rPr>
        <w:t xml:space="preserve"> provided under the Ukraine Facility </w:t>
      </w:r>
      <w:r w:rsidR="00B338CE" w:rsidRPr="00744DCA">
        <w:rPr>
          <w:noProof/>
        </w:rPr>
        <w:t>as well as military support provided to Ukraine</w:t>
      </w:r>
      <w:r w:rsidR="00B338CE" w:rsidRPr="00744DCA" w:rsidDel="00B338CE">
        <w:rPr>
          <w:noProof/>
        </w:rPr>
        <w:t xml:space="preserve"> </w:t>
      </w:r>
      <w:r w:rsidR="7E065B14" w:rsidRPr="00744DCA">
        <w:rPr>
          <w:noProof/>
        </w:rPr>
        <w:t>under the European Peace Facility</w:t>
      </w:r>
      <w:r w:rsidR="00DD178A" w:rsidRPr="00744DCA">
        <w:rPr>
          <w:noProof/>
        </w:rPr>
        <w:t xml:space="preserve"> and through bilateral assistance by Member States</w:t>
      </w:r>
      <w:r w:rsidRPr="00744DCA">
        <w:rPr>
          <w:noProof/>
        </w:rPr>
        <w:t>.</w:t>
      </w:r>
    </w:p>
    <w:p w14:paraId="1470DD2A" w14:textId="77777777" w:rsidR="00A2701E" w:rsidRPr="00744DCA" w:rsidRDefault="003C4C84" w:rsidP="00CB5EDF">
      <w:pPr>
        <w:pStyle w:val="ManualConsidrant"/>
        <w:rPr>
          <w:noProof/>
        </w:rPr>
      </w:pPr>
      <w:r>
        <w:rPr>
          <w:noProof/>
        </w:rPr>
        <w:t>(9)</w:t>
      </w:r>
      <w:r>
        <w:rPr>
          <w:noProof/>
        </w:rPr>
        <w:tab/>
      </w:r>
      <w:r w:rsidRPr="003C4C84">
        <w:rPr>
          <w:noProof/>
        </w:rPr>
        <w:t>Russia must be held fully accountable and pay for the massive damage caused by its war of aggression against Ukraine, which constitutes a blatant violation of the Charter of the United Nations. The Union and its Member States should, in close cooperation with other international partners, continue to work towards this goal, in accordance with Union and international law, taking into account Russia’s serious breach of the prohibition on the use of force enshrined in Article 2(4) of the Charter of the United Nations and the principle of State responsibility for internationally wrongful acts, including the obligation to compensate for the financially assessable damage caused. It is important that, inter alia, progress is made, in coordination with international partners, on how extraordinary revenues held by private entities stemming directly from immobilised Russian assets could be directed to support Ukraine, including its defence technological and industrial base, in a manner that is consistent with applicable contractual obligations and in accordance with Union and international law. If the Council were to adopt a CFSP decision under Article 29 TEU upon a proposal by the High Representative to transfer to the Union extraordinary cash balances of central securities depositories arising from the unexpected and extraordinary revenues from Russia’s immobilised sovereign assets, such additional support could be drawn from these revenues, in line with the objectives of the Union’s Common Foreign and Security Policy.</w:t>
      </w:r>
    </w:p>
    <w:p w14:paraId="48E15944" w14:textId="77777777" w:rsidR="007D3672" w:rsidRPr="00744DCA" w:rsidRDefault="007D3672" w:rsidP="00CB5EDF">
      <w:pPr>
        <w:pStyle w:val="ManualConsidrant"/>
        <w:rPr>
          <w:noProof/>
        </w:rPr>
      </w:pPr>
      <w:r>
        <w:rPr>
          <w:noProof/>
        </w:rPr>
        <w:t>(10)</w:t>
      </w:r>
      <w:r>
        <w:rPr>
          <w:noProof/>
        </w:rPr>
        <w:tab/>
      </w:r>
      <w:r w:rsidRPr="00744DCA">
        <w:rPr>
          <w:noProof/>
        </w:rPr>
        <w:t>A Framework agreement should be concluded with Ukraine to set up the principles of the cooperation between the Union and Ukraine</w:t>
      </w:r>
      <w:r w:rsidR="00093E5A" w:rsidRPr="00744DCA">
        <w:rPr>
          <w:noProof/>
        </w:rPr>
        <w:t xml:space="preserve"> under this Regulation</w:t>
      </w:r>
      <w:r w:rsidRPr="00744DCA">
        <w:rPr>
          <w:noProof/>
        </w:rPr>
        <w:t xml:space="preserve">. </w:t>
      </w:r>
      <w:r w:rsidR="00F7145F" w:rsidRPr="00744DCA">
        <w:rPr>
          <w:noProof/>
        </w:rPr>
        <w:t>Grant</w:t>
      </w:r>
      <w:r w:rsidRPr="00744DCA">
        <w:rPr>
          <w:noProof/>
        </w:rPr>
        <w:t xml:space="preserve"> agreements </w:t>
      </w:r>
      <w:r w:rsidR="00D629C3" w:rsidRPr="00744DCA">
        <w:rPr>
          <w:noProof/>
        </w:rPr>
        <w:t xml:space="preserve">or joint procurement </w:t>
      </w:r>
      <w:r w:rsidRPr="00744DCA">
        <w:rPr>
          <w:noProof/>
        </w:rPr>
        <w:t>should also be concluded with Ukraine</w:t>
      </w:r>
      <w:r w:rsidR="00F7145F" w:rsidRPr="00744DCA">
        <w:rPr>
          <w:noProof/>
        </w:rPr>
        <w:t xml:space="preserve"> and </w:t>
      </w:r>
      <w:r w:rsidR="0031077D" w:rsidRPr="00744DCA">
        <w:rPr>
          <w:noProof/>
        </w:rPr>
        <w:t>legal entities established in Ukraine</w:t>
      </w:r>
      <w:r w:rsidR="00CD02E7" w:rsidRPr="00744DCA">
        <w:rPr>
          <w:noProof/>
        </w:rPr>
        <w:t xml:space="preserve"> </w:t>
      </w:r>
      <w:r w:rsidRPr="00744DCA">
        <w:rPr>
          <w:noProof/>
        </w:rPr>
        <w:t>to define conditions for releasing funds.</w:t>
      </w:r>
      <w:r w:rsidR="0036647A" w:rsidRPr="00744DCA">
        <w:rPr>
          <w:noProof/>
        </w:rPr>
        <w:t xml:space="preserve"> </w:t>
      </w:r>
    </w:p>
    <w:p w14:paraId="082A6AB6" w14:textId="77777777" w:rsidR="00DA7EA1" w:rsidRPr="00744DCA" w:rsidRDefault="276261E3" w:rsidP="00DB7D33">
      <w:pPr>
        <w:pStyle w:val="ManualConsidrant"/>
        <w:rPr>
          <w:noProof/>
        </w:rPr>
      </w:pPr>
      <w:r>
        <w:rPr>
          <w:noProof/>
        </w:rPr>
        <w:t>(11)</w:t>
      </w:r>
      <w:r>
        <w:rPr>
          <w:noProof/>
        </w:rPr>
        <w:tab/>
      </w:r>
      <w:r w:rsidRPr="00744DCA">
        <w:rPr>
          <w:noProof/>
        </w:rPr>
        <w:t xml:space="preserve">To fund the actions that aim at strengthening the competitiveness, responsiveness and ability of the EDTIB based on Article 173 TFEU and the actions of cooperation with Ukraine for reinforcement of the Ukrainian </w:t>
      </w:r>
      <w:r w:rsidR="000A533D" w:rsidRPr="00744DCA">
        <w:rPr>
          <w:noProof/>
        </w:rPr>
        <w:t>DTIB</w:t>
      </w:r>
      <w:r w:rsidRPr="00744DCA">
        <w:rPr>
          <w:noProof/>
        </w:rPr>
        <w:t xml:space="preserve"> under Article 212 TFEU, this Regulation should establish common </w:t>
      </w:r>
      <w:r w:rsidR="007E13F6" w:rsidRPr="00744DCA">
        <w:rPr>
          <w:noProof/>
        </w:rPr>
        <w:t>objectives</w:t>
      </w:r>
      <w:r w:rsidR="00ED1C8D" w:rsidRPr="00744DCA">
        <w:rPr>
          <w:noProof/>
        </w:rPr>
        <w:t>,</w:t>
      </w:r>
      <w:r w:rsidR="007E13F6" w:rsidRPr="00744DCA">
        <w:rPr>
          <w:noProof/>
        </w:rPr>
        <w:t xml:space="preserve"> common </w:t>
      </w:r>
      <w:r w:rsidRPr="00744DCA">
        <w:rPr>
          <w:noProof/>
        </w:rPr>
        <w:t>financial mechanisms while clearly distinguishing two budget lines corresponding to each of  the objective</w:t>
      </w:r>
      <w:r w:rsidR="4B907909" w:rsidRPr="00744DCA">
        <w:rPr>
          <w:noProof/>
        </w:rPr>
        <w:t>s</w:t>
      </w:r>
      <w:r w:rsidRPr="00744DCA">
        <w:rPr>
          <w:noProof/>
        </w:rPr>
        <w:t xml:space="preserve"> pursued</w:t>
      </w:r>
      <w:r w:rsidR="00ED1C8D" w:rsidRPr="00744DCA">
        <w:rPr>
          <w:noProof/>
        </w:rPr>
        <w:t xml:space="preserve"> as well as establish a Programme </w:t>
      </w:r>
      <w:r w:rsidR="00CE6E52" w:rsidRPr="00744DCA">
        <w:rPr>
          <w:noProof/>
        </w:rPr>
        <w:t>setting out the conditions for Union financial support under Article 173 TFEU and an Ukraine Support Instrument setting out the specific conditions for Union financial support under Article 212 TFEU.</w:t>
      </w:r>
    </w:p>
    <w:p w14:paraId="5E4C75E6" w14:textId="77777777" w:rsidR="00F27B0F" w:rsidRPr="00744DCA" w:rsidRDefault="299C41F4">
      <w:pPr>
        <w:pStyle w:val="ManualConsidrant"/>
        <w:rPr>
          <w:noProof/>
        </w:rPr>
      </w:pPr>
      <w:r>
        <w:rPr>
          <w:noProof/>
        </w:rPr>
        <w:t>(12)</w:t>
      </w:r>
      <w:r>
        <w:rPr>
          <w:noProof/>
        </w:rPr>
        <w:tab/>
      </w:r>
      <w:r w:rsidRPr="00744DCA">
        <w:rPr>
          <w:noProof/>
        </w:rPr>
        <w:t>This Regulation lays down a financial envelope for the entire duration of the Programme which is to constitute the prime reference amount, within the meaning of point 18 of the Interinstitutional Agreement of 16 December 2020 between the European Parliament, the Council of the European Union and the European Commission on budgetary discipline, on cooperation in budgetary matters and on sound financial management, as well as on new own resources</w:t>
      </w:r>
      <w:r w:rsidR="10C39865" w:rsidRPr="00744DCA">
        <w:rPr>
          <w:noProof/>
        </w:rPr>
        <w:t xml:space="preserve">, </w:t>
      </w:r>
      <w:r w:rsidRPr="00744DCA">
        <w:rPr>
          <w:noProof/>
        </w:rPr>
        <w:t xml:space="preserve">for the European Parliament and the Council during the annual budgetary procedure. </w:t>
      </w:r>
    </w:p>
    <w:p w14:paraId="3653D1B8" w14:textId="6B426C47" w:rsidR="00CB5EDF" w:rsidRPr="00744DCA" w:rsidRDefault="299C41F4" w:rsidP="00CB5EDF">
      <w:pPr>
        <w:pStyle w:val="ManualConsidrant"/>
        <w:rPr>
          <w:noProof/>
        </w:rPr>
      </w:pPr>
      <w:r>
        <w:rPr>
          <w:noProof/>
        </w:rPr>
        <w:t>(13)</w:t>
      </w:r>
      <w:r>
        <w:rPr>
          <w:noProof/>
        </w:rPr>
        <w:tab/>
      </w:r>
      <w:r w:rsidRPr="00744DCA">
        <w:rPr>
          <w:noProof/>
        </w:rPr>
        <w:t xml:space="preserve">The possibilities provided for in Article 73(4) of Regulation (EU) 2021/1060 of the European Parliament and of the Council could be applied provided that the project complies with the rules set out in that Regulation and the scope of the European Regional Development Fund and the European Social Fund Plus as set out in Regulations (EU) 2021/1058 and (EU) 2021/1057 of the European Parliament and of the Council, respectively. </w:t>
      </w:r>
      <w:r>
        <w:rPr>
          <w:noProof/>
        </w:rPr>
        <w:t xml:space="preserve">This could, in particular, be the case where the production of relevant defence products faces specific market failures or suboptimal investment situations in the Member States’ territories, notably in vulnerable and remote areas, and such resources contribute to the achievement of the objectives of the programme from which they are transferred. </w:t>
      </w:r>
      <w:r w:rsidRPr="00744DCA">
        <w:rPr>
          <w:noProof/>
        </w:rPr>
        <w:t xml:space="preserve">In line with Article 24 of Regulation (EU) 2021/1060, the Commission is to assess the amended programmes submitted by the Member State and make observations within two months of the submission of the amended programme. </w:t>
      </w:r>
    </w:p>
    <w:p w14:paraId="48A15F87" w14:textId="0F1C82F3" w:rsidR="00CB5EDF" w:rsidRPr="00744DCA" w:rsidRDefault="299C41F4" w:rsidP="00CB5EDF">
      <w:pPr>
        <w:pStyle w:val="ManualConsidrant"/>
        <w:rPr>
          <w:noProof/>
        </w:rPr>
      </w:pPr>
      <w:r>
        <w:rPr>
          <w:noProof/>
        </w:rPr>
        <w:t>(14)</w:t>
      </w:r>
      <w:r>
        <w:rPr>
          <w:noProof/>
        </w:rPr>
        <w:tab/>
      </w:r>
      <w:r w:rsidRPr="00744DCA">
        <w:rPr>
          <w:noProof/>
        </w:rPr>
        <w:t>In view of the need invest better and together in defence capabilities of the Member States</w:t>
      </w:r>
      <w:r w:rsidR="7D4612B7" w:rsidRPr="00744DCA">
        <w:rPr>
          <w:noProof/>
        </w:rPr>
        <w:t xml:space="preserve"> and</w:t>
      </w:r>
      <w:r w:rsidRPr="00744DCA">
        <w:rPr>
          <w:noProof/>
        </w:rPr>
        <w:t xml:space="preserve"> associated countries as well as </w:t>
      </w:r>
      <w:r w:rsidR="43B41E01" w:rsidRPr="00744DCA">
        <w:rPr>
          <w:noProof/>
        </w:rPr>
        <w:t>in</w:t>
      </w:r>
      <w:r w:rsidRPr="00744DCA">
        <w:rPr>
          <w:noProof/>
        </w:rPr>
        <w:t xml:space="preserve"> the recovery, reconstruction and modernisation of Ukraine</w:t>
      </w:r>
      <w:r w:rsidR="2506F4B7" w:rsidRPr="00744DCA">
        <w:rPr>
          <w:noProof/>
        </w:rPr>
        <w:t>’s</w:t>
      </w:r>
      <w:r w:rsidRPr="00744DCA">
        <w:rPr>
          <w:noProof/>
        </w:rPr>
        <w:t xml:space="preserve"> defence industrial base, it should be possible for Member States, third countries, international organisations, international financial institutions or other sources to contribute to the implementation of the Programme. Such contributions should be implemented in accordance with the same rules and conditions and should constitute external assigned revenue within the meaning of Article 21(2)(a)(ii), (d), and (e) of </w:t>
      </w:r>
      <w:r w:rsidR="002D2978" w:rsidRPr="00744DCA">
        <w:rPr>
          <w:noProof/>
        </w:rPr>
        <w:t xml:space="preserve">the </w:t>
      </w:r>
      <w:r>
        <w:rPr>
          <w:noProof/>
        </w:rPr>
        <w:t>Regulation (EU, Euratom) No 2018/1046</w:t>
      </w:r>
      <w:r w:rsidRPr="00744DCA">
        <w:rPr>
          <w:noProof/>
        </w:rPr>
        <w:t>.</w:t>
      </w:r>
      <w:r w:rsidR="2162842F" w:rsidRPr="00744DCA">
        <w:rPr>
          <w:noProof/>
        </w:rPr>
        <w:t xml:space="preserve"> In </w:t>
      </w:r>
      <w:r w:rsidR="0D3CE55E" w:rsidRPr="00744DCA">
        <w:rPr>
          <w:noProof/>
        </w:rPr>
        <w:t xml:space="preserve">addition, </w:t>
      </w:r>
      <w:r w:rsidR="2162842F" w:rsidRPr="00744DCA">
        <w:rPr>
          <w:noProof/>
        </w:rPr>
        <w:t xml:space="preserve">Member States </w:t>
      </w:r>
      <w:r w:rsidR="0D3CE55E" w:rsidRPr="00744DCA">
        <w:rPr>
          <w:noProof/>
        </w:rPr>
        <w:t xml:space="preserve">should be able to use the </w:t>
      </w:r>
      <w:r w:rsidR="2162842F" w:rsidRPr="00744DCA">
        <w:rPr>
          <w:noProof/>
        </w:rPr>
        <w:t xml:space="preserve">flexibility </w:t>
      </w:r>
      <w:r w:rsidR="015E094C" w:rsidRPr="00744DCA">
        <w:rPr>
          <w:noProof/>
        </w:rPr>
        <w:t xml:space="preserve">in the implementation of their shared management allocations </w:t>
      </w:r>
      <w:r w:rsidR="0D3CE55E" w:rsidRPr="00744DCA">
        <w:rPr>
          <w:noProof/>
        </w:rPr>
        <w:t>offered by Regulation (EU) 2021/1060 of the European Parliament and the Council</w:t>
      </w:r>
      <w:r w:rsidR="015E094C" w:rsidRPr="00744DCA">
        <w:rPr>
          <w:noProof/>
        </w:rPr>
        <w:t>.</w:t>
      </w:r>
      <w:r w:rsidR="2162842F" w:rsidRPr="00744DCA">
        <w:rPr>
          <w:noProof/>
        </w:rPr>
        <w:t xml:space="preserve"> </w:t>
      </w:r>
      <w:r w:rsidR="015E094C" w:rsidRPr="00744DCA">
        <w:rPr>
          <w:noProof/>
        </w:rPr>
        <w:t>I</w:t>
      </w:r>
      <w:r w:rsidR="2162842F" w:rsidRPr="00744DCA">
        <w:rPr>
          <w:noProof/>
        </w:rPr>
        <w:t xml:space="preserve">t should </w:t>
      </w:r>
      <w:r w:rsidR="015E094C" w:rsidRPr="00744DCA">
        <w:rPr>
          <w:noProof/>
        </w:rPr>
        <w:t xml:space="preserve">therefore </w:t>
      </w:r>
      <w:r w:rsidR="2162842F" w:rsidRPr="00744DCA">
        <w:rPr>
          <w:noProof/>
        </w:rPr>
        <w:t xml:space="preserve">be possible to transfer certain levels of funding between shared management </w:t>
      </w:r>
      <w:r w:rsidR="3C555DA9" w:rsidRPr="00744DCA">
        <w:rPr>
          <w:noProof/>
        </w:rPr>
        <w:t xml:space="preserve">allocations </w:t>
      </w:r>
      <w:r w:rsidR="2162842F" w:rsidRPr="00744DCA">
        <w:rPr>
          <w:noProof/>
        </w:rPr>
        <w:t xml:space="preserve">and </w:t>
      </w:r>
      <w:r w:rsidR="41CB5110" w:rsidRPr="00744DCA">
        <w:rPr>
          <w:noProof/>
        </w:rPr>
        <w:t xml:space="preserve">the Programme </w:t>
      </w:r>
      <w:r w:rsidR="607E0771" w:rsidRPr="00744DCA">
        <w:rPr>
          <w:noProof/>
        </w:rPr>
        <w:t>subject to the conditions set out in the relevant provisions of Regulation (EU) 2021/1060 of the European Parliament and the Council</w:t>
      </w:r>
      <w:r w:rsidR="2162842F" w:rsidRPr="00744DCA">
        <w:rPr>
          <w:noProof/>
        </w:rPr>
        <w:t>.</w:t>
      </w:r>
      <w:r w:rsidR="24FAE73C" w:rsidRPr="00744DCA">
        <w:rPr>
          <w:noProof/>
        </w:rPr>
        <w:t xml:space="preserve"> </w:t>
      </w:r>
      <w:r w:rsidR="48BCDC20" w:rsidRPr="00744DCA">
        <w:rPr>
          <w:noProof/>
        </w:rPr>
        <w:t>Uncommitted</w:t>
      </w:r>
      <w:r w:rsidR="24FAE73C" w:rsidRPr="00744DCA">
        <w:rPr>
          <w:noProof/>
        </w:rPr>
        <w:t xml:space="preserve"> resources </w:t>
      </w:r>
      <w:r w:rsidR="48BCDC20" w:rsidRPr="00744DCA">
        <w:rPr>
          <w:noProof/>
          <w:lang w:val="en-IE"/>
        </w:rPr>
        <w:t xml:space="preserve">at the latest </w:t>
      </w:r>
      <w:r w:rsidR="59733A87" w:rsidRPr="00744DCA">
        <w:rPr>
          <w:noProof/>
          <w:lang w:val="en-IE"/>
        </w:rPr>
        <w:t xml:space="preserve">in 2028 </w:t>
      </w:r>
      <w:r w:rsidR="22C8F6E9" w:rsidRPr="00744DCA">
        <w:rPr>
          <w:noProof/>
          <w:lang w:val="en-IE"/>
        </w:rPr>
        <w:t>may</w:t>
      </w:r>
      <w:r w:rsidR="48BCDC20" w:rsidRPr="00744DCA">
        <w:rPr>
          <w:noProof/>
          <w:lang w:val="en-IE"/>
        </w:rPr>
        <w:t xml:space="preserve"> </w:t>
      </w:r>
      <w:r w:rsidR="24FAE73C" w:rsidRPr="00744DCA">
        <w:rPr>
          <w:noProof/>
        </w:rPr>
        <w:t xml:space="preserve">be transferred back to one or more respective source programmes, at the request of the Member State, in accordance with the conditions set out in the relevant provisions of Regulation </w:t>
      </w:r>
      <w:r w:rsidR="24FAE73C" w:rsidRPr="00744DCA">
        <w:rPr>
          <w:noProof/>
          <w:lang w:val="en-IE"/>
        </w:rPr>
        <w:t>(EU) 2021/1060</w:t>
      </w:r>
      <w:r w:rsidR="48BCDC20" w:rsidRPr="00744DCA">
        <w:rPr>
          <w:noProof/>
          <w:lang w:val="en-IE"/>
        </w:rPr>
        <w:t>.</w:t>
      </w:r>
    </w:p>
    <w:p w14:paraId="71DA9628" w14:textId="77777777" w:rsidR="00CB5EDF" w:rsidRPr="00744DCA" w:rsidRDefault="299C41F4" w:rsidP="00CB5EDF">
      <w:pPr>
        <w:pStyle w:val="ManualConsidrant"/>
        <w:rPr>
          <w:noProof/>
          <w:lang w:val="en-IE"/>
        </w:rPr>
      </w:pPr>
      <w:r>
        <w:rPr>
          <w:noProof/>
        </w:rPr>
        <w:t>(15)</w:t>
      </w:r>
      <w:r>
        <w:rPr>
          <w:noProof/>
        </w:rPr>
        <w:tab/>
      </w:r>
      <w:r w:rsidRPr="00744DCA">
        <w:rPr>
          <w:noProof/>
        </w:rPr>
        <w:t>As the Programme aims to enhance the competitiveness and efficiency of the Union’s and Ukraine’s defence industry, to benefit from the Programme, recipients of financial support should be legal entities which are established in the Union</w:t>
      </w:r>
      <w:r w:rsidR="4B8D864F" w:rsidRPr="00744DCA">
        <w:rPr>
          <w:noProof/>
        </w:rPr>
        <w:t>,</w:t>
      </w:r>
      <w:r w:rsidRPr="00744DCA">
        <w:rPr>
          <w:noProof/>
        </w:rPr>
        <w:t xml:space="preserve"> in associated countries </w:t>
      </w:r>
      <w:r w:rsidR="4B8D864F" w:rsidRPr="00744DCA">
        <w:rPr>
          <w:noProof/>
        </w:rPr>
        <w:t>or</w:t>
      </w:r>
      <w:r w:rsidR="52A1B184" w:rsidRPr="00744DCA">
        <w:rPr>
          <w:noProof/>
        </w:rPr>
        <w:t xml:space="preserve"> </w:t>
      </w:r>
      <w:r w:rsidR="226A4411" w:rsidRPr="00744DCA">
        <w:rPr>
          <w:noProof/>
        </w:rPr>
        <w:t>in</w:t>
      </w:r>
      <w:r w:rsidR="4B8D864F" w:rsidRPr="00744DCA">
        <w:rPr>
          <w:noProof/>
        </w:rPr>
        <w:t xml:space="preserve"> Ukraine </w:t>
      </w:r>
      <w:r w:rsidRPr="00744DCA">
        <w:rPr>
          <w:noProof/>
        </w:rPr>
        <w:t xml:space="preserve">and </w:t>
      </w:r>
      <w:r w:rsidR="5F8C397F" w:rsidRPr="00744DCA">
        <w:rPr>
          <w:noProof/>
        </w:rPr>
        <w:t xml:space="preserve">which </w:t>
      </w:r>
      <w:r w:rsidRPr="00744DCA">
        <w:rPr>
          <w:noProof/>
        </w:rPr>
        <w:t>are not subject to control by non-associated third countries</w:t>
      </w:r>
      <w:r w:rsidR="4610265C" w:rsidRPr="00744DCA">
        <w:rPr>
          <w:noProof/>
        </w:rPr>
        <w:t xml:space="preserve">, </w:t>
      </w:r>
      <w:r w:rsidR="08D2D110" w:rsidRPr="00744DCA">
        <w:rPr>
          <w:noProof/>
        </w:rPr>
        <w:t>other than</w:t>
      </w:r>
      <w:r w:rsidR="4610265C" w:rsidRPr="00744DCA">
        <w:rPr>
          <w:noProof/>
        </w:rPr>
        <w:t xml:space="preserve"> Ukraine</w:t>
      </w:r>
      <w:r w:rsidRPr="00744DCA">
        <w:rPr>
          <w:noProof/>
        </w:rPr>
        <w:t xml:space="preserve"> or by</w:t>
      </w:r>
      <w:r w:rsidR="3E22DD90" w:rsidRPr="00744DCA">
        <w:rPr>
          <w:noProof/>
        </w:rPr>
        <w:t>,</w:t>
      </w:r>
      <w:r w:rsidRPr="00744DCA">
        <w:rPr>
          <w:noProof/>
        </w:rPr>
        <w:t xml:space="preserve"> non-associated third-country entities. Where Member States</w:t>
      </w:r>
      <w:r w:rsidR="4610265C" w:rsidRPr="00744DCA">
        <w:rPr>
          <w:noProof/>
        </w:rPr>
        <w:t xml:space="preserve">, </w:t>
      </w:r>
      <w:r w:rsidRPr="00744DCA">
        <w:rPr>
          <w:noProof/>
        </w:rPr>
        <w:t>associated countries</w:t>
      </w:r>
      <w:r w:rsidR="4610265C" w:rsidRPr="00744DCA">
        <w:rPr>
          <w:noProof/>
        </w:rPr>
        <w:t xml:space="preserve"> or Ukraine</w:t>
      </w:r>
      <w:r w:rsidRPr="00744DCA">
        <w:rPr>
          <w:noProof/>
        </w:rPr>
        <w:t xml:space="preserve"> are the recipients of the financial support, in particular for common procurement actions, these rules should apply mutatis mutandis for the contractors or subcontractors to the procurement contracts. In that context, control should be understood to be the ability to exercise a decisive influence on a legal entity directly, or indirectly through one or more intermediate legal entities. Additionally, in order to ensure the protection of essential security and defence interests of the Union and its Member States, the infrastructure, facilities, assets and resources of the </w:t>
      </w:r>
      <w:r w:rsidR="46C55B7D" w:rsidRPr="00744DCA">
        <w:rPr>
          <w:noProof/>
        </w:rPr>
        <w:t>legal</w:t>
      </w:r>
      <w:r w:rsidRPr="00744DCA">
        <w:rPr>
          <w:noProof/>
        </w:rPr>
        <w:t xml:space="preserve"> entities involved in the actions which are used for the purposes of the action </w:t>
      </w:r>
      <w:r w:rsidR="00EF5CB8" w:rsidRPr="00744DCA">
        <w:rPr>
          <w:noProof/>
        </w:rPr>
        <w:t>should </w:t>
      </w:r>
      <w:r w:rsidRPr="00744DCA">
        <w:rPr>
          <w:noProof/>
        </w:rPr>
        <w:t>be located on the territory of a Member State</w:t>
      </w:r>
      <w:r w:rsidR="4610265C" w:rsidRPr="00744DCA">
        <w:rPr>
          <w:noProof/>
        </w:rPr>
        <w:t xml:space="preserve">, </w:t>
      </w:r>
      <w:r w:rsidRPr="00744DCA">
        <w:rPr>
          <w:noProof/>
        </w:rPr>
        <w:t>of an associated country</w:t>
      </w:r>
      <w:r w:rsidR="5586F004" w:rsidRPr="00744DCA">
        <w:rPr>
          <w:noProof/>
        </w:rPr>
        <w:t xml:space="preserve"> or </w:t>
      </w:r>
      <w:r w:rsidR="16E6F97C" w:rsidRPr="00744DCA">
        <w:rPr>
          <w:noProof/>
        </w:rPr>
        <w:t xml:space="preserve">of </w:t>
      </w:r>
      <w:r w:rsidR="5586F004" w:rsidRPr="00744DCA">
        <w:rPr>
          <w:noProof/>
        </w:rPr>
        <w:t>Ukraine</w:t>
      </w:r>
      <w:r w:rsidRPr="00744DCA">
        <w:rPr>
          <w:noProof/>
        </w:rPr>
        <w:t>.</w:t>
      </w:r>
    </w:p>
    <w:p w14:paraId="69BF6DBF" w14:textId="77777777" w:rsidR="00CB5EDF" w:rsidRPr="00744DCA" w:rsidRDefault="299C41F4" w:rsidP="00CB5EDF">
      <w:pPr>
        <w:pStyle w:val="ManualConsidrant"/>
        <w:rPr>
          <w:noProof/>
        </w:rPr>
      </w:pPr>
      <w:r>
        <w:rPr>
          <w:noProof/>
        </w:rPr>
        <w:t>(16)</w:t>
      </w:r>
      <w:r>
        <w:rPr>
          <w:noProof/>
        </w:rPr>
        <w:tab/>
      </w:r>
      <w:r w:rsidRPr="00744DCA">
        <w:rPr>
          <w:noProof/>
        </w:rPr>
        <w:t>In certain circumstances, it should be possible to derogate from the principle that legal entities involved in an action supported by the Programme are not subject to control by non-associated third countries or non-associated third-country entities. In that context, a legal entity established in the Union or in an associated third country and controlled by a non-associated third country or a non-associated third country entity may participate as recipient if strict conditions relating to the security and defence interests of the Union and its Member States, as established in the framework of the Common Foreign and Security Policy pursuant to Title V of the Treaty on European Union (TEU), including in terms of strengthening the European Defence Technological and Industrial Base, are fulfilled.</w:t>
      </w:r>
    </w:p>
    <w:p w14:paraId="6FE223E8" w14:textId="77777777" w:rsidR="00CB5EDF" w:rsidRPr="00744DCA" w:rsidRDefault="299C41F4" w:rsidP="00CB5EDF">
      <w:pPr>
        <w:pStyle w:val="ManualConsidrant"/>
        <w:rPr>
          <w:noProof/>
        </w:rPr>
      </w:pPr>
      <w:r>
        <w:rPr>
          <w:noProof/>
        </w:rPr>
        <w:t>(17)</w:t>
      </w:r>
      <w:r>
        <w:rPr>
          <w:noProof/>
        </w:rPr>
        <w:tab/>
      </w:r>
      <w:r w:rsidRPr="00744DCA">
        <w:rPr>
          <w:noProof/>
        </w:rPr>
        <w:t>Furthermore, the defence products subject to actions supported by the Programme should not be subject to control or restriction by a non-associated third country or a non-associated third country entity.</w:t>
      </w:r>
    </w:p>
    <w:p w14:paraId="51886E38" w14:textId="77777777" w:rsidR="00CB5EDF" w:rsidRPr="00744DCA" w:rsidRDefault="299C41F4" w:rsidP="00CB5EDF">
      <w:pPr>
        <w:pStyle w:val="ManualConsidrant"/>
        <w:rPr>
          <w:noProof/>
        </w:rPr>
      </w:pPr>
      <w:r>
        <w:rPr>
          <w:noProof/>
        </w:rPr>
        <w:t>(18)</w:t>
      </w:r>
      <w:r>
        <w:rPr>
          <w:noProof/>
        </w:rPr>
        <w:tab/>
      </w:r>
      <w:r w:rsidRPr="00744DCA">
        <w:rPr>
          <w:noProof/>
        </w:rPr>
        <w:t>Given the specificities of the defence industry, where demand comes almost exclusively from States, which also control all acquisition of defence-related products and technologies, including exports, the functioning of the defence industry sector does not follow the conventional rules and business models that govern more traditional markets. The industry does not therefore engage in substantial self-funded industrial investments but only does so as a consequence of firm orders. While firm orders from Member States are a precondition for any investment, the Commission can intervene by offsetting the complexity of cooperation for common procurement and de-risking industrial investments via grants and loans allowing a faster adaptation to ongoing structural market change. As a general rule, Union support should cover up to 100% of direct eligible costs or 100%</w:t>
      </w:r>
      <w:r w:rsidR="0C059D90" w:rsidRPr="00744DCA">
        <w:rPr>
          <w:noProof/>
        </w:rPr>
        <w:t xml:space="preserve"> </w:t>
      </w:r>
      <w:r w:rsidRPr="00744DCA">
        <w:rPr>
          <w:noProof/>
        </w:rPr>
        <w:t>of the amount determined for actions applying the financing not linked to costs option. The Union support for industry reinforcement actions should cover up to 50 % of direct eligible costs in order to enable recipients to implement actions as soon as possible, to de-risk their investment and therefore to speed up the availability of relevant defence products.</w:t>
      </w:r>
    </w:p>
    <w:p w14:paraId="79F94CC2" w14:textId="3B0C1B76" w:rsidR="00DB7D33" w:rsidRPr="00744DCA" w:rsidRDefault="299C41F4">
      <w:pPr>
        <w:pStyle w:val="ManualConsidrant"/>
        <w:rPr>
          <w:noProof/>
        </w:rPr>
      </w:pPr>
      <w:r>
        <w:rPr>
          <w:noProof/>
        </w:rPr>
        <w:t>(19)</w:t>
      </w:r>
      <w:r>
        <w:rPr>
          <w:noProof/>
        </w:rPr>
        <w:tab/>
      </w:r>
      <w:r w:rsidRPr="00744DCA">
        <w:rPr>
          <w:noProof/>
        </w:rPr>
        <w:t xml:space="preserve">The Programme should provide financial support, via means provided for in the </w:t>
      </w:r>
      <w:r>
        <w:rPr>
          <w:noProof/>
        </w:rPr>
        <w:t>Regulation (EU, Euratom) No 2018/1046</w:t>
      </w:r>
      <w:r w:rsidRPr="00744DCA">
        <w:rPr>
          <w:noProof/>
        </w:rPr>
        <w:t>, to actions contributing to the timely availability and supply of defence products such as cooperation for common procurement of public authorities, industrial coordination and networking activities including reservation and stockpiling of defence products, access to finance for undertakings involved in the manufacturing of relevant defence products, reservation of manufacturing capacities (</w:t>
      </w:r>
      <w:r w:rsidR="485453E9" w:rsidRPr="00744DCA">
        <w:rPr>
          <w:noProof/>
        </w:rPr>
        <w:t>‘</w:t>
      </w:r>
      <w:r w:rsidRPr="00744DCA">
        <w:rPr>
          <w:noProof/>
        </w:rPr>
        <w:t>ever warm facilities</w:t>
      </w:r>
      <w:r w:rsidR="49D54F6F" w:rsidRPr="00744DCA">
        <w:rPr>
          <w:noProof/>
        </w:rPr>
        <w:t>’</w:t>
      </w:r>
      <w:r w:rsidRPr="00744DCA">
        <w:rPr>
          <w:noProof/>
        </w:rPr>
        <w:t>), industrial processes of reconditioning of expired products, expansion, optimisation, modernisation, upgrading or repurposing of existing, or the establishment of new, production capacities in that field as well as the training of personnel.</w:t>
      </w:r>
      <w:r w:rsidR="389027D3" w:rsidRPr="00744DCA">
        <w:rPr>
          <w:noProof/>
        </w:rPr>
        <w:t xml:space="preserve"> </w:t>
      </w:r>
    </w:p>
    <w:p w14:paraId="6C029653" w14:textId="77777777" w:rsidR="00CB5EDF" w:rsidRPr="00744DCA" w:rsidRDefault="299C41F4" w:rsidP="00CB5EDF">
      <w:pPr>
        <w:pStyle w:val="ManualConsidrant"/>
        <w:rPr>
          <w:noProof/>
        </w:rPr>
      </w:pPr>
      <w:r>
        <w:rPr>
          <w:noProof/>
        </w:rPr>
        <w:t>(20)</w:t>
      </w:r>
      <w:r>
        <w:rPr>
          <w:noProof/>
        </w:rPr>
        <w:tab/>
      </w:r>
      <w:r w:rsidRPr="00744DCA">
        <w:rPr>
          <w:noProof/>
        </w:rPr>
        <w:t>Grants under the Programme may take the form of financing not linked to cost based on the achievement of results by reference to work packages, milestones or targets of the common procurement process, in order to create the necessary incentive effect.</w:t>
      </w:r>
    </w:p>
    <w:p w14:paraId="3A4DE510" w14:textId="77777777" w:rsidR="00CB5EDF" w:rsidRPr="00744DCA" w:rsidRDefault="299C41F4" w:rsidP="00CB5EDF">
      <w:pPr>
        <w:pStyle w:val="ManualConsidrant"/>
        <w:rPr>
          <w:noProof/>
        </w:rPr>
      </w:pPr>
      <w:r>
        <w:rPr>
          <w:noProof/>
        </w:rPr>
        <w:t>(21)</w:t>
      </w:r>
      <w:r>
        <w:rPr>
          <w:noProof/>
        </w:rPr>
        <w:tab/>
      </w:r>
      <w:r w:rsidRPr="00744DCA">
        <w:rPr>
          <w:noProof/>
        </w:rPr>
        <w:t>Where the Union grant takes the form of financing not linked to costs, the Commission should determine in the work programme the funding conditions for each action, in particular (a) a description of action involving cooperation for common procurement with a view to addressing the most urgent and critical capacity needs, (b) the milestones for the implementation of the action</w:t>
      </w:r>
      <w:r w:rsidR="389027D3" w:rsidRPr="00744DCA">
        <w:rPr>
          <w:noProof/>
        </w:rPr>
        <w:t xml:space="preserve"> </w:t>
      </w:r>
      <w:r w:rsidRPr="00744DCA">
        <w:rPr>
          <w:noProof/>
        </w:rPr>
        <w:t>and (c) the maximum Union contribution available.</w:t>
      </w:r>
    </w:p>
    <w:p w14:paraId="59597AD7" w14:textId="77777777" w:rsidR="00CB5EDF" w:rsidRPr="00744DCA" w:rsidRDefault="299C41F4" w:rsidP="00CB5EDF">
      <w:pPr>
        <w:pStyle w:val="ManualConsidrant"/>
        <w:rPr>
          <w:noProof/>
          <w:lang w:val="en-IE"/>
        </w:rPr>
      </w:pPr>
      <w:r>
        <w:rPr>
          <w:noProof/>
        </w:rPr>
        <w:t>(22)</w:t>
      </w:r>
      <w:r>
        <w:rPr>
          <w:noProof/>
        </w:rPr>
        <w:tab/>
      </w:r>
      <w:r w:rsidRPr="00744DCA">
        <w:rPr>
          <w:noProof/>
          <w:lang w:val="en-IE"/>
        </w:rPr>
        <w:t xml:space="preserve">In order to ensure uniform conditions for the implementation of this Regulation, implementing powers should be conferred on the Commission with respect to the adoption of work programmes to set out the funding priorities and the applicable funding conditions. </w:t>
      </w:r>
      <w:r w:rsidR="004A306F" w:rsidRPr="00744DCA">
        <w:rPr>
          <w:noProof/>
        </w:rPr>
        <w:t>T</w:t>
      </w:r>
      <w:r w:rsidR="005DE13B" w:rsidRPr="00744DCA">
        <w:rPr>
          <w:noProof/>
        </w:rPr>
        <w:t xml:space="preserve">he specificities of the defence sector, in particular the responsibility of Member States, associated countries or </w:t>
      </w:r>
      <w:r w:rsidR="5A523D1A" w:rsidRPr="00744DCA">
        <w:rPr>
          <w:noProof/>
        </w:rPr>
        <w:t xml:space="preserve">Ukraine </w:t>
      </w:r>
      <w:r w:rsidR="005DE13B" w:rsidRPr="00744DCA">
        <w:rPr>
          <w:noProof/>
        </w:rPr>
        <w:t>for the planning and acquisition process, should be taken into account.</w:t>
      </w:r>
      <w:r w:rsidRPr="00744DCA">
        <w:rPr>
          <w:noProof/>
          <w:lang w:val="en-IE"/>
        </w:rPr>
        <w:t xml:space="preserve"> Those powers should be exercised in accordance with Regulation (EU) No 182/2011 of the European Parliament and of the Council.</w:t>
      </w:r>
    </w:p>
    <w:p w14:paraId="58CA76C0" w14:textId="2E8DAF4E" w:rsidR="00CB5EDF" w:rsidRPr="00744DCA" w:rsidRDefault="299C41F4" w:rsidP="00CB5EDF">
      <w:pPr>
        <w:pStyle w:val="ManualConsidrant"/>
        <w:rPr>
          <w:noProof/>
        </w:rPr>
      </w:pPr>
      <w:r>
        <w:rPr>
          <w:noProof/>
        </w:rPr>
        <w:t>(23)</w:t>
      </w:r>
      <w:r>
        <w:rPr>
          <w:noProof/>
        </w:rPr>
        <w:tab/>
      </w:r>
      <w:r w:rsidRPr="00744DCA">
        <w:rPr>
          <w:noProof/>
        </w:rPr>
        <w:t xml:space="preserve">In accordance with Article 193(2) of the </w:t>
      </w:r>
      <w:r>
        <w:rPr>
          <w:noProof/>
        </w:rPr>
        <w:t>Regulation (EU, Euratom) No 2018/1046</w:t>
      </w:r>
      <w:r w:rsidRPr="00744DCA">
        <w:rPr>
          <w:noProof/>
        </w:rPr>
        <w:t xml:space="preserve">, a grant may be awarded for an action which has already begun, provided that the applicant can demonstrate the need for starting the action prior to signature of the grant agreement. However, costs incurred prior to the date of submission of the grant application are not eligible, except in duly justified exceptional cases. In order to </w:t>
      </w:r>
      <w:r w:rsidR="035E560D" w:rsidRPr="00744DCA">
        <w:rPr>
          <w:noProof/>
        </w:rPr>
        <w:t xml:space="preserve">enable continuity of funding </w:t>
      </w:r>
      <w:r w:rsidR="6DDD8B89" w:rsidRPr="00744DCA">
        <w:rPr>
          <w:noProof/>
        </w:rPr>
        <w:t xml:space="preserve">perspective </w:t>
      </w:r>
      <w:r w:rsidR="035E560D" w:rsidRPr="00744DCA">
        <w:rPr>
          <w:noProof/>
        </w:rPr>
        <w:t xml:space="preserve">for actions </w:t>
      </w:r>
      <w:r w:rsidR="05083560" w:rsidRPr="00744DCA">
        <w:rPr>
          <w:noProof/>
        </w:rPr>
        <w:t>that could have been supported by 2024 funding under</w:t>
      </w:r>
      <w:r w:rsidRPr="00744DCA">
        <w:rPr>
          <w:noProof/>
        </w:rPr>
        <w:t xml:space="preserve"> ASAP and EDIRPA, in the financing decision it should be possible to provide for financial contributions in relation to actions that cover a period starting from </w:t>
      </w:r>
      <w:r w:rsidR="0EA65710" w:rsidRPr="00744DCA">
        <w:rPr>
          <w:noProof/>
        </w:rPr>
        <w:t xml:space="preserve">5 March </w:t>
      </w:r>
      <w:r w:rsidRPr="00744DCA">
        <w:rPr>
          <w:noProof/>
        </w:rPr>
        <w:t>2024.</w:t>
      </w:r>
    </w:p>
    <w:p w14:paraId="6A3A8C1F" w14:textId="27275443" w:rsidR="00CB5EDF" w:rsidRPr="00744DCA" w:rsidRDefault="299C41F4" w:rsidP="00CB5EDF">
      <w:pPr>
        <w:pStyle w:val="ManualConsidrant"/>
        <w:rPr>
          <w:noProof/>
        </w:rPr>
      </w:pPr>
      <w:r>
        <w:rPr>
          <w:noProof/>
        </w:rPr>
        <w:t>(24)</w:t>
      </w:r>
      <w:r>
        <w:rPr>
          <w:noProof/>
        </w:rPr>
        <w:tab/>
      </w:r>
      <w:r w:rsidRPr="00744DCA">
        <w:rPr>
          <w:noProof/>
        </w:rPr>
        <w:t xml:space="preserve">When assessing proposals submitted by applicants, the Commission should pay particular attention to their contribution to the objectives of the Programme. The proposals should be assessed, in particular, against their contribution to the increase </w:t>
      </w:r>
      <w:r w:rsidR="094F9637" w:rsidRPr="00744DCA">
        <w:rPr>
          <w:noProof/>
        </w:rPr>
        <w:t xml:space="preserve">in </w:t>
      </w:r>
      <w:r w:rsidRPr="00744DCA">
        <w:rPr>
          <w:noProof/>
        </w:rPr>
        <w:t xml:space="preserve">defence industrial readiness, in particular increasing production capacities </w:t>
      </w:r>
      <w:r>
        <w:rPr>
          <w:noProof/>
        </w:rPr>
        <w:t xml:space="preserve">and </w:t>
      </w:r>
      <w:r w:rsidRPr="00744DCA">
        <w:rPr>
          <w:noProof/>
        </w:rPr>
        <w:t xml:space="preserve">eliminating bottlenecks. They should also be assessed against their contribution to fostering </w:t>
      </w:r>
      <w:r>
        <w:rPr>
          <w:noProof/>
          <w:lang w:val="en-IE"/>
        </w:rPr>
        <w:t>defence industrial resilience, by reference to considerations such as timely availability and supply to all locations, strengthening security of supply throughout the Union</w:t>
      </w:r>
      <w:r>
        <w:rPr>
          <w:noProof/>
        </w:rPr>
        <w:t xml:space="preserve"> </w:t>
      </w:r>
      <w:r>
        <w:rPr>
          <w:noProof/>
          <w:lang w:val="en-IE"/>
        </w:rPr>
        <w:t>in response to identified risks, including in particular to those Member States most exposed to the risk of materialisation of conventional military threats. Assessments should also refer to the contribution to</w:t>
      </w:r>
      <w:r>
        <w:rPr>
          <w:noProof/>
        </w:rPr>
        <w:t xml:space="preserve"> </w:t>
      </w:r>
      <w:r w:rsidRPr="00744DCA">
        <w:rPr>
          <w:noProof/>
        </w:rPr>
        <w:t>defence industrial cooperation through genuine armament cooperation among Member States</w:t>
      </w:r>
      <w:r w:rsidR="1770F197" w:rsidRPr="00744DCA">
        <w:rPr>
          <w:noProof/>
        </w:rPr>
        <w:t>,</w:t>
      </w:r>
      <w:r w:rsidRPr="00744DCA">
        <w:rPr>
          <w:noProof/>
        </w:rPr>
        <w:t xml:space="preserve"> associated countries</w:t>
      </w:r>
      <w:r w:rsidR="1770F197" w:rsidRPr="00744DCA">
        <w:rPr>
          <w:noProof/>
        </w:rPr>
        <w:t xml:space="preserve"> and Ukraine</w:t>
      </w:r>
      <w:r w:rsidRPr="00744DCA">
        <w:rPr>
          <w:noProof/>
        </w:rPr>
        <w:t xml:space="preserve"> and the development and the operationalisation of cross-border cooperation of undertakings, in particular, to a significant extent, small and medium-sized enterprises (SMEs) and smal</w:t>
      </w:r>
      <w:r w:rsidR="389027D3" w:rsidRPr="00744DCA">
        <w:rPr>
          <w:noProof/>
        </w:rPr>
        <w:t>l</w:t>
      </w:r>
      <w:r w:rsidRPr="00744DCA">
        <w:rPr>
          <w:noProof/>
        </w:rPr>
        <w:t xml:space="preserve"> middle capitalization companies (small mid-caps) operating in the supply chains concerned.</w:t>
      </w:r>
    </w:p>
    <w:p w14:paraId="631E8270" w14:textId="77777777" w:rsidR="00CB5EDF" w:rsidRPr="00744DCA" w:rsidRDefault="299C41F4" w:rsidP="00CB5EDF">
      <w:pPr>
        <w:pStyle w:val="ManualConsidrant"/>
        <w:rPr>
          <w:noProof/>
        </w:rPr>
      </w:pPr>
      <w:r>
        <w:rPr>
          <w:noProof/>
        </w:rPr>
        <w:t>(25)</w:t>
      </w:r>
      <w:r>
        <w:rPr>
          <w:noProof/>
        </w:rPr>
        <w:tab/>
      </w:r>
      <w:r w:rsidRPr="00744DCA">
        <w:rPr>
          <w:noProof/>
        </w:rPr>
        <w:t>When designing, awarding and implementing Union financial support, the Commission should pay particular attention to ensuring that such support does not adversely affect the conditions of competition in the internal market.</w:t>
      </w:r>
    </w:p>
    <w:p w14:paraId="247EE239" w14:textId="06F89DFC" w:rsidR="00CB5EDF" w:rsidRPr="00744DCA" w:rsidRDefault="4D96B761" w:rsidP="00CB5EDF">
      <w:pPr>
        <w:pStyle w:val="ManualConsidrant"/>
        <w:rPr>
          <w:noProof/>
        </w:rPr>
      </w:pPr>
      <w:r>
        <w:rPr>
          <w:noProof/>
        </w:rPr>
        <w:t>(26)</w:t>
      </w:r>
      <w:r>
        <w:rPr>
          <w:noProof/>
        </w:rPr>
        <w:tab/>
      </w:r>
      <w:r w:rsidRPr="00744DCA">
        <w:rPr>
          <w:noProof/>
        </w:rPr>
        <w:t>T</w:t>
      </w:r>
      <w:r w:rsidR="299C41F4" w:rsidRPr="00744DCA">
        <w:rPr>
          <w:noProof/>
        </w:rPr>
        <w:t xml:space="preserve">he </w:t>
      </w:r>
      <w:r>
        <w:rPr>
          <w:noProof/>
        </w:rPr>
        <w:t>Regulation (EU, Euratom) No 2018/1046</w:t>
      </w:r>
      <w:r w:rsidR="299C41F4" w:rsidRPr="00744DCA">
        <w:rPr>
          <w:noProof/>
        </w:rPr>
        <w:t xml:space="preserve"> and subsequent amendments applies to this Programme. It lays down rules on the implementation of the Union budget, including the rules on grants, prizes, procurement, indirect implementation, and financial </w:t>
      </w:r>
      <w:r w:rsidR="4F1D8637" w:rsidRPr="00744DCA">
        <w:rPr>
          <w:noProof/>
        </w:rPr>
        <w:t>instruments</w:t>
      </w:r>
      <w:r w:rsidR="299C41F4" w:rsidRPr="00744DCA">
        <w:rPr>
          <w:noProof/>
        </w:rPr>
        <w:t>.</w:t>
      </w:r>
    </w:p>
    <w:p w14:paraId="32B96EE3" w14:textId="6068A901" w:rsidR="00CB5EDF" w:rsidRPr="00744DCA" w:rsidRDefault="299C41F4" w:rsidP="00CB5EDF">
      <w:pPr>
        <w:pStyle w:val="ManualConsidrant"/>
        <w:rPr>
          <w:noProof/>
        </w:rPr>
      </w:pPr>
      <w:r>
        <w:rPr>
          <w:noProof/>
        </w:rPr>
        <w:t>(27)</w:t>
      </w:r>
      <w:r>
        <w:rPr>
          <w:noProof/>
        </w:rPr>
        <w:tab/>
      </w:r>
      <w:r w:rsidRPr="00744DCA">
        <w:rPr>
          <w:noProof/>
        </w:rPr>
        <w:t xml:space="preserve">In accordance with the </w:t>
      </w:r>
      <w:r>
        <w:rPr>
          <w:noProof/>
        </w:rPr>
        <w:t>Regulation (EU, Euratom) No 2018/1046</w:t>
      </w:r>
      <w:r w:rsidRPr="00744DCA">
        <w:rPr>
          <w:noProof/>
        </w:rPr>
        <w:t>, Regulation (EU, Euratom) No 883/2013 of the European Parliament and of the Council and Council Regulations (EC, Euratom) No 2988/95, (Euratom, EC) No 2185/96 and (EU) 2017/1939, the financial interests of the Union are to be protected by means of proportionate measures, including measures relating to the prevention, detection, correction and investigation of irregularities, including fraud, to the recovery of funds lost, wrongly paid or incorrectly used, and, where appropriate, to the imposition of administrative penalties. In particular, in accordance with Regulations (Euratom, EC) No 2185/96 and (EU, Euratom) No 883/2013, the European Anti-Fraud Office (OLAF) has the power to carry out administrative investigations, including on-the-spot checks and inspections, with a view to establishing whether there has been fraud, corruption or any other illegal activity affecting the financial interests of the Union.</w:t>
      </w:r>
      <w:r w:rsidR="389027D3" w:rsidRPr="00744DCA">
        <w:rPr>
          <w:noProof/>
        </w:rPr>
        <w:t xml:space="preserve"> </w:t>
      </w:r>
      <w:r w:rsidRPr="00744DCA">
        <w:rPr>
          <w:noProof/>
        </w:rPr>
        <w:t xml:space="preserve">The European Public Prosecutor’s Office (EPPO) is empowered, in accordance with Regulation (EU) 2017/1939, to investigate and prosecute criminal offences affecting the financial interests of the Union as provided for in Directive (EU) 2017/1371 of the European Parliament and of the Council. In accordance with the </w:t>
      </w:r>
      <w:r>
        <w:rPr>
          <w:noProof/>
        </w:rPr>
        <w:t>Regulation (EU, Euratom) No 2018/1046</w:t>
      </w:r>
      <w:r w:rsidRPr="00744DCA">
        <w:rPr>
          <w:noProof/>
        </w:rPr>
        <w:t>, any person or entity receiving Union funds is to fully cooperate in the protection of the financial interests of the Union, grant the necessary rights and access to the Commission, OLAF, the Court of Auditors and, in respect of those Member States participating in enhanced cooperation pursuant to Regulation (EU) 2017/1939, the EPPO, and ensure that any third parties involved in the implementation of Union funds grant equivalent rights.</w:t>
      </w:r>
    </w:p>
    <w:p w14:paraId="0EDFCD90" w14:textId="77777777" w:rsidR="00CB5EDF" w:rsidRPr="00744DCA" w:rsidRDefault="299C41F4" w:rsidP="00CB5EDF">
      <w:pPr>
        <w:pStyle w:val="ManualConsidrant"/>
        <w:rPr>
          <w:noProof/>
        </w:rPr>
      </w:pPr>
      <w:r>
        <w:rPr>
          <w:noProof/>
        </w:rPr>
        <w:t>(28)</w:t>
      </w:r>
      <w:r>
        <w:rPr>
          <w:noProof/>
        </w:rPr>
        <w:tab/>
      </w:r>
      <w:r w:rsidRPr="00744DCA">
        <w:rPr>
          <w:noProof/>
        </w:rPr>
        <w:t>Third countries which are members of the European Economic Area (EEA) may participate in Union programmes in the framework of the cooperation established under the Agreement on the European Economic Area, which provides for the implementation of the programmes on the basis of a decision adopted under that Agreement. A specific provision should be introduced in this Regulation requiring those third countries to grant the necessary rights and access required for the authorising officer responsible, OLAF and the Court of Auditors to comprehensively exercise their respective competences. Pursuant to Article 85 of Council Decision (EU) 2021/1764 (18), natural persons and bodies and institutions established in overseas countries and territories (OCTs) are eligible for funding subject to the rules and objectives of the Programme and possible arrangements applicable to the Member State to which the relevant OCT is linked.</w:t>
      </w:r>
    </w:p>
    <w:p w14:paraId="3ADDD1A6" w14:textId="77777777" w:rsidR="00CB5EDF" w:rsidRPr="00744DCA" w:rsidRDefault="299C41F4" w:rsidP="00B33FEA">
      <w:pPr>
        <w:pStyle w:val="ManualConsidrant"/>
        <w:rPr>
          <w:rFonts w:eastAsia="Times New Roman"/>
          <w:noProof/>
          <w:color w:val="333333"/>
        </w:rPr>
      </w:pPr>
      <w:r>
        <w:rPr>
          <w:noProof/>
        </w:rPr>
        <w:t>(29)</w:t>
      </w:r>
      <w:r>
        <w:rPr>
          <w:noProof/>
        </w:rPr>
        <w:tab/>
      </w:r>
      <w:r w:rsidRPr="00744DCA">
        <w:rPr>
          <w:noProof/>
        </w:rPr>
        <w:t>Building</w:t>
      </w:r>
      <w:r w:rsidRPr="00744DCA">
        <w:rPr>
          <w:rFonts w:eastAsia="Times New Roman"/>
          <w:noProof/>
          <w:color w:val="333333"/>
        </w:rPr>
        <w:t xml:space="preserve"> </w:t>
      </w:r>
      <w:r w:rsidR="00ED6A69" w:rsidRPr="00744DCA">
        <w:rPr>
          <w:rFonts w:eastAsia="Times New Roman"/>
          <w:noProof/>
          <w:color w:val="333333"/>
        </w:rPr>
        <w:t xml:space="preserve">inter alia </w:t>
      </w:r>
      <w:r w:rsidRPr="00744DCA">
        <w:rPr>
          <w:rFonts w:eastAsia="Times New Roman"/>
          <w:noProof/>
          <w:color w:val="333333"/>
        </w:rPr>
        <w:t>on the experience of the defence equity facility, established in the context of the European Defence Fund</w:t>
      </w:r>
      <w:r w:rsidR="4F1D8637" w:rsidRPr="00744DCA">
        <w:rPr>
          <w:rFonts w:eastAsia="Times New Roman"/>
          <w:noProof/>
          <w:color w:val="333333"/>
        </w:rPr>
        <w:t xml:space="preserve"> as an InvestEU blending operation</w:t>
      </w:r>
      <w:r w:rsidRPr="00744DCA">
        <w:rPr>
          <w:rFonts w:eastAsia="Times New Roman"/>
          <w:noProof/>
          <w:color w:val="333333"/>
        </w:rPr>
        <w:t>, the Commission should</w:t>
      </w:r>
      <w:r w:rsidR="007A29B9" w:rsidRPr="00744DCA">
        <w:rPr>
          <w:rFonts w:eastAsia="Times New Roman"/>
          <w:noProof/>
          <w:color w:val="333333"/>
        </w:rPr>
        <w:t xml:space="preserve"> endeavour to</w:t>
      </w:r>
      <w:r w:rsidRPr="00744DCA">
        <w:rPr>
          <w:rFonts w:eastAsia="Times New Roman"/>
          <w:noProof/>
          <w:color w:val="333333"/>
        </w:rPr>
        <w:t xml:space="preserve"> set up a dedicated facility as part of the Programme to be referred to as the ‘Fund for the acceleration of defence supply chain transformation (‘FAST’)’. FAST should be implemented under indirect management. FAST will leverage, de-risk and speed-up investments needed to increase the defence manufacturing capacities of EU-based SMEs and small mid-caps, in the form of a blending operation offering support in the form of debt and/or equity. FAST </w:t>
      </w:r>
      <w:r w:rsidR="564F3639" w:rsidRPr="00744DCA">
        <w:rPr>
          <w:rFonts w:eastAsia="Times New Roman"/>
          <w:noProof/>
          <w:color w:val="333333"/>
        </w:rPr>
        <w:t>should</w:t>
      </w:r>
      <w:r w:rsidRPr="00744DCA">
        <w:rPr>
          <w:rFonts w:eastAsia="Times New Roman"/>
          <w:noProof/>
          <w:color w:val="333333"/>
        </w:rPr>
        <w:t xml:space="preserve"> be established as a blending </w:t>
      </w:r>
      <w:r w:rsidR="564F3639" w:rsidRPr="00744DCA">
        <w:rPr>
          <w:rFonts w:eastAsia="Times New Roman"/>
          <w:noProof/>
          <w:color w:val="333333"/>
        </w:rPr>
        <w:t>operation</w:t>
      </w:r>
      <w:r w:rsidRPr="00744DCA">
        <w:rPr>
          <w:rFonts w:eastAsia="Times New Roman"/>
          <w:noProof/>
          <w:color w:val="333333"/>
        </w:rPr>
        <w:t xml:space="preserve">, including under the InvestEU </w:t>
      </w:r>
      <w:r w:rsidR="564F3639" w:rsidRPr="00744DCA">
        <w:rPr>
          <w:rFonts w:eastAsia="Times New Roman"/>
          <w:noProof/>
          <w:color w:val="333333"/>
        </w:rPr>
        <w:t xml:space="preserve">Programme </w:t>
      </w:r>
      <w:r w:rsidRPr="00744DCA">
        <w:rPr>
          <w:rFonts w:eastAsia="Times New Roman"/>
          <w:noProof/>
          <w:color w:val="333333"/>
        </w:rPr>
        <w:t xml:space="preserve">established by Regulation (EU) 2021/523 of the European Parliament and Council (20), in close cooperation with its implementing partners. </w:t>
      </w:r>
    </w:p>
    <w:p w14:paraId="6AC099F4" w14:textId="77777777" w:rsidR="00CB5EDF" w:rsidRPr="00744DCA" w:rsidRDefault="299C41F4" w:rsidP="00B33FEA">
      <w:pPr>
        <w:pStyle w:val="ManualConsidrant"/>
        <w:rPr>
          <w:noProof/>
        </w:rPr>
      </w:pPr>
      <w:r>
        <w:rPr>
          <w:noProof/>
        </w:rPr>
        <w:t>(30)</w:t>
      </w:r>
      <w:r>
        <w:rPr>
          <w:noProof/>
        </w:rPr>
        <w:tab/>
      </w:r>
      <w:r w:rsidRPr="00744DCA">
        <w:rPr>
          <w:noProof/>
        </w:rPr>
        <w:t xml:space="preserve">FAST should achieve a </w:t>
      </w:r>
      <w:r w:rsidR="7CA851C8" w:rsidRPr="00744DCA">
        <w:rPr>
          <w:noProof/>
        </w:rPr>
        <w:t>satisf</w:t>
      </w:r>
      <w:r w:rsidR="6B0D0439" w:rsidRPr="00744DCA">
        <w:rPr>
          <w:noProof/>
        </w:rPr>
        <w:t>actory</w:t>
      </w:r>
      <w:r w:rsidR="7CA851C8" w:rsidRPr="00744DCA">
        <w:rPr>
          <w:noProof/>
        </w:rPr>
        <w:t xml:space="preserve"> </w:t>
      </w:r>
      <w:r w:rsidRPr="00744DCA">
        <w:rPr>
          <w:noProof/>
        </w:rPr>
        <w:t xml:space="preserve">multiplier effect in </w:t>
      </w:r>
      <w:r w:rsidR="09C527F9" w:rsidRPr="00744DCA">
        <w:rPr>
          <w:noProof/>
        </w:rPr>
        <w:t xml:space="preserve">line with the debt and equity mix and contribute </w:t>
      </w:r>
      <w:r w:rsidR="27E7DF5E" w:rsidRPr="00744DCA">
        <w:rPr>
          <w:noProof/>
        </w:rPr>
        <w:t xml:space="preserve">to </w:t>
      </w:r>
      <w:r w:rsidRPr="00744DCA">
        <w:rPr>
          <w:noProof/>
        </w:rPr>
        <w:t>attracting both public and private-sector financing. In order to contribute to the overall objective of enhancing the EDTIB’s competitiveness, FAST should also provide support to SMEs (including start-ups and scale</w:t>
      </w:r>
      <w:r w:rsidR="6BC8B128" w:rsidRPr="00744DCA">
        <w:rPr>
          <w:noProof/>
        </w:rPr>
        <w:t>-</w:t>
      </w:r>
      <w:r w:rsidRPr="00744DCA">
        <w:rPr>
          <w:noProof/>
        </w:rPr>
        <w:t>ups) and small mid</w:t>
      </w:r>
      <w:r w:rsidR="2B407270" w:rsidRPr="00744DCA">
        <w:rPr>
          <w:noProof/>
        </w:rPr>
        <w:t>-</w:t>
      </w:r>
      <w:r w:rsidRPr="00744DCA">
        <w:rPr>
          <w:noProof/>
        </w:rPr>
        <w:t>caps across the EU, manufacturing defence technologies and products as well as companies actually or potentially part of the defence industry’s supply chain, facing difficulties in accessing finance. FAST should as well accelerate investment in the field of manufacturing defence technologies and products, and therefore strengthen the security of supply of the Union’s defence industry value chains.</w:t>
      </w:r>
    </w:p>
    <w:p w14:paraId="79DF1EDF" w14:textId="77777777" w:rsidR="00CB5EDF" w:rsidRPr="00744DCA" w:rsidRDefault="299C41F4" w:rsidP="00CB5EDF">
      <w:pPr>
        <w:pStyle w:val="ManualConsidrant"/>
        <w:rPr>
          <w:noProof/>
        </w:rPr>
      </w:pPr>
      <w:r>
        <w:rPr>
          <w:noProof/>
        </w:rPr>
        <w:t>(31)</w:t>
      </w:r>
      <w:r>
        <w:rPr>
          <w:noProof/>
        </w:rPr>
        <w:tab/>
      </w:r>
      <w:r w:rsidRPr="00744DCA">
        <w:rPr>
          <w:noProof/>
        </w:rPr>
        <w:t xml:space="preserve">Cooperative armament programmes in </w:t>
      </w:r>
      <w:r w:rsidR="5AD3F76C" w:rsidRPr="00744DCA">
        <w:rPr>
          <w:noProof/>
        </w:rPr>
        <w:t xml:space="preserve">the </w:t>
      </w:r>
      <w:r w:rsidRPr="00744DCA">
        <w:rPr>
          <w:noProof/>
        </w:rPr>
        <w:t>Union face significant challenges, being mostly set up on ad hoc basis and being plagued by complexity, delays and cost overrun</w:t>
      </w:r>
      <w:r w:rsidR="20849E7E" w:rsidRPr="00744DCA">
        <w:rPr>
          <w:noProof/>
        </w:rPr>
        <w:t>s</w:t>
      </w:r>
      <w:r w:rsidRPr="00744DCA">
        <w:rPr>
          <w:noProof/>
        </w:rPr>
        <w:t xml:space="preserve">. To remediate </w:t>
      </w:r>
      <w:r w:rsidR="00312CE9" w:rsidRPr="00744DCA">
        <w:rPr>
          <w:noProof/>
        </w:rPr>
        <w:t>this situation</w:t>
      </w:r>
      <w:r w:rsidRPr="00744DCA">
        <w:rPr>
          <w:noProof/>
        </w:rPr>
        <w:t xml:space="preserve"> and ensure continuous Member States’ commitment throughout the whole life cycle of defence capabilities, a more structured approach is required at EU level. To make this happen, the Commission should support Member States’ efforts by making available a new legal framework – the </w:t>
      </w:r>
      <w:r w:rsidR="179D2BC2" w:rsidRPr="00744DCA">
        <w:rPr>
          <w:noProof/>
        </w:rPr>
        <w:t xml:space="preserve">Structure for </w:t>
      </w:r>
      <w:r w:rsidRPr="00744DCA">
        <w:rPr>
          <w:noProof/>
        </w:rPr>
        <w:t xml:space="preserve">European Armament Programme </w:t>
      </w:r>
      <w:r w:rsidR="3B017CE1" w:rsidRPr="00744DCA">
        <w:rPr>
          <w:noProof/>
        </w:rPr>
        <w:t xml:space="preserve">(SEAP) </w:t>
      </w:r>
      <w:r w:rsidRPr="00744DCA">
        <w:rPr>
          <w:noProof/>
        </w:rPr>
        <w:t>- to underpin and strengthen defence cooperation.</w:t>
      </w:r>
      <w:r w:rsidR="211C1707" w:rsidRPr="00744DCA">
        <w:rPr>
          <w:noProof/>
        </w:rPr>
        <w:t xml:space="preserve"> </w:t>
      </w:r>
      <w:bookmarkStart w:id="1" w:name="_Hlk158988147"/>
      <w:r w:rsidR="211C1707" w:rsidRPr="00744DCA">
        <w:rPr>
          <w:noProof/>
        </w:rPr>
        <w:t>Actions undertaken in th</w:t>
      </w:r>
      <w:r w:rsidR="2A201002" w:rsidRPr="00744DCA">
        <w:rPr>
          <w:noProof/>
        </w:rPr>
        <w:t>is</w:t>
      </w:r>
      <w:r w:rsidR="211C1707" w:rsidRPr="00744DCA">
        <w:rPr>
          <w:noProof/>
        </w:rPr>
        <w:t xml:space="preserve"> framework should be mutually reinforcing with those carried out under the Common Foreign and Security Policy (CFSP), in particular in the </w:t>
      </w:r>
      <w:r w:rsidR="4476D6C6" w:rsidRPr="00744DCA">
        <w:rPr>
          <w:noProof/>
        </w:rPr>
        <w:t>context of the Capability Development P</w:t>
      </w:r>
      <w:r w:rsidR="0E3AE592" w:rsidRPr="00744DCA">
        <w:rPr>
          <w:noProof/>
        </w:rPr>
        <w:t>lan</w:t>
      </w:r>
      <w:r w:rsidR="211C1707" w:rsidRPr="00744DCA">
        <w:rPr>
          <w:noProof/>
        </w:rPr>
        <w:t xml:space="preserve"> </w:t>
      </w:r>
      <w:r w:rsidR="0E3AE592" w:rsidRPr="00744DCA">
        <w:rPr>
          <w:noProof/>
        </w:rPr>
        <w:t xml:space="preserve">(CDP) </w:t>
      </w:r>
      <w:r w:rsidR="211C1707" w:rsidRPr="00744DCA">
        <w:rPr>
          <w:noProof/>
        </w:rPr>
        <w:t>and of PESCO</w:t>
      </w:r>
    </w:p>
    <w:bookmarkEnd w:id="1"/>
    <w:p w14:paraId="7FB04D2A" w14:textId="11BB81C1" w:rsidR="00CB5EDF" w:rsidRPr="00744DCA" w:rsidRDefault="299C41F4" w:rsidP="00CB5EDF">
      <w:pPr>
        <w:pStyle w:val="ManualConsidrant"/>
        <w:rPr>
          <w:noProof/>
        </w:rPr>
      </w:pPr>
      <w:r>
        <w:rPr>
          <w:noProof/>
        </w:rPr>
        <w:t>(32)</w:t>
      </w:r>
      <w:r>
        <w:rPr>
          <w:noProof/>
        </w:rPr>
        <w:tab/>
      </w:r>
      <w:r w:rsidRPr="00744DCA">
        <w:rPr>
          <w:noProof/>
        </w:rPr>
        <w:t xml:space="preserve">Within this </w:t>
      </w:r>
      <w:r w:rsidR="179D2BC2" w:rsidRPr="00744DCA">
        <w:rPr>
          <w:noProof/>
        </w:rPr>
        <w:t>Structure for</w:t>
      </w:r>
      <w:r w:rsidRPr="00744DCA">
        <w:rPr>
          <w:noProof/>
        </w:rPr>
        <w:t xml:space="preserve"> </w:t>
      </w:r>
      <w:r w:rsidR="247FE8A9" w:rsidRPr="00744DCA">
        <w:rPr>
          <w:noProof/>
        </w:rPr>
        <w:t xml:space="preserve">European </w:t>
      </w:r>
      <w:r w:rsidR="2A29DE96" w:rsidRPr="00744DCA">
        <w:rPr>
          <w:noProof/>
        </w:rPr>
        <w:t>Armament Programme</w:t>
      </w:r>
      <w:r w:rsidRPr="00744DCA">
        <w:rPr>
          <w:noProof/>
        </w:rPr>
        <w:t xml:space="preserve">, Member States should benefit from standardised procedures for initiating and managing cooperative defence programmes. A cooperation under this framework should also allow Member States, under </w:t>
      </w:r>
      <w:r w:rsidR="27BF22B3" w:rsidRPr="00744DCA">
        <w:rPr>
          <w:noProof/>
        </w:rPr>
        <w:t xml:space="preserve">certain </w:t>
      </w:r>
      <w:r w:rsidRPr="00744DCA">
        <w:rPr>
          <w:noProof/>
        </w:rPr>
        <w:t xml:space="preserve">conditions, to benefit from an increased funding rate, simplified and harmonised procurement procedures, and, where Member States jointly own the procured equipment, a VAT exemption. The international organisation status should also allow Member States, if they wish so, to issue bonds to ensure the long-term financing plan of armament programmes. While </w:t>
      </w:r>
      <w:r>
        <w:rPr>
          <w:noProof/>
        </w:rPr>
        <w:t xml:space="preserve">the Union </w:t>
      </w:r>
      <w:r w:rsidRPr="00744DCA">
        <w:rPr>
          <w:noProof/>
        </w:rPr>
        <w:t>would not be liable for debt issuance by Member States, contributions</w:t>
      </w:r>
      <w:r w:rsidR="2CCD2485" w:rsidRPr="00744DCA">
        <w:rPr>
          <w:noProof/>
        </w:rPr>
        <w:t xml:space="preserve"> under EDIP</w:t>
      </w:r>
      <w:r w:rsidRPr="00744DCA">
        <w:rPr>
          <w:noProof/>
        </w:rPr>
        <w:t xml:space="preserve"> to the functioning of </w:t>
      </w:r>
      <w:r w:rsidR="253927CC" w:rsidRPr="00744DCA">
        <w:rPr>
          <w:noProof/>
        </w:rPr>
        <w:t>SEAP</w:t>
      </w:r>
      <w:r w:rsidRPr="00744DCA">
        <w:rPr>
          <w:noProof/>
        </w:rPr>
        <w:t xml:space="preserve"> might </w:t>
      </w:r>
      <w:r>
        <w:rPr>
          <w:noProof/>
        </w:rPr>
        <w:t>improve the conditions for financing by the Member States of the armament programmes, which are eligible for Union support.</w:t>
      </w:r>
      <w:r w:rsidRPr="00744DCA">
        <w:rPr>
          <w:noProof/>
        </w:rPr>
        <w:t xml:space="preserve">  </w:t>
      </w:r>
    </w:p>
    <w:p w14:paraId="298D43B6" w14:textId="77777777" w:rsidR="00CB5EDF" w:rsidRPr="00744DCA" w:rsidRDefault="299C41F4" w:rsidP="00CB5EDF">
      <w:pPr>
        <w:pStyle w:val="ManualConsidrant"/>
        <w:rPr>
          <w:noProof/>
        </w:rPr>
      </w:pPr>
      <w:r>
        <w:rPr>
          <w:noProof/>
        </w:rPr>
        <w:t>(33)</w:t>
      </w:r>
      <w:r>
        <w:rPr>
          <w:noProof/>
        </w:rPr>
        <w:tab/>
      </w:r>
      <w:r w:rsidRPr="00744DCA">
        <w:rPr>
          <w:noProof/>
        </w:rPr>
        <w:t xml:space="preserve">In order to permit an efficient procedure for the setting-up of a </w:t>
      </w:r>
      <w:r w:rsidR="253927CC" w:rsidRPr="00744DCA">
        <w:rPr>
          <w:noProof/>
        </w:rPr>
        <w:t>SEAP</w:t>
      </w:r>
      <w:r w:rsidRPr="00744DCA">
        <w:rPr>
          <w:noProof/>
        </w:rPr>
        <w:t xml:space="preserve">, it is necessary for the </w:t>
      </w:r>
      <w:r w:rsidR="46C55B7D" w:rsidRPr="00744DCA">
        <w:rPr>
          <w:noProof/>
        </w:rPr>
        <w:t>Member States, associated countries or Ukraine</w:t>
      </w:r>
      <w:r w:rsidR="155CE69F" w:rsidRPr="00744DCA">
        <w:rPr>
          <w:noProof/>
        </w:rPr>
        <w:t xml:space="preserve"> </w:t>
      </w:r>
      <w:r w:rsidRPr="00744DCA">
        <w:rPr>
          <w:noProof/>
        </w:rPr>
        <w:t xml:space="preserve">willing to set up a </w:t>
      </w:r>
      <w:r w:rsidR="253927CC" w:rsidRPr="00744DCA">
        <w:rPr>
          <w:noProof/>
        </w:rPr>
        <w:t>SEAP</w:t>
      </w:r>
      <w:r w:rsidRPr="00744DCA">
        <w:rPr>
          <w:noProof/>
        </w:rPr>
        <w:t xml:space="preserve"> to submit an application to the Commission which should assess, whether the proposed </w:t>
      </w:r>
      <w:r w:rsidR="44E89174" w:rsidRPr="00744DCA">
        <w:rPr>
          <w:noProof/>
        </w:rPr>
        <w:t xml:space="preserve">statutes of the </w:t>
      </w:r>
      <w:r w:rsidRPr="00744DCA">
        <w:rPr>
          <w:noProof/>
        </w:rPr>
        <w:t xml:space="preserve">armament programme </w:t>
      </w:r>
      <w:r w:rsidR="3788B9DC" w:rsidRPr="00744DCA">
        <w:rPr>
          <w:noProof/>
        </w:rPr>
        <w:t>are</w:t>
      </w:r>
      <w:r w:rsidRPr="00744DCA">
        <w:rPr>
          <w:noProof/>
        </w:rPr>
        <w:t xml:space="preserve"> in conformity with this Regulation. Such an application should contain a declaration of the host Member State recognising the </w:t>
      </w:r>
      <w:r w:rsidR="253927CC" w:rsidRPr="00744DCA">
        <w:rPr>
          <w:noProof/>
        </w:rPr>
        <w:t>SEAP</w:t>
      </w:r>
      <w:r w:rsidRPr="00744DCA">
        <w:rPr>
          <w:noProof/>
        </w:rPr>
        <w:t xml:space="preserve"> as an international body or organisation for the purpose of the application of Council Directive 2006/112/EC of 28 November 2006 on the common system of value added tax and Council Directive (EU) 2020/262 of 19 December 2019 laying down the general arrangements for excise duty, as of its setting up.</w:t>
      </w:r>
    </w:p>
    <w:p w14:paraId="2B6B75E9" w14:textId="77777777" w:rsidR="00CB5EDF" w:rsidRPr="00744DCA" w:rsidRDefault="299C41F4" w:rsidP="00CB5EDF">
      <w:pPr>
        <w:pStyle w:val="ManualConsidrant"/>
        <w:rPr>
          <w:noProof/>
        </w:rPr>
      </w:pPr>
      <w:r>
        <w:rPr>
          <w:noProof/>
        </w:rPr>
        <w:t>(34)</w:t>
      </w:r>
      <w:r>
        <w:rPr>
          <w:noProof/>
        </w:rPr>
        <w:tab/>
      </w:r>
      <w:r w:rsidRPr="00744DCA">
        <w:rPr>
          <w:noProof/>
        </w:rPr>
        <w:t xml:space="preserve">For reasons of transparency, the decision setting-up a </w:t>
      </w:r>
      <w:r w:rsidR="253927CC" w:rsidRPr="00744DCA">
        <w:rPr>
          <w:noProof/>
        </w:rPr>
        <w:t>SEAP</w:t>
      </w:r>
      <w:r w:rsidRPr="00744DCA">
        <w:rPr>
          <w:noProof/>
        </w:rPr>
        <w:t xml:space="preserve"> should be published in the </w:t>
      </w:r>
      <w:r w:rsidRPr="00744DCA">
        <w:rPr>
          <w:i/>
          <w:iCs/>
          <w:noProof/>
        </w:rPr>
        <w:t>Official Journal of the European Union</w:t>
      </w:r>
      <w:r w:rsidRPr="00744DCA">
        <w:rPr>
          <w:noProof/>
        </w:rPr>
        <w:t>. For the same reasons, the essential elements of its Statutes should be annexed to such decisions.</w:t>
      </w:r>
    </w:p>
    <w:p w14:paraId="5497287C" w14:textId="77777777" w:rsidR="00CB5EDF" w:rsidRPr="00744DCA" w:rsidRDefault="299C41F4" w:rsidP="00CB5EDF">
      <w:pPr>
        <w:pStyle w:val="ManualConsidrant"/>
        <w:rPr>
          <w:noProof/>
        </w:rPr>
      </w:pPr>
      <w:r>
        <w:rPr>
          <w:noProof/>
        </w:rPr>
        <w:t>(35)</w:t>
      </w:r>
      <w:r>
        <w:rPr>
          <w:noProof/>
        </w:rPr>
        <w:tab/>
      </w:r>
      <w:r w:rsidRPr="00744DCA">
        <w:rPr>
          <w:noProof/>
        </w:rPr>
        <w:t xml:space="preserve">In order to carry out its tasks in the most efficient way, a </w:t>
      </w:r>
      <w:r w:rsidR="253927CC" w:rsidRPr="00744DCA">
        <w:rPr>
          <w:noProof/>
        </w:rPr>
        <w:t>SEAP</w:t>
      </w:r>
      <w:r w:rsidRPr="00744DCA">
        <w:rPr>
          <w:noProof/>
        </w:rPr>
        <w:t xml:space="preserve"> should have legal personality and the most extensive legal capacity as from the day on which the decision setting it up takes effect. It should have a statutory seat, in order to determine the applicable law, within the territory of a member of that </w:t>
      </w:r>
      <w:r w:rsidR="253927CC" w:rsidRPr="00744DCA">
        <w:rPr>
          <w:noProof/>
        </w:rPr>
        <w:t>SEAP</w:t>
      </w:r>
      <w:r w:rsidRPr="00744DCA">
        <w:rPr>
          <w:noProof/>
        </w:rPr>
        <w:t xml:space="preserve"> which is a Member State.</w:t>
      </w:r>
    </w:p>
    <w:p w14:paraId="45F909C5" w14:textId="77777777" w:rsidR="00CB5EDF" w:rsidRPr="00744DCA" w:rsidRDefault="299C41F4" w:rsidP="00CB5EDF">
      <w:pPr>
        <w:pStyle w:val="ManualConsidrant"/>
        <w:rPr>
          <w:noProof/>
        </w:rPr>
      </w:pPr>
      <w:r>
        <w:rPr>
          <w:noProof/>
        </w:rPr>
        <w:t>(36)</w:t>
      </w:r>
      <w:r>
        <w:rPr>
          <w:noProof/>
        </w:rPr>
        <w:tab/>
      </w:r>
      <w:r w:rsidRPr="00744DCA">
        <w:rPr>
          <w:noProof/>
        </w:rPr>
        <w:t xml:space="preserve">Membership of a </w:t>
      </w:r>
      <w:r w:rsidR="253927CC" w:rsidRPr="00744DCA">
        <w:rPr>
          <w:noProof/>
        </w:rPr>
        <w:t>SEAP</w:t>
      </w:r>
      <w:r w:rsidRPr="00744DCA">
        <w:rPr>
          <w:noProof/>
        </w:rPr>
        <w:t xml:space="preserve"> should comprise at least three Member States and may include associated countries and Ukraine.</w:t>
      </w:r>
    </w:p>
    <w:p w14:paraId="7DF8938B" w14:textId="77777777" w:rsidR="00CB5EDF" w:rsidRPr="00744DCA" w:rsidRDefault="299C41F4" w:rsidP="00CB5EDF">
      <w:pPr>
        <w:pStyle w:val="ManualConsidrant"/>
        <w:rPr>
          <w:noProof/>
        </w:rPr>
      </w:pPr>
      <w:r>
        <w:rPr>
          <w:noProof/>
        </w:rPr>
        <w:t>(37)</w:t>
      </w:r>
      <w:r>
        <w:rPr>
          <w:noProof/>
        </w:rPr>
        <w:tab/>
      </w:r>
      <w:r w:rsidRPr="00744DCA">
        <w:rPr>
          <w:noProof/>
        </w:rPr>
        <w:t xml:space="preserve">For the implementation of </w:t>
      </w:r>
      <w:r w:rsidR="03C535D6" w:rsidRPr="00744DCA">
        <w:rPr>
          <w:noProof/>
        </w:rPr>
        <w:t xml:space="preserve">the </w:t>
      </w:r>
      <w:r w:rsidR="253927CC" w:rsidRPr="00744DCA">
        <w:rPr>
          <w:noProof/>
        </w:rPr>
        <w:t>SEAP</w:t>
      </w:r>
      <w:r w:rsidRPr="00744DCA">
        <w:rPr>
          <w:noProof/>
        </w:rPr>
        <w:t xml:space="preserve">, more detailed provisions should be laid down in Statutes, on the basis of which the Commission should examine the compliance of an application with the </w:t>
      </w:r>
      <w:r w:rsidR="03C535D6" w:rsidRPr="00744DCA">
        <w:rPr>
          <w:noProof/>
        </w:rPr>
        <w:t xml:space="preserve">rules </w:t>
      </w:r>
      <w:r w:rsidRPr="00744DCA">
        <w:rPr>
          <w:noProof/>
        </w:rPr>
        <w:t>established in this Regulation.</w:t>
      </w:r>
    </w:p>
    <w:p w14:paraId="4441388D" w14:textId="77777777" w:rsidR="00CB5EDF" w:rsidRPr="00744DCA" w:rsidRDefault="299C41F4" w:rsidP="00CB5EDF">
      <w:pPr>
        <w:pStyle w:val="ManualConsidrant"/>
        <w:rPr>
          <w:noProof/>
        </w:rPr>
      </w:pPr>
      <w:r>
        <w:rPr>
          <w:noProof/>
        </w:rPr>
        <w:t>(38)</w:t>
      </w:r>
      <w:r>
        <w:rPr>
          <w:noProof/>
        </w:rPr>
        <w:tab/>
      </w:r>
      <w:r w:rsidRPr="00744DCA">
        <w:rPr>
          <w:noProof/>
        </w:rPr>
        <w:t xml:space="preserve">It is necessary to ensure that, on the one hand, a </w:t>
      </w:r>
      <w:r w:rsidR="253927CC" w:rsidRPr="00744DCA">
        <w:rPr>
          <w:noProof/>
        </w:rPr>
        <w:t>SEAP</w:t>
      </w:r>
      <w:r w:rsidRPr="00744DCA">
        <w:rPr>
          <w:noProof/>
        </w:rPr>
        <w:t xml:space="preserve"> has the necessary flexibility to amend its Statutes and, on the other hand, that certain essential elements, in particular those which were necessary for the granting of the </w:t>
      </w:r>
      <w:r w:rsidR="253927CC" w:rsidRPr="00744DCA">
        <w:rPr>
          <w:noProof/>
        </w:rPr>
        <w:t>SEAP</w:t>
      </w:r>
      <w:r w:rsidRPr="00744DCA">
        <w:rPr>
          <w:noProof/>
        </w:rPr>
        <w:t xml:space="preserve"> statutes, are preserved through a necessary control at Union level. If an amendment concerns an essential element of the Statutes annexed to the decision setting up the </w:t>
      </w:r>
      <w:r w:rsidR="253927CC" w:rsidRPr="00744DCA">
        <w:rPr>
          <w:noProof/>
        </w:rPr>
        <w:t>SEAP</w:t>
      </w:r>
      <w:r w:rsidRPr="00744DCA">
        <w:rPr>
          <w:noProof/>
        </w:rPr>
        <w:t xml:space="preserve">, such amendment should be approved, prior to taking effect, by a Commission decision taken following the same procedure as that for setting up the </w:t>
      </w:r>
      <w:r w:rsidR="253927CC" w:rsidRPr="00744DCA">
        <w:rPr>
          <w:noProof/>
        </w:rPr>
        <w:t>SEAP</w:t>
      </w:r>
      <w:r w:rsidRPr="00744DCA">
        <w:rPr>
          <w:noProof/>
        </w:rPr>
        <w:t>. Any other amendment should be notified to the Commission, which should have an opportunity to object if it considers the amendment contrary to this Regulation.</w:t>
      </w:r>
    </w:p>
    <w:p w14:paraId="15235935" w14:textId="77777777" w:rsidR="00CB5EDF" w:rsidRPr="00744DCA" w:rsidRDefault="299C41F4" w:rsidP="77F4BA51">
      <w:pPr>
        <w:pStyle w:val="ManualConsidrant"/>
        <w:rPr>
          <w:rFonts w:eastAsia="Times New Roman"/>
          <w:noProof/>
          <w:color w:val="000000" w:themeColor="text1"/>
        </w:rPr>
      </w:pPr>
      <w:r>
        <w:rPr>
          <w:noProof/>
        </w:rPr>
        <w:t>(39)</w:t>
      </w:r>
      <w:r>
        <w:rPr>
          <w:noProof/>
        </w:rPr>
        <w:tab/>
      </w:r>
      <w:r w:rsidRPr="00744DCA">
        <w:rPr>
          <w:noProof/>
        </w:rPr>
        <w:t xml:space="preserve">A </w:t>
      </w:r>
      <w:r w:rsidR="253927CC" w:rsidRPr="00744DCA">
        <w:rPr>
          <w:noProof/>
        </w:rPr>
        <w:t>SEAP</w:t>
      </w:r>
      <w:r w:rsidRPr="00744DCA">
        <w:rPr>
          <w:noProof/>
        </w:rPr>
        <w:t xml:space="preserve"> should be able to appoint a Procurement Agent acting in its own name. </w:t>
      </w:r>
      <w:r w:rsidRPr="00744DCA">
        <w:rPr>
          <w:rFonts w:eastAsia="Times New Roman"/>
          <w:noProof/>
          <w:color w:val="000000" w:themeColor="text1"/>
        </w:rPr>
        <w:t xml:space="preserve">A </w:t>
      </w:r>
      <w:r w:rsidR="253927CC" w:rsidRPr="00744DCA">
        <w:rPr>
          <w:rFonts w:eastAsia="Times New Roman"/>
          <w:noProof/>
          <w:color w:val="000000" w:themeColor="text1"/>
        </w:rPr>
        <w:t>SEAP</w:t>
      </w:r>
      <w:r w:rsidRPr="00744DCA">
        <w:rPr>
          <w:rFonts w:eastAsia="Times New Roman"/>
          <w:noProof/>
          <w:color w:val="000000" w:themeColor="text1"/>
        </w:rPr>
        <w:t xml:space="preserve"> should be able to procure defence products on its own behalf or on behalf of its members. In the case it procure</w:t>
      </w:r>
      <w:r w:rsidR="416D6FD5" w:rsidRPr="00744DCA">
        <w:rPr>
          <w:rFonts w:eastAsia="Times New Roman"/>
          <w:noProof/>
          <w:color w:val="000000" w:themeColor="text1"/>
        </w:rPr>
        <w:t>s</w:t>
      </w:r>
      <w:r w:rsidRPr="00744DCA">
        <w:rPr>
          <w:rFonts w:eastAsia="Times New Roman"/>
          <w:noProof/>
          <w:color w:val="000000" w:themeColor="text1"/>
        </w:rPr>
        <w:t xml:space="preserve"> on its own behalf, the </w:t>
      </w:r>
      <w:r w:rsidR="253927CC" w:rsidRPr="00744DCA">
        <w:rPr>
          <w:rFonts w:eastAsia="Times New Roman"/>
          <w:noProof/>
          <w:color w:val="000000" w:themeColor="text1"/>
        </w:rPr>
        <w:t>SEAP</w:t>
      </w:r>
      <w:r w:rsidRPr="00744DCA">
        <w:rPr>
          <w:rFonts w:eastAsia="Times New Roman"/>
          <w:noProof/>
          <w:color w:val="000000" w:themeColor="text1"/>
        </w:rPr>
        <w:t xml:space="preserve"> should be considered as an international organisation purchasing for its own purposes within the meaning of Article 12(c) of Directive 2009/81/EC</w:t>
      </w:r>
      <w:r w:rsidR="062BCA57" w:rsidRPr="00744DCA">
        <w:rPr>
          <w:noProof/>
        </w:rPr>
        <w:t xml:space="preserve"> in conformity with State aid rules</w:t>
      </w:r>
      <w:r w:rsidRPr="00744DCA">
        <w:rPr>
          <w:rFonts w:eastAsia="Times New Roman"/>
          <w:noProof/>
          <w:color w:val="000000" w:themeColor="text1"/>
        </w:rPr>
        <w:t xml:space="preserve">. Where it procures on behalf of its members, in order to ensure an adequate incentive for Member States to engage in a cooperation within the </w:t>
      </w:r>
      <w:r w:rsidR="253927CC" w:rsidRPr="00744DCA">
        <w:rPr>
          <w:rFonts w:eastAsia="Times New Roman"/>
          <w:noProof/>
          <w:color w:val="000000" w:themeColor="text1"/>
        </w:rPr>
        <w:t>SEAP</w:t>
      </w:r>
      <w:r w:rsidRPr="00744DCA">
        <w:rPr>
          <w:rFonts w:eastAsia="Times New Roman"/>
          <w:noProof/>
          <w:color w:val="000000" w:themeColor="text1"/>
        </w:rPr>
        <w:t xml:space="preserve">, </w:t>
      </w:r>
      <w:r w:rsidRPr="00744DCA">
        <w:rPr>
          <w:rFonts w:eastAsia="Times New Roman"/>
          <w:noProof/>
        </w:rPr>
        <w:t xml:space="preserve">the </w:t>
      </w:r>
      <w:r w:rsidR="253927CC" w:rsidRPr="00744DCA">
        <w:rPr>
          <w:rFonts w:eastAsia="Times New Roman"/>
          <w:noProof/>
        </w:rPr>
        <w:t>SEAP</w:t>
      </w:r>
      <w:r w:rsidRPr="00744DCA">
        <w:rPr>
          <w:rFonts w:eastAsia="Times New Roman"/>
          <w:noProof/>
        </w:rPr>
        <w:t xml:space="preserve"> should be able to define its own rules</w:t>
      </w:r>
      <w:r w:rsidRPr="00744DCA">
        <w:rPr>
          <w:rFonts w:eastAsia="Times New Roman"/>
          <w:noProof/>
          <w:color w:val="333333"/>
          <w:sz w:val="27"/>
          <w:szCs w:val="27"/>
        </w:rPr>
        <w:t xml:space="preserve"> </w:t>
      </w:r>
      <w:r w:rsidRPr="00744DCA">
        <w:rPr>
          <w:rFonts w:eastAsia="Times New Roman"/>
          <w:noProof/>
          <w:color w:val="333333"/>
        </w:rPr>
        <w:t xml:space="preserve">of procurement by derogation to Directive 2009/81/EC. These rules should ensure </w:t>
      </w:r>
      <w:r w:rsidRPr="00744DCA">
        <w:rPr>
          <w:rFonts w:eastAsia="Times New Roman"/>
          <w:noProof/>
          <w:color w:val="000000" w:themeColor="text1"/>
        </w:rPr>
        <w:t xml:space="preserve">compliance with EU primary law principles applicable to procurement, in particular those of transparency, </w:t>
      </w:r>
      <w:r w:rsidRPr="00744DCA">
        <w:rPr>
          <w:rFonts w:eastAsia="Times New Roman"/>
          <w:noProof/>
        </w:rPr>
        <w:t>non-discrimination and competition.</w:t>
      </w:r>
      <w:r w:rsidRPr="00744DCA">
        <w:rPr>
          <w:rFonts w:eastAsia="Times New Roman"/>
          <w:noProof/>
          <w:color w:val="000000" w:themeColor="text1"/>
        </w:rPr>
        <w:t xml:space="preserve"> </w:t>
      </w:r>
    </w:p>
    <w:p w14:paraId="082213E2" w14:textId="49625DD7" w:rsidR="00CB5EDF" w:rsidRPr="00744DCA" w:rsidRDefault="299C41F4" w:rsidP="00CB5EDF">
      <w:pPr>
        <w:pStyle w:val="ManualConsidrant"/>
        <w:rPr>
          <w:noProof/>
        </w:rPr>
      </w:pPr>
      <w:r>
        <w:rPr>
          <w:noProof/>
        </w:rPr>
        <w:t>(40)</w:t>
      </w:r>
      <w:r>
        <w:rPr>
          <w:noProof/>
        </w:rPr>
        <w:tab/>
      </w:r>
      <w:r w:rsidRPr="00744DCA">
        <w:rPr>
          <w:noProof/>
        </w:rPr>
        <w:t xml:space="preserve">A </w:t>
      </w:r>
      <w:r w:rsidR="253927CC" w:rsidRPr="00744DCA">
        <w:rPr>
          <w:noProof/>
        </w:rPr>
        <w:t>SEAP</w:t>
      </w:r>
      <w:r w:rsidRPr="00744DCA">
        <w:rPr>
          <w:noProof/>
        </w:rPr>
        <w:t xml:space="preserve"> could qualify for funding in accordance with Title VI of the </w:t>
      </w:r>
      <w:r>
        <w:rPr>
          <w:noProof/>
        </w:rPr>
        <w:t>Regulation (EU, Euratom) No 2018/1046</w:t>
      </w:r>
      <w:r w:rsidRPr="00744DCA">
        <w:rPr>
          <w:noProof/>
        </w:rPr>
        <w:t>. Funding under the Cohesion Policy could also be possible, in conformity with the relevant Community legislation.</w:t>
      </w:r>
    </w:p>
    <w:p w14:paraId="1E617F79" w14:textId="77777777" w:rsidR="00CB5EDF" w:rsidRPr="00744DCA" w:rsidRDefault="299C41F4" w:rsidP="00CB5EDF">
      <w:pPr>
        <w:pStyle w:val="ManualConsidrant"/>
        <w:rPr>
          <w:noProof/>
        </w:rPr>
      </w:pPr>
      <w:r>
        <w:rPr>
          <w:noProof/>
        </w:rPr>
        <w:t>(41)</w:t>
      </w:r>
      <w:r>
        <w:rPr>
          <w:noProof/>
        </w:rPr>
        <w:tab/>
      </w:r>
      <w:r w:rsidRPr="00744DCA">
        <w:rPr>
          <w:noProof/>
        </w:rPr>
        <w:t xml:space="preserve">In order to carry out its tasks in the most efficient way and as a logical consequence of its legal personality, a </w:t>
      </w:r>
      <w:r w:rsidR="253927CC" w:rsidRPr="00744DCA">
        <w:rPr>
          <w:noProof/>
        </w:rPr>
        <w:t>SEAP</w:t>
      </w:r>
      <w:r w:rsidRPr="00744DCA">
        <w:rPr>
          <w:noProof/>
        </w:rPr>
        <w:t xml:space="preserve"> should be liable for its debts. In order to allow the members to find appropriate solutions regarding their liability, the option should be given to provide in the Statutes for different liability regimes going above the liability limited to the contributions of the members. </w:t>
      </w:r>
    </w:p>
    <w:p w14:paraId="1D640B8B" w14:textId="77777777" w:rsidR="00CB5EDF" w:rsidRPr="00744DCA" w:rsidRDefault="299C41F4" w:rsidP="00CB5EDF">
      <w:pPr>
        <w:pStyle w:val="ManualConsidrant"/>
        <w:rPr>
          <w:noProof/>
        </w:rPr>
      </w:pPr>
      <w:r>
        <w:rPr>
          <w:noProof/>
        </w:rPr>
        <w:t>(42)</w:t>
      </w:r>
      <w:r>
        <w:rPr>
          <w:noProof/>
        </w:rPr>
        <w:tab/>
      </w:r>
      <w:r w:rsidRPr="00744DCA">
        <w:rPr>
          <w:noProof/>
        </w:rPr>
        <w:t xml:space="preserve">Since a </w:t>
      </w:r>
      <w:r w:rsidR="253927CC" w:rsidRPr="00744DCA">
        <w:rPr>
          <w:noProof/>
        </w:rPr>
        <w:t>SEAP</w:t>
      </w:r>
      <w:r w:rsidRPr="00744DCA">
        <w:rPr>
          <w:noProof/>
        </w:rPr>
        <w:t xml:space="preserve"> is established under Union law, it should be governed by Union law, in addition to the law of the State where it has its statutory seat. However, the </w:t>
      </w:r>
      <w:r w:rsidR="253927CC" w:rsidRPr="00744DCA">
        <w:rPr>
          <w:noProof/>
        </w:rPr>
        <w:t>SEAP</w:t>
      </w:r>
      <w:r w:rsidRPr="00744DCA">
        <w:rPr>
          <w:noProof/>
        </w:rPr>
        <w:t xml:space="preserve"> could have a place of operation in another State. The law of that latter State should apply in respect of specific matters defined by the Statutes of the </w:t>
      </w:r>
      <w:r w:rsidR="253927CC" w:rsidRPr="00744DCA">
        <w:rPr>
          <w:noProof/>
        </w:rPr>
        <w:t>SEAP</w:t>
      </w:r>
      <w:r w:rsidRPr="00744DCA">
        <w:rPr>
          <w:noProof/>
        </w:rPr>
        <w:t xml:space="preserve">. Furthermore, a </w:t>
      </w:r>
      <w:r w:rsidR="253927CC" w:rsidRPr="00744DCA">
        <w:rPr>
          <w:noProof/>
        </w:rPr>
        <w:t>SEAP</w:t>
      </w:r>
      <w:r w:rsidRPr="00744DCA">
        <w:rPr>
          <w:noProof/>
        </w:rPr>
        <w:t xml:space="preserve"> should be governed by implementing rules complying with the Statutes.</w:t>
      </w:r>
    </w:p>
    <w:p w14:paraId="221B8B05" w14:textId="77777777" w:rsidR="00CB5EDF" w:rsidRPr="00744DCA" w:rsidRDefault="299C41F4" w:rsidP="00CB5EDF">
      <w:pPr>
        <w:pStyle w:val="ManualConsidrant"/>
        <w:rPr>
          <w:noProof/>
        </w:rPr>
      </w:pPr>
      <w:r>
        <w:rPr>
          <w:noProof/>
        </w:rPr>
        <w:t>(43)</w:t>
      </w:r>
      <w:r>
        <w:rPr>
          <w:noProof/>
        </w:rPr>
        <w:tab/>
      </w:r>
      <w:r w:rsidRPr="00744DCA">
        <w:rPr>
          <w:noProof/>
        </w:rPr>
        <w:t xml:space="preserve">In order to ensure sufficient control of compliance with this Regulation, a </w:t>
      </w:r>
      <w:r w:rsidR="253927CC" w:rsidRPr="00744DCA">
        <w:rPr>
          <w:noProof/>
        </w:rPr>
        <w:t>SEAP</w:t>
      </w:r>
      <w:r w:rsidRPr="00744DCA">
        <w:rPr>
          <w:noProof/>
        </w:rPr>
        <w:t xml:space="preserve"> should transmit to the Commission and relevant public authorities its annual report and any information about circumstances threatening to seriously jeopardise the achievement of its tasks. If the Commission obtains indications, through the annual report or otherwise, that the </w:t>
      </w:r>
      <w:r w:rsidR="253927CC" w:rsidRPr="00744DCA">
        <w:rPr>
          <w:noProof/>
        </w:rPr>
        <w:t>SEAP</w:t>
      </w:r>
      <w:r w:rsidRPr="00744DCA">
        <w:rPr>
          <w:noProof/>
        </w:rPr>
        <w:t xml:space="preserve"> acts in serious breach of this Regulation or other applicable law, it should request explanations and/or actions from the </w:t>
      </w:r>
      <w:r w:rsidR="253927CC" w:rsidRPr="00744DCA">
        <w:rPr>
          <w:noProof/>
        </w:rPr>
        <w:t>SEAP</w:t>
      </w:r>
      <w:r w:rsidRPr="00744DCA">
        <w:rPr>
          <w:noProof/>
        </w:rPr>
        <w:t xml:space="preserve"> and/or its members. In extreme cases and if no remedial action is taken, the Commission could repeal the decision setting up the </w:t>
      </w:r>
      <w:r w:rsidR="253927CC" w:rsidRPr="00744DCA">
        <w:rPr>
          <w:noProof/>
        </w:rPr>
        <w:t>SEAP</w:t>
      </w:r>
      <w:r w:rsidRPr="00744DCA">
        <w:rPr>
          <w:noProof/>
        </w:rPr>
        <w:t xml:space="preserve">, thus triggering the winding-up of the </w:t>
      </w:r>
      <w:r w:rsidR="253927CC" w:rsidRPr="00744DCA">
        <w:rPr>
          <w:noProof/>
        </w:rPr>
        <w:t>SEAP</w:t>
      </w:r>
      <w:r w:rsidRPr="00744DCA">
        <w:rPr>
          <w:noProof/>
        </w:rPr>
        <w:t>.</w:t>
      </w:r>
    </w:p>
    <w:p w14:paraId="15B10926" w14:textId="77777777" w:rsidR="00CB5EDF" w:rsidRPr="00744DCA" w:rsidRDefault="299C41F4" w:rsidP="00CB5EDF">
      <w:pPr>
        <w:pStyle w:val="ManualConsidrant"/>
        <w:rPr>
          <w:noProof/>
        </w:rPr>
      </w:pPr>
      <w:r>
        <w:rPr>
          <w:noProof/>
        </w:rPr>
        <w:t>(44)</w:t>
      </w:r>
      <w:r>
        <w:rPr>
          <w:noProof/>
        </w:rPr>
        <w:tab/>
      </w:r>
      <w:r w:rsidRPr="00744DCA">
        <w:rPr>
          <w:noProof/>
        </w:rPr>
        <w:t>Upon the adoption of ASAP, the European Parliament and the Council called on the Commission to consider, putting forward a legal framework aimed at ensuring the security of supply (Joint Statement of 11 July 2023). This joint statement by co-legislators echoed the conclusions of the European Council in December 2013 calling for a comprehensive EU-wide Security of Supply regime and the European Parliament’s recommendation of 8 June 2022 urging the Commission to present, without delay, such a regime.</w:t>
      </w:r>
    </w:p>
    <w:p w14:paraId="43B8B179" w14:textId="77777777" w:rsidR="00CB5EDF" w:rsidRPr="00744DCA" w:rsidRDefault="299C41F4" w:rsidP="00CB5EDF">
      <w:pPr>
        <w:pStyle w:val="ManualConsidrant"/>
        <w:rPr>
          <w:noProof/>
        </w:rPr>
      </w:pPr>
      <w:r>
        <w:rPr>
          <w:noProof/>
        </w:rPr>
        <w:t>(45)</w:t>
      </w:r>
      <w:r>
        <w:rPr>
          <w:noProof/>
        </w:rPr>
        <w:tab/>
      </w:r>
      <w:r w:rsidRPr="00744DCA">
        <w:rPr>
          <w:noProof/>
        </w:rPr>
        <w:t>The crisis resulting from Russia’s war of aggression against Ukraine has not only demonstrated deficiencies in the Union’s and Ukraine’s defence industrial sector, but has also posed challenges to the functioning of the internal market for defence products. Indeed, the steady degradation of the geopolitical context has already entailed a significant and lasting increase in the demand that may affect the functioning of the internal market for the production and sale of certain defence products and of their components in the Union. While certain Member States have taken or are likely to take measures to preserve their own stocks as a matter of national security, others are faced with difficulties of access to the goods needed to manufacture or acquire the relevant defence products. Sometimes, difficulties in accessing one raw material or a specific component hamper entire production chains. To ensure the functioning of the internal market under any circumstances and to make it resilient to any shock, it is necessary to establish, in a coordinated way, harmonised rules for increasing the security of supply of defence products. Those measures should be based on Article 114 TFEU.</w:t>
      </w:r>
    </w:p>
    <w:p w14:paraId="1F7D516A" w14:textId="77777777" w:rsidR="00CB5EDF" w:rsidRPr="00744DCA" w:rsidRDefault="299C41F4" w:rsidP="00CB5EDF">
      <w:pPr>
        <w:pStyle w:val="ManualConsidrant"/>
        <w:rPr>
          <w:noProof/>
        </w:rPr>
      </w:pPr>
      <w:r>
        <w:rPr>
          <w:noProof/>
        </w:rPr>
        <w:t>(46)</w:t>
      </w:r>
      <w:r>
        <w:rPr>
          <w:noProof/>
        </w:rPr>
        <w:tab/>
      </w:r>
      <w:r w:rsidRPr="00744DCA">
        <w:rPr>
          <w:noProof/>
        </w:rPr>
        <w:t>To pursue the general public policy objective of security, it is necessary that production facilities related to the production of relevant defence products are set up as quickly as possible, while keeping the administrative burden to a minimum. For that reason, Member States should treat applications related to the planning, construction and operation of plants and installations for the production of relevant defence products in the most rapid manner possible. Such applications should be given priority when balancing legal interests in the individual case.</w:t>
      </w:r>
    </w:p>
    <w:p w14:paraId="25A91CE9" w14:textId="77777777" w:rsidR="00CB5EDF" w:rsidRPr="00744DCA" w:rsidRDefault="299C41F4" w:rsidP="00CB5EDF">
      <w:pPr>
        <w:pStyle w:val="ManualConsidrant"/>
        <w:rPr>
          <w:noProof/>
        </w:rPr>
      </w:pPr>
      <w:r>
        <w:rPr>
          <w:noProof/>
        </w:rPr>
        <w:t>(47)</w:t>
      </w:r>
      <w:r>
        <w:rPr>
          <w:noProof/>
        </w:rPr>
        <w:tab/>
      </w:r>
      <w:r w:rsidRPr="00744DCA">
        <w:rPr>
          <w:noProof/>
        </w:rPr>
        <w:t>In view of the objective of this Regulation, and of the emergency situation and the exceptional context of its adoption, Member States should consider using defence-related exemptions under national and applicable Union law, on a case-by-case basis, if they deem that the use of such exemptions would facilitate the achievement of that objective. That could in particular apply to Union law concerning environmental, health and safety issues, which is indispensable to improving the protection of human health and the environment, as well as to achieving a sustainable and safe development. However, the implementation of that law could also produce regulatory barriers hampering the Union defence industry’s potential to ramp up the production and deliveries of relevant defence products. It is a collective responsibility for the Union and its Member States to urgently look into any action they could take to mitigate possible obstacles. Any such action, whether at Union, regional, or national level, should not compromise the environment, health and safety.</w:t>
      </w:r>
    </w:p>
    <w:p w14:paraId="63C6E278" w14:textId="77777777" w:rsidR="00CB5EDF" w:rsidRPr="00744DCA" w:rsidRDefault="299C41F4" w:rsidP="00CB5EDF">
      <w:pPr>
        <w:pStyle w:val="ManualConsidrant"/>
        <w:rPr>
          <w:noProof/>
        </w:rPr>
      </w:pPr>
      <w:r>
        <w:rPr>
          <w:noProof/>
        </w:rPr>
        <w:t>(48)</w:t>
      </w:r>
      <w:r>
        <w:rPr>
          <w:noProof/>
        </w:rPr>
        <w:tab/>
      </w:r>
      <w:r w:rsidRPr="00744DCA">
        <w:rPr>
          <w:noProof/>
        </w:rPr>
        <w:t>Directive 2009/81/EC of the European Parliament and of the Council aims at harmonising procurement procedures for the award of public contracts in the field of defence and security thus enabling the security requirements of Member States and the obligations arising from the TFEU to be met. That Directive contains, in particular, specific provisions governing situations of urgency resulting from a crisis, in particular shortened periods for the receipt of tenders and the possibility to use the negotiated procedure without prior publication of a contract notice. However, in extreme urgency</w:t>
      </w:r>
      <w:r w:rsidR="7DCEEE6F" w:rsidRPr="00744DCA">
        <w:rPr>
          <w:noProof/>
        </w:rPr>
        <w:t>,</w:t>
      </w:r>
      <w:r w:rsidRPr="00744DCA">
        <w:rPr>
          <w:noProof/>
        </w:rPr>
        <w:t xml:space="preserve"> in particular during supply and security cris</w:t>
      </w:r>
      <w:r w:rsidR="1DAD8C80" w:rsidRPr="00744DCA">
        <w:rPr>
          <w:noProof/>
        </w:rPr>
        <w:t>e</w:t>
      </w:r>
      <w:r w:rsidRPr="00744DCA">
        <w:rPr>
          <w:noProof/>
        </w:rPr>
        <w:t>s</w:t>
      </w:r>
      <w:r w:rsidR="200FEF0C" w:rsidRPr="00744DCA">
        <w:rPr>
          <w:noProof/>
        </w:rPr>
        <w:t>,</w:t>
      </w:r>
      <w:r w:rsidRPr="00744DCA">
        <w:rPr>
          <w:noProof/>
        </w:rPr>
        <w:t xml:space="preserve"> these rules could be incompatible even with those provisions in cases where two or more Member States intend to engage in a common procurement. In some cases, the only solution that ensures the security interests of those Member States is to open an existing framework agreement to contracting authorities/entities of Member States that were not originally party to it, even though that possibility had not been provided for in the original framework agreement. </w:t>
      </w:r>
    </w:p>
    <w:p w14:paraId="5FEB0EE7" w14:textId="77777777" w:rsidR="000259AB" w:rsidRPr="00744DCA" w:rsidRDefault="299C41F4" w:rsidP="00CB5EDF">
      <w:pPr>
        <w:pStyle w:val="ManualConsidrant"/>
        <w:rPr>
          <w:noProof/>
        </w:rPr>
      </w:pPr>
      <w:r>
        <w:rPr>
          <w:noProof/>
        </w:rPr>
        <w:t>(49)</w:t>
      </w:r>
      <w:r>
        <w:rPr>
          <w:noProof/>
        </w:rPr>
        <w:tab/>
      </w:r>
      <w:r w:rsidRPr="00744DCA">
        <w:rPr>
          <w:noProof/>
        </w:rPr>
        <w:t xml:space="preserve">In accordance with the case law of the Court of Justice of the European Union, modifications to a public contract are to be strictly limited to what is absolutely necessary in the circumstances, while complying to the maximum extent possible with the principles of non-discrimination, transparency and proportionality. In that regard, it should be possible to derogate from Directive 2009/81/EC by increasing the quantities provided for in a framework agreement while opening it to contracting authorities/entities of other Member States. With respect to those additional quantities, those contracting authorities/entities should enjoy the same conditions as the original contracting authority/entity that concluded the original framework agreement. In such cases, the original contracting authority/entity should also allow any economic operator who fulfils the contracting authority’s/entity’s conditions initially laid down in the procurement procedure for the framework agreement, including requirements for qualitative selections as referred to in Articles 39 to 46 of Directive 2009/81/EC, to join that framework agreement. In addition, appropriate transparency measures should be taken to ensure that all potentially interested parties are informed. </w:t>
      </w:r>
    </w:p>
    <w:p w14:paraId="57A790AE" w14:textId="77777777" w:rsidR="000259AB" w:rsidRPr="00744DCA" w:rsidRDefault="219C912F" w:rsidP="00CB5EDF">
      <w:pPr>
        <w:pStyle w:val="ManualConsidrant"/>
        <w:rPr>
          <w:noProof/>
        </w:rPr>
      </w:pPr>
      <w:r>
        <w:rPr>
          <w:noProof/>
        </w:rPr>
        <w:t>(50)</w:t>
      </w:r>
      <w:r>
        <w:rPr>
          <w:noProof/>
        </w:rPr>
        <w:tab/>
      </w:r>
      <w:r w:rsidRPr="00744DCA">
        <w:rPr>
          <w:noProof/>
        </w:rPr>
        <w:t xml:space="preserve">While the response of the EU and its Member States to the immediate challenge of the Russian war of aggression against Ukraine has been rapid and decisive, it is </w:t>
      </w:r>
      <w:r w:rsidR="5ADF5096" w:rsidRPr="00744DCA">
        <w:rPr>
          <w:noProof/>
        </w:rPr>
        <w:t>time for the EU to move from the emergency response to building the EU’s long-term readiness.</w:t>
      </w:r>
      <w:r w:rsidR="546B0527" w:rsidRPr="00744DCA">
        <w:rPr>
          <w:rFonts w:eastAsia="Times New Roman"/>
          <w:noProof/>
          <w:lang w:eastAsia="en-IE"/>
        </w:rPr>
        <w:t xml:space="preserve"> </w:t>
      </w:r>
      <w:r w:rsidR="546B0527" w:rsidRPr="00744DCA">
        <w:rPr>
          <w:noProof/>
        </w:rPr>
        <w:t>Resilience is a precondition of the EDTIB</w:t>
      </w:r>
      <w:r w:rsidR="59A9FBB7" w:rsidRPr="00744DCA">
        <w:rPr>
          <w:noProof/>
        </w:rPr>
        <w:t>’s</w:t>
      </w:r>
      <w:r w:rsidR="546B0527" w:rsidRPr="00744DCA">
        <w:rPr>
          <w:noProof/>
        </w:rPr>
        <w:t xml:space="preserve"> readiness and competitiveness. </w:t>
      </w:r>
      <w:r w:rsidR="14229FD9" w:rsidRPr="00744DCA">
        <w:rPr>
          <w:noProof/>
        </w:rPr>
        <w:t>The EU has already developed tools and frameworks to increase industrial readiness and resilience to tackle future crisis situations. However, such measures are not available to support the EDTIB.</w:t>
      </w:r>
      <w:r w:rsidR="423DF018" w:rsidRPr="00744DCA">
        <w:rPr>
          <w:noProof/>
        </w:rPr>
        <w:t xml:space="preserve"> </w:t>
      </w:r>
    </w:p>
    <w:p w14:paraId="5266381B" w14:textId="77777777" w:rsidR="003F03F1" w:rsidRPr="00744DCA" w:rsidRDefault="423DF018" w:rsidP="00CB5EDF">
      <w:pPr>
        <w:pStyle w:val="ManualConsidrant"/>
        <w:rPr>
          <w:noProof/>
        </w:rPr>
      </w:pPr>
      <w:r>
        <w:rPr>
          <w:noProof/>
        </w:rPr>
        <w:t>(51)</w:t>
      </w:r>
      <w:r>
        <w:rPr>
          <w:noProof/>
        </w:rPr>
        <w:tab/>
      </w:r>
      <w:r w:rsidRPr="00744DCA">
        <w:rPr>
          <w:noProof/>
        </w:rPr>
        <w:t xml:space="preserve">It is therefore necessary to </w:t>
      </w:r>
      <w:r w:rsidR="4FE27854" w:rsidRPr="00744DCA">
        <w:rPr>
          <w:noProof/>
        </w:rPr>
        <w:t xml:space="preserve">set up a modular and gradual EU Security of Supply regime to enhance solidarity and effectiveness in response to tensions along the supply chains or </w:t>
      </w:r>
      <w:r w:rsidR="00482705" w:rsidRPr="00744DCA">
        <w:rPr>
          <w:noProof/>
        </w:rPr>
        <w:t xml:space="preserve">to </w:t>
      </w:r>
      <w:r w:rsidR="4FE27854" w:rsidRPr="00744DCA">
        <w:rPr>
          <w:noProof/>
        </w:rPr>
        <w:t>security crises and allow for the timely identification of potential bottlenecks. Such a re</w:t>
      </w:r>
      <w:r w:rsidR="7CA502EE" w:rsidRPr="00744DCA">
        <w:rPr>
          <w:noProof/>
        </w:rPr>
        <w:t xml:space="preserve">gime should </w:t>
      </w:r>
      <w:r w:rsidR="406D9A57" w:rsidRPr="00744DCA">
        <w:rPr>
          <w:noProof/>
        </w:rPr>
        <w:t xml:space="preserve">enable </w:t>
      </w:r>
      <w:r w:rsidR="4087E0D5" w:rsidRPr="00744DCA">
        <w:rPr>
          <w:noProof/>
        </w:rPr>
        <w:t xml:space="preserve">the EU and its Member States to anticipate and address </w:t>
      </w:r>
      <w:r w:rsidR="4079358A" w:rsidRPr="00744DCA">
        <w:rPr>
          <w:noProof/>
        </w:rPr>
        <w:t>the consequences of</w:t>
      </w:r>
      <w:r w:rsidR="29C4385F" w:rsidRPr="00744DCA">
        <w:rPr>
          <w:noProof/>
        </w:rPr>
        <w:t xml:space="preserve"> </w:t>
      </w:r>
      <w:r w:rsidR="1ADF54CB" w:rsidRPr="00744DCA">
        <w:rPr>
          <w:noProof/>
        </w:rPr>
        <w:t xml:space="preserve">supply crises, where shortages of civilian or dual-use components, </w:t>
      </w:r>
      <w:r w:rsidR="1E31452B" w:rsidRPr="00744DCA">
        <w:rPr>
          <w:noProof/>
        </w:rPr>
        <w:t xml:space="preserve">or of </w:t>
      </w:r>
      <w:r w:rsidR="1ADF54CB" w:rsidRPr="00744DCA">
        <w:rPr>
          <w:noProof/>
        </w:rPr>
        <w:t>raw materials</w:t>
      </w:r>
      <w:r w:rsidR="7F81F4FD" w:rsidRPr="00744DCA">
        <w:rPr>
          <w:noProof/>
        </w:rPr>
        <w:t xml:space="preserve">, </w:t>
      </w:r>
      <w:r w:rsidR="1ADF54CB" w:rsidRPr="00744DCA">
        <w:rPr>
          <w:noProof/>
        </w:rPr>
        <w:t>seriously threaten</w:t>
      </w:r>
      <w:r w:rsidR="29C4385F" w:rsidRPr="00744DCA">
        <w:rPr>
          <w:noProof/>
        </w:rPr>
        <w:t xml:space="preserve"> the </w:t>
      </w:r>
      <w:r w:rsidR="1ADF54CB" w:rsidRPr="00744DCA">
        <w:rPr>
          <w:noProof/>
        </w:rPr>
        <w:t xml:space="preserve">timely availability and supply of </w:t>
      </w:r>
      <w:r w:rsidR="477BE824" w:rsidRPr="00744DCA">
        <w:rPr>
          <w:noProof/>
        </w:rPr>
        <w:t>defence products</w:t>
      </w:r>
      <w:r w:rsidR="00537017" w:rsidRPr="00744DCA">
        <w:rPr>
          <w:noProof/>
        </w:rPr>
        <w:t xml:space="preserve"> </w:t>
      </w:r>
      <w:r w:rsidR="5C85978F" w:rsidRPr="00744DCA">
        <w:rPr>
          <w:noProof/>
        </w:rPr>
        <w:t>, and</w:t>
      </w:r>
      <w:r w:rsidR="00537017" w:rsidRPr="00744DCA">
        <w:rPr>
          <w:noProof/>
        </w:rPr>
        <w:t xml:space="preserve"> also </w:t>
      </w:r>
      <w:r w:rsidR="00774F97" w:rsidRPr="00744DCA">
        <w:rPr>
          <w:noProof/>
        </w:rPr>
        <w:t xml:space="preserve">the consequences </w:t>
      </w:r>
      <w:r w:rsidR="090C1947" w:rsidRPr="00744DCA">
        <w:rPr>
          <w:noProof/>
        </w:rPr>
        <w:t>of supply crises</w:t>
      </w:r>
      <w:r w:rsidR="43C03C97" w:rsidRPr="00744DCA">
        <w:rPr>
          <w:rFonts w:eastAsia="Times New Roman"/>
          <w:noProof/>
          <w:lang w:eastAsia="en-IE"/>
        </w:rPr>
        <w:t xml:space="preserve"> </w:t>
      </w:r>
      <w:r w:rsidR="43C03C97" w:rsidRPr="00744DCA">
        <w:rPr>
          <w:noProof/>
        </w:rPr>
        <w:t>which are directly linked to the existence of a</w:t>
      </w:r>
      <w:r w:rsidR="43C03C97" w:rsidRPr="00744DCA">
        <w:rPr>
          <w:b/>
          <w:bCs/>
          <w:noProof/>
        </w:rPr>
        <w:t xml:space="preserve"> </w:t>
      </w:r>
      <w:r w:rsidR="43C03C97" w:rsidRPr="00744DCA">
        <w:rPr>
          <w:noProof/>
        </w:rPr>
        <w:t>security crisis</w:t>
      </w:r>
      <w:r w:rsidR="43C03C97" w:rsidRPr="00744DCA">
        <w:rPr>
          <w:b/>
          <w:bCs/>
          <w:noProof/>
        </w:rPr>
        <w:t xml:space="preserve"> </w:t>
      </w:r>
      <w:r w:rsidR="43C03C97" w:rsidRPr="00744DCA">
        <w:rPr>
          <w:noProof/>
        </w:rPr>
        <w:t xml:space="preserve">within the Union or its neighbourhood and </w:t>
      </w:r>
      <w:r w:rsidR="2497DB8F" w:rsidRPr="00744DCA">
        <w:rPr>
          <w:noProof/>
        </w:rPr>
        <w:t xml:space="preserve">which </w:t>
      </w:r>
      <w:r w:rsidR="54D38CAF" w:rsidRPr="00744DCA">
        <w:rPr>
          <w:noProof/>
        </w:rPr>
        <w:t>result in shortages of certain defence products.</w:t>
      </w:r>
    </w:p>
    <w:p w14:paraId="368335EE" w14:textId="77777777" w:rsidR="003F318A" w:rsidRPr="00744DCA" w:rsidRDefault="394811B7" w:rsidP="00CB5EDF">
      <w:pPr>
        <w:pStyle w:val="ManualConsidrant"/>
        <w:rPr>
          <w:noProof/>
        </w:rPr>
      </w:pPr>
      <w:r>
        <w:rPr>
          <w:noProof/>
        </w:rPr>
        <w:t>(52)</w:t>
      </w:r>
      <w:r>
        <w:rPr>
          <w:noProof/>
        </w:rPr>
        <w:tab/>
      </w:r>
      <w:r w:rsidRPr="00744DCA">
        <w:rPr>
          <w:noProof/>
        </w:rPr>
        <w:t xml:space="preserve">To enable anticipation of potential shortages, national competent authorities should alert the Commission if they become aware of a risk of serious disruption in the supply of crisis relevant products or have concrete and reliable information of any other relevant risk factor or event materialising. In order to ensure a coordinated approach, the Commission should, where it learns of a risk of serious disruption in the supply of </w:t>
      </w:r>
      <w:r w:rsidR="00A05F86" w:rsidRPr="00744DCA">
        <w:rPr>
          <w:noProof/>
        </w:rPr>
        <w:t>defence products</w:t>
      </w:r>
      <w:r w:rsidRPr="00744DCA">
        <w:rPr>
          <w:noProof/>
        </w:rPr>
        <w:t xml:space="preserve"> or has concrete or reliable information of any other relevant risk factor or event materialising</w:t>
      </w:r>
      <w:r w:rsidR="2AFE71F3" w:rsidRPr="00744DCA">
        <w:rPr>
          <w:noProof/>
        </w:rPr>
        <w:t>,</w:t>
      </w:r>
      <w:r w:rsidRPr="00744DCA">
        <w:rPr>
          <w:noProof/>
        </w:rPr>
        <w:t xml:space="preserve"> convene an extraordinary meeting of the </w:t>
      </w:r>
      <w:r w:rsidR="5996E7BE" w:rsidRPr="00744DCA">
        <w:rPr>
          <w:noProof/>
        </w:rPr>
        <w:t xml:space="preserve">Defence Industrial Readiness Board </w:t>
      </w:r>
      <w:r w:rsidRPr="00744DCA">
        <w:rPr>
          <w:noProof/>
        </w:rPr>
        <w:t xml:space="preserve">to discuss the severity of the disruptions and possible initiating of the procedure for activating the </w:t>
      </w:r>
      <w:r w:rsidR="5996E7BE" w:rsidRPr="00744DCA">
        <w:rPr>
          <w:noProof/>
        </w:rPr>
        <w:t xml:space="preserve">supply </w:t>
      </w:r>
      <w:r w:rsidRPr="00744DCA">
        <w:rPr>
          <w:noProof/>
        </w:rPr>
        <w:t>crisis sta</w:t>
      </w:r>
      <w:r w:rsidR="5996E7BE" w:rsidRPr="00744DCA">
        <w:rPr>
          <w:noProof/>
        </w:rPr>
        <w:t>t</w:t>
      </w:r>
      <w:r w:rsidRPr="00744DCA">
        <w:rPr>
          <w:noProof/>
        </w:rPr>
        <w:t xml:space="preserve">e, and whether it may be appropriate, necessary and proportionate for Member States to enter into dialogue with stakeholders, with a view to identifying, preparing and possibly coordinating such preventive measures. The Commission should, </w:t>
      </w:r>
      <w:r w:rsidR="213C0BF8" w:rsidRPr="00744DCA">
        <w:rPr>
          <w:noProof/>
        </w:rPr>
        <w:t>where relevant</w:t>
      </w:r>
      <w:r w:rsidR="69A35724" w:rsidRPr="00744DCA">
        <w:rPr>
          <w:noProof/>
        </w:rPr>
        <w:t>,</w:t>
      </w:r>
      <w:r w:rsidRPr="00744DCA">
        <w:rPr>
          <w:noProof/>
        </w:rPr>
        <w:t xml:space="preserve"> consult and cooperate with relevant third countries with a view to jointly addressing supply-chain disruptions, in compliance with international obligations and without prejudice to procedural requirements.</w:t>
      </w:r>
    </w:p>
    <w:p w14:paraId="62B8C84C" w14:textId="77777777" w:rsidR="00CB5EDF" w:rsidRPr="00744DCA" w:rsidRDefault="299C41F4" w:rsidP="00CB5EDF">
      <w:pPr>
        <w:pStyle w:val="ManualConsidrant"/>
        <w:rPr>
          <w:noProof/>
        </w:rPr>
      </w:pPr>
      <w:r>
        <w:rPr>
          <w:noProof/>
        </w:rPr>
        <w:t>(53)</w:t>
      </w:r>
      <w:r>
        <w:rPr>
          <w:noProof/>
        </w:rPr>
        <w:tab/>
      </w:r>
      <w:r w:rsidRPr="00744DCA">
        <w:rPr>
          <w:noProof/>
        </w:rPr>
        <w:t xml:space="preserve">In light of the complexities of defence supply chains and the risk of shortages in a foreseeable future, this Regulation should provide </w:t>
      </w:r>
      <w:r w:rsidR="3B30BFED" w:rsidRPr="00744DCA">
        <w:rPr>
          <w:noProof/>
        </w:rPr>
        <w:t xml:space="preserve">instruments </w:t>
      </w:r>
      <w:r w:rsidRPr="00744DCA">
        <w:rPr>
          <w:noProof/>
        </w:rPr>
        <w:t>for a coordinated approach to mapping and monitoring of the supply chains of certain defence products and effectively tackling possible market disruptions in a proportionate manner.</w:t>
      </w:r>
    </w:p>
    <w:p w14:paraId="65E8E778" w14:textId="77777777" w:rsidR="00CB5EDF" w:rsidRPr="00744DCA" w:rsidRDefault="299C41F4" w:rsidP="00CB5EDF">
      <w:pPr>
        <w:pStyle w:val="ManualConsidrant"/>
        <w:rPr>
          <w:noProof/>
        </w:rPr>
      </w:pPr>
      <w:r>
        <w:rPr>
          <w:noProof/>
        </w:rPr>
        <w:t>(54)</w:t>
      </w:r>
      <w:r>
        <w:rPr>
          <w:noProof/>
        </w:rPr>
        <w:tab/>
      </w:r>
      <w:r w:rsidRPr="00744DCA">
        <w:rPr>
          <w:noProof/>
          <w:color w:val="333333"/>
          <w:sz w:val="27"/>
          <w:szCs w:val="27"/>
        </w:rPr>
        <w:t xml:space="preserve"> </w:t>
      </w:r>
      <w:r w:rsidRPr="00744DCA">
        <w:rPr>
          <w:noProof/>
        </w:rPr>
        <w:t>The objective of a mapping of the Union’s defence supply chains should be to provide an analysis of their strengths and weaknesses with a view to ensure security of supply and resilience. To that end, the Commission should identify products, components as well as raw material</w:t>
      </w:r>
      <w:r w:rsidR="08F54207" w:rsidRPr="00744DCA">
        <w:rPr>
          <w:noProof/>
        </w:rPr>
        <w:t>s</w:t>
      </w:r>
      <w:r w:rsidRPr="00744DCA">
        <w:rPr>
          <w:noProof/>
        </w:rPr>
        <w:t xml:space="preserve"> that are deemed critical for the supply of defence products particularly important for the defence interests of the Union and its Member States (crisis-relevant products), based on the inputs and advice from the Defence Industrial Readiness Board. The mapping should be based on publicly and commercially available data and, if necessary, on data obtained through voluntary information requests of undertakings, in consultation with the Defence Industrial Readiness Board.</w:t>
      </w:r>
    </w:p>
    <w:p w14:paraId="3304DAF5" w14:textId="77777777" w:rsidR="00CB5EDF" w:rsidRPr="00744DCA" w:rsidRDefault="299C41F4" w:rsidP="00CB5EDF">
      <w:pPr>
        <w:pStyle w:val="ManualConsidrant"/>
        <w:rPr>
          <w:noProof/>
        </w:rPr>
      </w:pPr>
      <w:r>
        <w:rPr>
          <w:noProof/>
        </w:rPr>
        <w:t>(55)</w:t>
      </w:r>
      <w:r>
        <w:rPr>
          <w:noProof/>
        </w:rPr>
        <w:tab/>
      </w:r>
      <w:r w:rsidRPr="00744DCA">
        <w:rPr>
          <w:noProof/>
        </w:rPr>
        <w:t>In order to forecast and prepare for future disruptions of the different stages of the Union’s defence supply chains and of trade within the Union, the Commission should, assisted by the Defence Industrial Readiness Board and on the basis of the outcome of the mapping, identify and develop a list of early warning indicators. Such indicators could include atypical increases in lead time, the availability of raw materials, intermediate products and human capital needed for manufacturing crisis-relevant products, or appropriate manufacturing equipment, forecasted demand, price surges exceeding normal price fluctuation, the effect of security crises, accidents, attacks, natural disasters or other serious events, the effect of trade policies, tariffs, export restrictions, trade barriers and other trade-related measures, and the effect of business closures, offshoring or acquisitions of key market actors. Monitoring activities of the Commission should focus on these early warning indicators.</w:t>
      </w:r>
    </w:p>
    <w:p w14:paraId="5C50C637" w14:textId="77777777" w:rsidR="00CB5EDF" w:rsidRPr="00744DCA" w:rsidRDefault="299C41F4" w:rsidP="00CB5EDF">
      <w:pPr>
        <w:pStyle w:val="ManualConsidrant"/>
        <w:rPr>
          <w:noProof/>
        </w:rPr>
      </w:pPr>
      <w:r>
        <w:rPr>
          <w:noProof/>
        </w:rPr>
        <w:t>(56)</w:t>
      </w:r>
      <w:r>
        <w:rPr>
          <w:noProof/>
        </w:rPr>
        <w:tab/>
      </w:r>
      <w:r w:rsidRPr="00744DCA">
        <w:rPr>
          <w:noProof/>
        </w:rPr>
        <w:t>In order to minimise the burden for undertakings responding to the monitoring and to ensure that the acquired information can be compiled in a meaningful way, the Commission should provide for standardised and secure means for any information collection. These means should ensure that any collected information is treated confidentially, ensuring business secrecy and cybersecurity.</w:t>
      </w:r>
    </w:p>
    <w:p w14:paraId="21D10453" w14:textId="77777777" w:rsidR="00CB5EDF" w:rsidRPr="00744DCA" w:rsidRDefault="299C41F4" w:rsidP="00CB5EDF">
      <w:pPr>
        <w:pStyle w:val="ManualConsidrant"/>
        <w:rPr>
          <w:noProof/>
        </w:rPr>
      </w:pPr>
      <w:r>
        <w:rPr>
          <w:noProof/>
        </w:rPr>
        <w:t>(57)</w:t>
      </w:r>
      <w:r>
        <w:rPr>
          <w:noProof/>
        </w:rPr>
        <w:tab/>
      </w:r>
      <w:r w:rsidRPr="00744DCA">
        <w:rPr>
          <w:noProof/>
        </w:rPr>
        <w:t>On this basis, the Commission should draw up a list, identifying the crisis-relevant defence products, raw materials or components thereof, that are affected by disruptions or potential disruptions of the functioning of the Single Market and its supply chains leading to significant shortages. The Commission should regularly update this list, to focus only on possible disruptions or bottlenecks affecting the security of supply of relevant defence products, as well as raw materials and components thereof.</w:t>
      </w:r>
    </w:p>
    <w:p w14:paraId="6A9F9D8C" w14:textId="77777777" w:rsidR="002A07E5" w:rsidRPr="00744DCA" w:rsidRDefault="1AB75BE8" w:rsidP="00CB5EDF">
      <w:pPr>
        <w:pStyle w:val="ManualConsidrant"/>
        <w:rPr>
          <w:noProof/>
        </w:rPr>
      </w:pPr>
      <w:r>
        <w:rPr>
          <w:noProof/>
        </w:rPr>
        <w:t>(58)</w:t>
      </w:r>
      <w:r>
        <w:rPr>
          <w:noProof/>
        </w:rPr>
        <w:tab/>
      </w:r>
      <w:r w:rsidRPr="00744DCA">
        <w:rPr>
          <w:noProof/>
        </w:rPr>
        <w:t>Due to the sensitive nature of</w:t>
      </w:r>
      <w:r w:rsidR="19A5998C" w:rsidRPr="00744DCA">
        <w:rPr>
          <w:noProof/>
        </w:rPr>
        <w:t xml:space="preserve"> the decision to activate</w:t>
      </w:r>
      <w:r w:rsidRPr="00744DCA">
        <w:rPr>
          <w:noProof/>
        </w:rPr>
        <w:t xml:space="preserve"> the </w:t>
      </w:r>
      <w:r w:rsidR="2132D4E2" w:rsidRPr="00744DCA">
        <w:rPr>
          <w:noProof/>
        </w:rPr>
        <w:t>supply-</w:t>
      </w:r>
      <w:r w:rsidRPr="00744DCA">
        <w:rPr>
          <w:noProof/>
        </w:rPr>
        <w:t xml:space="preserve">crisis </w:t>
      </w:r>
      <w:r w:rsidR="2132D4E2" w:rsidRPr="00744DCA">
        <w:rPr>
          <w:noProof/>
        </w:rPr>
        <w:t xml:space="preserve">state </w:t>
      </w:r>
      <w:r w:rsidR="229FBB07" w:rsidRPr="00744DCA">
        <w:rPr>
          <w:noProof/>
        </w:rPr>
        <w:t>or the</w:t>
      </w:r>
      <w:r w:rsidR="2132D4E2" w:rsidRPr="00744DCA">
        <w:rPr>
          <w:noProof/>
        </w:rPr>
        <w:t xml:space="preserve"> security-related supply-crisis</w:t>
      </w:r>
      <w:r w:rsidRPr="00744DCA">
        <w:rPr>
          <w:noProof/>
        </w:rPr>
        <w:t xml:space="preserve"> </w:t>
      </w:r>
      <w:r w:rsidR="2132D4E2" w:rsidRPr="00744DCA">
        <w:rPr>
          <w:noProof/>
        </w:rPr>
        <w:t>state</w:t>
      </w:r>
      <w:r w:rsidRPr="00744DCA">
        <w:rPr>
          <w:noProof/>
        </w:rPr>
        <w:t xml:space="preserve"> and of the potential measures that may be taken in response thereof, including the significant impact which such measures might have on private undertakings in the Union, the power to adopt an implementing act as regards activating, prolonging and terminating </w:t>
      </w:r>
      <w:r w:rsidR="4D389763" w:rsidRPr="00744DCA">
        <w:rPr>
          <w:noProof/>
        </w:rPr>
        <w:t>these states</w:t>
      </w:r>
      <w:r w:rsidRPr="00744DCA">
        <w:rPr>
          <w:noProof/>
        </w:rPr>
        <w:t xml:space="preserve"> should be conferred on the Council.</w:t>
      </w:r>
    </w:p>
    <w:p w14:paraId="086BE2F2" w14:textId="77777777" w:rsidR="00CB5EDF" w:rsidRPr="00744DCA" w:rsidRDefault="54D38CAF" w:rsidP="00CB5EDF">
      <w:pPr>
        <w:pStyle w:val="ManualConsidrant"/>
        <w:rPr>
          <w:noProof/>
        </w:rPr>
      </w:pPr>
      <w:r>
        <w:rPr>
          <w:noProof/>
        </w:rPr>
        <w:t>(59)</w:t>
      </w:r>
      <w:r>
        <w:rPr>
          <w:noProof/>
        </w:rPr>
        <w:tab/>
      </w:r>
      <w:r w:rsidRPr="00744DCA">
        <w:rPr>
          <w:noProof/>
        </w:rPr>
        <w:t>Where the supply</w:t>
      </w:r>
      <w:r w:rsidR="106EB348" w:rsidRPr="00744DCA">
        <w:rPr>
          <w:noProof/>
        </w:rPr>
        <w:t>-</w:t>
      </w:r>
      <w:r w:rsidR="299C41F4" w:rsidRPr="00744DCA">
        <w:rPr>
          <w:noProof/>
        </w:rPr>
        <w:t>crisis state</w:t>
      </w:r>
      <w:r w:rsidR="106EB348" w:rsidRPr="00744DCA">
        <w:rPr>
          <w:noProof/>
        </w:rPr>
        <w:t xml:space="preserve"> or the security-related supply-crisis state is activated</w:t>
      </w:r>
      <w:r w:rsidR="299C41F4" w:rsidRPr="00744DCA">
        <w:rPr>
          <w:noProof/>
        </w:rPr>
        <w:t>, the Commission</w:t>
      </w:r>
      <w:r w:rsidR="00702791" w:rsidRPr="00744DCA">
        <w:rPr>
          <w:noProof/>
        </w:rPr>
        <w:t>,</w:t>
      </w:r>
      <w:r w:rsidR="299C41F4" w:rsidRPr="00744DCA">
        <w:rPr>
          <w:noProof/>
        </w:rPr>
        <w:t xml:space="preserve"> should be able to request to receive necessary information to ensure the timely availability of crisis relevant products from </w:t>
      </w:r>
      <w:r w:rsidR="6FC0F022" w:rsidRPr="00744DCA">
        <w:rPr>
          <w:noProof/>
        </w:rPr>
        <w:t>undertakings</w:t>
      </w:r>
      <w:r w:rsidR="299C41F4" w:rsidRPr="00744DCA">
        <w:rPr>
          <w:noProof/>
        </w:rPr>
        <w:t xml:space="preserve">, dealing with these products, raw materials or components thereof, in agreement with the Member State in which they are established. Such information should inform the Commission’s decision on appropriate measures under this regulation to address possible disruptions or bottlenecks affecting the security of supply of relevant defence products as well as relevant raw materials and components. </w:t>
      </w:r>
    </w:p>
    <w:p w14:paraId="2DEE24A6" w14:textId="77777777" w:rsidR="00CB5EDF" w:rsidRPr="00744DCA" w:rsidRDefault="299C41F4" w:rsidP="00CB5EDF">
      <w:pPr>
        <w:pStyle w:val="ManualConsidrant"/>
        <w:rPr>
          <w:noProof/>
        </w:rPr>
      </w:pPr>
      <w:r>
        <w:rPr>
          <w:noProof/>
        </w:rPr>
        <w:t>(60)</w:t>
      </w:r>
      <w:r>
        <w:rPr>
          <w:noProof/>
        </w:rPr>
        <w:tab/>
      </w:r>
      <w:r w:rsidRPr="00744DCA">
        <w:rPr>
          <w:noProof/>
        </w:rPr>
        <w:t xml:space="preserve">Such an identification, mapping and continuous monitoring mechanism should allow a near </w:t>
      </w:r>
      <w:r w:rsidR="00D602D0" w:rsidRPr="00744DCA">
        <w:rPr>
          <w:noProof/>
        </w:rPr>
        <w:t>real time</w:t>
      </w:r>
      <w:r w:rsidRPr="00744DCA">
        <w:rPr>
          <w:noProof/>
        </w:rPr>
        <w:t xml:space="preserve"> analysis of the production capacity in the Union, critical factors impacting security of supply of relevant defence products, </w:t>
      </w:r>
      <w:r w:rsidR="3D7F5598" w:rsidRPr="00744DCA">
        <w:rPr>
          <w:noProof/>
        </w:rPr>
        <w:t xml:space="preserve">and </w:t>
      </w:r>
      <w:r w:rsidRPr="00744DCA">
        <w:rPr>
          <w:noProof/>
        </w:rPr>
        <w:t>stockpiles’ status. It should also enable Commission to design emergency response measures to actual or anticipated shortages.</w:t>
      </w:r>
    </w:p>
    <w:p w14:paraId="2400B9C4" w14:textId="77777777" w:rsidR="00CB5EDF" w:rsidRPr="00744DCA" w:rsidRDefault="299C41F4" w:rsidP="00CB5EDF">
      <w:pPr>
        <w:pStyle w:val="ManualConsidrant"/>
        <w:rPr>
          <w:noProof/>
        </w:rPr>
      </w:pPr>
      <w:r>
        <w:rPr>
          <w:noProof/>
        </w:rPr>
        <w:t>(61)</w:t>
      </w:r>
      <w:r>
        <w:rPr>
          <w:noProof/>
        </w:rPr>
        <w:tab/>
      </w:r>
      <w:r w:rsidRPr="00744DCA">
        <w:rPr>
          <w:noProof/>
        </w:rPr>
        <w:t xml:space="preserve">Avoiding shortages of relevant defence products is essential to preserve the objective of general interest of security of the Union and its Member States and justifies, where necessary, proportionate interferences with fundamental rights of the undertakings providing crisis relevant products, such as the freedom to conduct a business in accordance with Article 16 of the Charter and the right to property in accordance with Article 17 of the Charter, in the respect of Article 52 of the Charter. Such interferences may be justified in particular where several Member States have undertaken specific efforts to consolidate demand through joint procurement, hence contributing to the further integration and smooth functioning of the Internal Market for relevant defence products. </w:t>
      </w:r>
    </w:p>
    <w:p w14:paraId="4AE3564A" w14:textId="77777777" w:rsidR="00A52492" w:rsidRPr="00744DCA" w:rsidRDefault="37830022" w:rsidP="00CB5EDF">
      <w:pPr>
        <w:pStyle w:val="ManualConsidrant"/>
        <w:rPr>
          <w:noProof/>
        </w:rPr>
      </w:pPr>
      <w:r>
        <w:rPr>
          <w:noProof/>
        </w:rPr>
        <w:t>(62)</w:t>
      </w:r>
      <w:r>
        <w:rPr>
          <w:noProof/>
        </w:rPr>
        <w:tab/>
      </w:r>
      <w:r w:rsidRPr="00744DCA">
        <w:rPr>
          <w:noProof/>
        </w:rPr>
        <w:t>As an instrument of last resort to ensure that critical sectors can continue to operate in a time of crisis and only when necessary and proportionate for that purpose,</w:t>
      </w:r>
      <w:r w:rsidR="4721DE94" w:rsidRPr="00744DCA">
        <w:rPr>
          <w:noProof/>
        </w:rPr>
        <w:t xml:space="preserve"> relevant undertakings could be required by the Commission to accept and prioritise orders of crisis-relevant products.</w:t>
      </w:r>
      <w:r w:rsidR="6D451E59" w:rsidRPr="00744DCA">
        <w:rPr>
          <w:noProof/>
          <w:color w:val="333333"/>
          <w:sz w:val="27"/>
          <w:szCs w:val="27"/>
        </w:rPr>
        <w:t xml:space="preserve"> </w:t>
      </w:r>
      <w:r w:rsidR="6D451E59" w:rsidRPr="00744DCA">
        <w:rPr>
          <w:noProof/>
        </w:rPr>
        <w:t xml:space="preserve">The decision on a priority-rated order should be taken in accordance with all applicable Union legal obligations, having regard to the circumstances of the case. The priority rating obligation should take precedence over any performance obligation under private or public law </w:t>
      </w:r>
      <w:r w:rsidR="0DB9041A" w:rsidRPr="00744DCA">
        <w:rPr>
          <w:noProof/>
        </w:rPr>
        <w:t>except those</w:t>
      </w:r>
      <w:r w:rsidR="5E84D590" w:rsidRPr="00744DCA">
        <w:rPr>
          <w:noProof/>
        </w:rPr>
        <w:t xml:space="preserve"> directly related to military orders </w:t>
      </w:r>
      <w:r w:rsidR="6D451E59" w:rsidRPr="00744DCA">
        <w:rPr>
          <w:noProof/>
        </w:rPr>
        <w:t>while it should have regard for the legitimate aims of the undertakings and the cost and effort required for any change in production sequence. Each priority-rated order should be placed at a fair and reasonable price</w:t>
      </w:r>
      <w:r w:rsidR="3E5C5ADE" w:rsidRPr="00744DCA">
        <w:rPr>
          <w:noProof/>
        </w:rPr>
        <w:t xml:space="preserve"> which </w:t>
      </w:r>
      <w:r w:rsidR="0F303998" w:rsidRPr="00744DCA">
        <w:rPr>
          <w:noProof/>
        </w:rPr>
        <w:t xml:space="preserve">should take into account </w:t>
      </w:r>
      <w:r w:rsidR="4DA57674" w:rsidRPr="00744DCA">
        <w:rPr>
          <w:noProof/>
        </w:rPr>
        <w:t>the undertaking’s opportunity costs</w:t>
      </w:r>
      <w:r w:rsidR="6C21B5D7" w:rsidRPr="00744DCA">
        <w:rPr>
          <w:noProof/>
        </w:rPr>
        <w:t xml:space="preserve"> vis-à-vis existing contracts</w:t>
      </w:r>
      <w:r w:rsidR="6D451E59" w:rsidRPr="00744DCA">
        <w:rPr>
          <w:noProof/>
        </w:rPr>
        <w:t>. </w:t>
      </w:r>
    </w:p>
    <w:p w14:paraId="0E7236AB" w14:textId="77777777" w:rsidR="00CB5EDF" w:rsidRPr="00744DCA" w:rsidRDefault="299C41F4" w:rsidP="00CB5EDF">
      <w:pPr>
        <w:pStyle w:val="ManualConsidrant"/>
        <w:rPr>
          <w:noProof/>
        </w:rPr>
      </w:pPr>
      <w:r>
        <w:rPr>
          <w:noProof/>
        </w:rPr>
        <w:t>(63)</w:t>
      </w:r>
      <w:r>
        <w:rPr>
          <w:noProof/>
        </w:rPr>
        <w:tab/>
      </w:r>
      <w:r w:rsidRPr="00744DCA">
        <w:rPr>
          <w:noProof/>
        </w:rPr>
        <w:t>The obligation to prioritise the production of certain products should not disproportionately affect the freedom to conduct a business and the freedom of contract laid down in Article 16 of the Charter of Fundamental Rights of the European Union (‘the Charter’) and the right to property laid down in Article 17 of the Charter. Any limitation of those rights should, in accordance with Article 52(1) of the Charter, be provided for by law, respect the essence of those rights and freedoms, and comply with the principle of proportionality.</w:t>
      </w:r>
    </w:p>
    <w:p w14:paraId="4EA7F32B" w14:textId="77777777" w:rsidR="00DB2524" w:rsidRPr="00744DCA" w:rsidRDefault="4E68664C" w:rsidP="00CB5EDF">
      <w:pPr>
        <w:pStyle w:val="ManualConsidrant"/>
        <w:rPr>
          <w:noProof/>
        </w:rPr>
      </w:pPr>
      <w:r>
        <w:rPr>
          <w:noProof/>
        </w:rPr>
        <w:t>(64)</w:t>
      </w:r>
      <w:r>
        <w:rPr>
          <w:noProof/>
        </w:rPr>
        <w:tab/>
      </w:r>
      <w:r w:rsidRPr="00744DCA">
        <w:rPr>
          <w:noProof/>
        </w:rPr>
        <w:t>Where the security-related supply crisis</w:t>
      </w:r>
      <w:r w:rsidR="4DFCC4AC" w:rsidRPr="00744DCA">
        <w:rPr>
          <w:noProof/>
        </w:rPr>
        <w:t xml:space="preserve"> state is activated</w:t>
      </w:r>
      <w:r w:rsidR="00441B12" w:rsidRPr="00744DCA">
        <w:rPr>
          <w:noProof/>
        </w:rPr>
        <w:t>, based on the assessment of the Commission with the support of the High-Representat</w:t>
      </w:r>
      <w:r w:rsidR="00A95BF9" w:rsidRPr="00744DCA">
        <w:rPr>
          <w:noProof/>
        </w:rPr>
        <w:t>i</w:t>
      </w:r>
      <w:r w:rsidR="00441B12" w:rsidRPr="00744DCA">
        <w:rPr>
          <w:noProof/>
        </w:rPr>
        <w:t>ve</w:t>
      </w:r>
      <w:r w:rsidR="4DFCC4AC" w:rsidRPr="00744DCA">
        <w:rPr>
          <w:noProof/>
        </w:rPr>
        <w:t xml:space="preserve">, </w:t>
      </w:r>
      <w:r w:rsidR="70BA84E2" w:rsidRPr="00744DCA">
        <w:rPr>
          <w:noProof/>
        </w:rPr>
        <w:t xml:space="preserve">the </w:t>
      </w:r>
      <w:r w:rsidR="0EFD760D" w:rsidRPr="00744DCA">
        <w:rPr>
          <w:noProof/>
        </w:rPr>
        <w:t xml:space="preserve">measures </w:t>
      </w:r>
      <w:r w:rsidR="7A860A28" w:rsidRPr="00744DCA">
        <w:rPr>
          <w:noProof/>
        </w:rPr>
        <w:t xml:space="preserve">available </w:t>
      </w:r>
      <w:r w:rsidR="05EF4C21" w:rsidRPr="00744DCA">
        <w:rPr>
          <w:noProof/>
        </w:rPr>
        <w:t>under</w:t>
      </w:r>
      <w:r w:rsidR="7A860A28" w:rsidRPr="00744DCA">
        <w:rPr>
          <w:noProof/>
        </w:rPr>
        <w:t xml:space="preserve"> the supply crisis </w:t>
      </w:r>
      <w:r w:rsidR="05EF4C21" w:rsidRPr="00744DCA">
        <w:rPr>
          <w:noProof/>
        </w:rPr>
        <w:t>state should also be available. In addition</w:t>
      </w:r>
      <w:r w:rsidR="7804FA44" w:rsidRPr="00744DCA">
        <w:rPr>
          <w:noProof/>
        </w:rPr>
        <w:t xml:space="preserve"> to the latter</w:t>
      </w:r>
      <w:r w:rsidR="05EF4C21" w:rsidRPr="00744DCA">
        <w:rPr>
          <w:noProof/>
        </w:rPr>
        <w:t xml:space="preserve">, the </w:t>
      </w:r>
      <w:r w:rsidR="70BA84E2" w:rsidRPr="00744DCA">
        <w:rPr>
          <w:noProof/>
        </w:rPr>
        <w:t xml:space="preserve">Council should </w:t>
      </w:r>
      <w:r w:rsidR="3F86340F" w:rsidRPr="00744DCA">
        <w:rPr>
          <w:noProof/>
        </w:rPr>
        <w:t xml:space="preserve">activate the measures it considers appropriate to </w:t>
      </w:r>
      <w:r w:rsidR="0170B246" w:rsidRPr="00744DCA">
        <w:rPr>
          <w:noProof/>
        </w:rPr>
        <w:t>the crisis</w:t>
      </w:r>
      <w:r w:rsidR="08FE3AD1" w:rsidRPr="00744DCA">
        <w:rPr>
          <w:noProof/>
        </w:rPr>
        <w:t>. To do so, the Council should pay particular</w:t>
      </w:r>
      <w:r w:rsidR="0170B246" w:rsidRPr="00744DCA">
        <w:rPr>
          <w:noProof/>
        </w:rPr>
        <w:t xml:space="preserve"> </w:t>
      </w:r>
      <w:r w:rsidR="4142D8E5" w:rsidRPr="00744DCA">
        <w:rPr>
          <w:noProof/>
        </w:rPr>
        <w:t>to the need t</w:t>
      </w:r>
      <w:r w:rsidR="3AEA99F7" w:rsidRPr="00744DCA">
        <w:rPr>
          <w:noProof/>
        </w:rPr>
        <w:t xml:space="preserve">o ensure a high level of security of the Union, Member States and European citizens. </w:t>
      </w:r>
    </w:p>
    <w:p w14:paraId="1C28A98A" w14:textId="77777777" w:rsidR="004F46D8" w:rsidRPr="00744DCA" w:rsidRDefault="169CFE82" w:rsidP="00F813F6">
      <w:pPr>
        <w:pStyle w:val="ManualConsidrant"/>
        <w:rPr>
          <w:noProof/>
        </w:rPr>
      </w:pPr>
      <w:r>
        <w:rPr>
          <w:noProof/>
        </w:rPr>
        <w:t>(65)</w:t>
      </w:r>
      <w:r>
        <w:rPr>
          <w:noProof/>
        </w:rPr>
        <w:tab/>
      </w:r>
      <w:r w:rsidRPr="00744DCA">
        <w:rPr>
          <w:noProof/>
        </w:rPr>
        <w:t>Where the security-related supply crisis state is activated and i</w:t>
      </w:r>
      <w:r w:rsidR="6D53D130" w:rsidRPr="00744DCA">
        <w:rPr>
          <w:noProof/>
        </w:rPr>
        <w:t xml:space="preserve">n order to address </w:t>
      </w:r>
      <w:r w:rsidR="4FF5179A" w:rsidRPr="00744DCA">
        <w:rPr>
          <w:noProof/>
        </w:rPr>
        <w:t>cases</w:t>
      </w:r>
      <w:r w:rsidR="349B8636" w:rsidRPr="00744DCA">
        <w:rPr>
          <w:noProof/>
        </w:rPr>
        <w:t xml:space="preserve"> where</w:t>
      </w:r>
      <w:r w:rsidR="0F8E9D43" w:rsidRPr="00744DCA">
        <w:rPr>
          <w:noProof/>
        </w:rPr>
        <w:t xml:space="preserve"> a Member State face</w:t>
      </w:r>
      <w:r w:rsidR="5D5BE9A4" w:rsidRPr="00744DCA">
        <w:rPr>
          <w:noProof/>
        </w:rPr>
        <w:t>s</w:t>
      </w:r>
      <w:r w:rsidR="0F8E9D43" w:rsidRPr="00744DCA">
        <w:rPr>
          <w:noProof/>
        </w:rPr>
        <w:t xml:space="preserve"> or may face severe difficulties either in </w:t>
      </w:r>
      <w:r w:rsidR="0C2E8A02" w:rsidRPr="00744DCA">
        <w:rPr>
          <w:noProof/>
        </w:rPr>
        <w:t xml:space="preserve">the </w:t>
      </w:r>
      <w:r w:rsidR="0F8E9D43" w:rsidRPr="00744DCA">
        <w:rPr>
          <w:noProof/>
        </w:rPr>
        <w:t xml:space="preserve">placing </w:t>
      </w:r>
      <w:r w:rsidR="0C2E8A02" w:rsidRPr="00744DCA">
        <w:rPr>
          <w:noProof/>
        </w:rPr>
        <w:t xml:space="preserve">of </w:t>
      </w:r>
      <w:r w:rsidR="0F8E9D43" w:rsidRPr="00744DCA">
        <w:rPr>
          <w:noProof/>
        </w:rPr>
        <w:t xml:space="preserve">an order </w:t>
      </w:r>
      <w:r w:rsidR="0C2E8A02" w:rsidRPr="00744DCA">
        <w:rPr>
          <w:noProof/>
        </w:rPr>
        <w:t xml:space="preserve">or in the execution of a contract </w:t>
      </w:r>
      <w:r w:rsidR="259CA78D" w:rsidRPr="00744DCA">
        <w:rPr>
          <w:noProof/>
        </w:rPr>
        <w:t>for the supply of defence products</w:t>
      </w:r>
      <w:r w:rsidR="03D72BF0" w:rsidRPr="00744DCA">
        <w:rPr>
          <w:noProof/>
        </w:rPr>
        <w:t xml:space="preserve"> due to shortages or </w:t>
      </w:r>
      <w:r w:rsidR="4B31D9D7" w:rsidRPr="00744DCA">
        <w:rPr>
          <w:noProof/>
        </w:rPr>
        <w:t>serious risk</w:t>
      </w:r>
      <w:r w:rsidR="220E1FD7" w:rsidRPr="00744DCA">
        <w:rPr>
          <w:noProof/>
        </w:rPr>
        <w:t>s of shortages</w:t>
      </w:r>
      <w:r w:rsidR="057E0144" w:rsidRPr="00744DCA">
        <w:rPr>
          <w:noProof/>
        </w:rPr>
        <w:t xml:space="preserve"> of crisis-relevant products, the Council should be</w:t>
      </w:r>
      <w:r w:rsidR="4FF5179A" w:rsidRPr="00744DCA">
        <w:rPr>
          <w:noProof/>
        </w:rPr>
        <w:t xml:space="preserve"> able to activate </w:t>
      </w:r>
      <w:r w:rsidR="5356590D" w:rsidRPr="00744DCA">
        <w:rPr>
          <w:noProof/>
        </w:rPr>
        <w:t>measures at Union level aimed to ensure the availability of crisis-relevant goods, such as priority rated requests</w:t>
      </w:r>
      <w:r w:rsidR="65C7048F" w:rsidRPr="00744DCA">
        <w:rPr>
          <w:noProof/>
        </w:rPr>
        <w:t xml:space="preserve"> to ensure the proper functioning of the internal market and its defence supply chains</w:t>
      </w:r>
      <w:r w:rsidR="5356590D" w:rsidRPr="00744DCA">
        <w:rPr>
          <w:noProof/>
        </w:rPr>
        <w:t>.</w:t>
      </w:r>
      <w:r w:rsidR="6283F196" w:rsidRPr="00744DCA">
        <w:rPr>
          <w:noProof/>
        </w:rPr>
        <w:t xml:space="preserve"> </w:t>
      </w:r>
    </w:p>
    <w:p w14:paraId="5EFCE2B5" w14:textId="77777777" w:rsidR="009007E9" w:rsidRPr="00744DCA" w:rsidRDefault="3982533A" w:rsidP="00D36EF6">
      <w:pPr>
        <w:pStyle w:val="ManualConsidrant"/>
        <w:rPr>
          <w:noProof/>
        </w:rPr>
      </w:pPr>
      <w:r>
        <w:rPr>
          <w:noProof/>
        </w:rPr>
        <w:t>(66)</w:t>
      </w:r>
      <w:r>
        <w:rPr>
          <w:noProof/>
        </w:rPr>
        <w:tab/>
      </w:r>
      <w:r w:rsidRPr="00744DCA">
        <w:rPr>
          <w:noProof/>
        </w:rPr>
        <w:t xml:space="preserve">As an instrument of last resort, </w:t>
      </w:r>
      <w:r w:rsidR="405CC384" w:rsidRPr="00744DCA">
        <w:rPr>
          <w:noProof/>
        </w:rPr>
        <w:t>priority-rated request</w:t>
      </w:r>
      <w:r w:rsidR="4BF0F79D" w:rsidRPr="00744DCA">
        <w:rPr>
          <w:noProof/>
        </w:rPr>
        <w:t>s</w:t>
      </w:r>
      <w:r w:rsidR="405CC384" w:rsidRPr="00744DCA">
        <w:rPr>
          <w:noProof/>
        </w:rPr>
        <w:t xml:space="preserve"> </w:t>
      </w:r>
      <w:r w:rsidR="4BF0F79D" w:rsidRPr="00744DCA">
        <w:rPr>
          <w:noProof/>
        </w:rPr>
        <w:t xml:space="preserve">should aim at addressing situations where the production or supply of </w:t>
      </w:r>
      <w:r w:rsidR="715DA2C3" w:rsidRPr="00744DCA">
        <w:rPr>
          <w:noProof/>
        </w:rPr>
        <w:t xml:space="preserve">crisis relevant products which are </w:t>
      </w:r>
      <w:r w:rsidR="3E48A810" w:rsidRPr="00744DCA">
        <w:rPr>
          <w:noProof/>
        </w:rPr>
        <w:t>defence products</w:t>
      </w:r>
      <w:r w:rsidR="4BF0F79D" w:rsidRPr="00744DCA">
        <w:rPr>
          <w:noProof/>
        </w:rPr>
        <w:t xml:space="preserve"> could not be achieved by other measures</w:t>
      </w:r>
      <w:r w:rsidR="3E48A810" w:rsidRPr="00744DCA">
        <w:rPr>
          <w:noProof/>
        </w:rPr>
        <w:t>.</w:t>
      </w:r>
      <w:r w:rsidR="313D60BF" w:rsidRPr="00744DCA">
        <w:rPr>
          <w:noProof/>
        </w:rPr>
        <w:t xml:space="preserve"> The priority-rated request should be taken based on objective, factual, measurable, and substantiated data. It should have regard for the legitimate interests of the undertakings and the cost and effort required for any change in production sequence. </w:t>
      </w:r>
      <w:r w:rsidR="72E26A60" w:rsidRPr="00744DCA">
        <w:rPr>
          <w:noProof/>
        </w:rPr>
        <w:t>When accepted, the obligation to perform the priority-rated request should take precedence over any performance obligation under private or public law. Each priority rated request should be placed at a fair and reasonable price.</w:t>
      </w:r>
      <w:r w:rsidR="54577FB2" w:rsidRPr="00744DCA">
        <w:rPr>
          <w:noProof/>
        </w:rPr>
        <w:t xml:space="preserve"> </w:t>
      </w:r>
    </w:p>
    <w:p w14:paraId="26920FD9" w14:textId="77777777" w:rsidR="00CB5EDF" w:rsidRPr="00744DCA" w:rsidRDefault="00706316" w:rsidP="00CB5EDF">
      <w:pPr>
        <w:pStyle w:val="ManualConsidrant"/>
        <w:rPr>
          <w:noProof/>
        </w:rPr>
      </w:pPr>
      <w:r>
        <w:rPr>
          <w:noProof/>
        </w:rPr>
        <w:t>(67)</w:t>
      </w:r>
      <w:r>
        <w:rPr>
          <w:noProof/>
        </w:rPr>
        <w:tab/>
      </w:r>
      <w:r w:rsidRPr="00744DCA">
        <w:rPr>
          <w:noProof/>
        </w:rPr>
        <w:t xml:space="preserve">With </w:t>
      </w:r>
      <w:r w:rsidR="00CD64C5" w:rsidRPr="00744DCA">
        <w:rPr>
          <w:noProof/>
        </w:rPr>
        <w:t>a view to support the Commission in implementing this Regulation, a European Defence Industrial Readiness Board should be established, composed of the Commission, the High Representative/Head of the Agency and Member States. In addition</w:t>
      </w:r>
      <w:r w:rsidRPr="00744DCA">
        <w:rPr>
          <w:noProof/>
        </w:rPr>
        <w:t>,</w:t>
      </w:r>
      <w:r w:rsidR="00CD64C5" w:rsidRPr="00744DCA">
        <w:rPr>
          <w:noProof/>
        </w:rPr>
        <w:t xml:space="preserve"> </w:t>
      </w:r>
      <w:r w:rsidR="00097183" w:rsidRPr="00097183">
        <w:rPr>
          <w:noProof/>
        </w:rPr>
        <w:t>outside the framework of the current Regulation,</w:t>
      </w:r>
      <w:r w:rsidR="00097183">
        <w:rPr>
          <w:noProof/>
        </w:rPr>
        <w:t xml:space="preserve"> </w:t>
      </w:r>
      <w:r w:rsidR="00CD64C5" w:rsidRPr="00744DCA">
        <w:rPr>
          <w:noProof/>
        </w:rPr>
        <w:t xml:space="preserve">the High Representative/Head of Agency and the Commission </w:t>
      </w:r>
      <w:r w:rsidRPr="00744DCA">
        <w:rPr>
          <w:noProof/>
        </w:rPr>
        <w:t>will</w:t>
      </w:r>
      <w:r w:rsidR="00097183">
        <w:rPr>
          <w:noProof/>
        </w:rPr>
        <w:t xml:space="preserve"> at their initiative</w:t>
      </w:r>
      <w:r w:rsidRPr="00744DCA">
        <w:rPr>
          <w:noProof/>
        </w:rPr>
        <w:t xml:space="preserve"> convene and co-chair meetings</w:t>
      </w:r>
      <w:r w:rsidR="00097183">
        <w:rPr>
          <w:noProof/>
        </w:rPr>
        <w:t xml:space="preserve"> of the members</w:t>
      </w:r>
      <w:r w:rsidR="00C17007">
        <w:rPr>
          <w:noProof/>
        </w:rPr>
        <w:t xml:space="preserve"> </w:t>
      </w:r>
      <w:r w:rsidRPr="00744DCA">
        <w:rPr>
          <w:noProof/>
        </w:rPr>
        <w:t xml:space="preserve">in the context of the Board </w:t>
      </w:r>
      <w:r w:rsidR="00CD64C5" w:rsidRPr="00744DCA">
        <w:rPr>
          <w:noProof/>
        </w:rPr>
        <w:t>to exercise the joint programming and procurement function and provide strategic guidance and advice with a view to increase defence industrial readiness of the EDTIB, in line with the European Defence Industrial Strategy.</w:t>
      </w:r>
    </w:p>
    <w:p w14:paraId="4C76C65B" w14:textId="77777777" w:rsidR="00CB5EDF" w:rsidRPr="00744DCA" w:rsidRDefault="299C41F4" w:rsidP="00CB5EDF">
      <w:pPr>
        <w:pStyle w:val="ManualConsidrant"/>
        <w:rPr>
          <w:noProof/>
        </w:rPr>
      </w:pPr>
      <w:r>
        <w:rPr>
          <w:noProof/>
        </w:rPr>
        <w:t>(68)</w:t>
      </w:r>
      <w:r>
        <w:rPr>
          <w:noProof/>
        </w:rPr>
        <w:tab/>
      </w:r>
      <w:r w:rsidRPr="00744DCA">
        <w:rPr>
          <w:noProof/>
        </w:rPr>
        <w:t>This Regulation should apply without prejudice to Union competition rules, in particular Articles 101 to 109 TFEU and the legal acts that give effect to those Articles.</w:t>
      </w:r>
    </w:p>
    <w:p w14:paraId="03A478B0" w14:textId="77777777" w:rsidR="00CB5EDF" w:rsidRPr="00744DCA" w:rsidRDefault="299C41F4" w:rsidP="00CB5EDF">
      <w:pPr>
        <w:pStyle w:val="ManualConsidrant"/>
        <w:rPr>
          <w:noProof/>
        </w:rPr>
      </w:pPr>
      <w:r>
        <w:rPr>
          <w:noProof/>
        </w:rPr>
        <w:t>(69)</w:t>
      </w:r>
      <w:r>
        <w:rPr>
          <w:noProof/>
        </w:rPr>
        <w:tab/>
      </w:r>
      <w:r w:rsidRPr="00744DCA">
        <w:rPr>
          <w:noProof/>
        </w:rPr>
        <w:t>In accordance with Article 41(2) TEU, operating expenditure arising from Chapter 2 of Title V TEU is to be charged to the Union budget, except for such expenditure arising from operations having military or defence implications.</w:t>
      </w:r>
    </w:p>
    <w:p w14:paraId="57B6B36E" w14:textId="77777777" w:rsidR="00CB5EDF" w:rsidRPr="00744DCA" w:rsidRDefault="299C41F4" w:rsidP="00CB5EDF">
      <w:pPr>
        <w:pStyle w:val="ManualConsidrant"/>
        <w:rPr>
          <w:noProof/>
        </w:rPr>
      </w:pPr>
      <w:r>
        <w:rPr>
          <w:noProof/>
        </w:rPr>
        <w:t>(70)</w:t>
      </w:r>
      <w:r>
        <w:rPr>
          <w:noProof/>
        </w:rPr>
        <w:tab/>
      </w:r>
      <w:r w:rsidRPr="00744DCA">
        <w:rPr>
          <w:noProof/>
        </w:rPr>
        <w:t>This Regulation should apply without prejudice to the specific character of the security and defence policy of certain Member States</w:t>
      </w:r>
      <w:r w:rsidR="00E24B3E" w:rsidRPr="00744DCA">
        <w:rPr>
          <w:noProof/>
        </w:rPr>
        <w:t>,</w:t>
      </w:r>
    </w:p>
    <w:p w14:paraId="170E6558" w14:textId="77777777" w:rsidR="00CB5EDF" w:rsidRPr="00744DCA" w:rsidRDefault="00CB5EDF" w:rsidP="00CB5EDF">
      <w:pPr>
        <w:pStyle w:val="Formuledadoption"/>
        <w:rPr>
          <w:noProof/>
        </w:rPr>
      </w:pPr>
      <w:r w:rsidRPr="00744DCA">
        <w:rPr>
          <w:noProof/>
        </w:rPr>
        <w:t>HAVE ADOPTED THIS REGULATION:</w:t>
      </w:r>
    </w:p>
    <w:p w14:paraId="1E52A767" w14:textId="77777777" w:rsidR="00CB5EDF" w:rsidRPr="00744DCA" w:rsidRDefault="00CB5EDF" w:rsidP="00CB5EDF">
      <w:pPr>
        <w:rPr>
          <w:noProof/>
        </w:rPr>
      </w:pPr>
    </w:p>
    <w:p w14:paraId="63ECEA5D" w14:textId="77777777" w:rsidR="00CB5EDF" w:rsidRPr="00744DCA" w:rsidRDefault="00CB5EDF" w:rsidP="00CB5EDF">
      <w:pPr>
        <w:pStyle w:val="ChapterTitle"/>
        <w:rPr>
          <w:noProof/>
        </w:rPr>
      </w:pPr>
      <w:r w:rsidRPr="00744DCA">
        <w:rPr>
          <w:noProof/>
        </w:rPr>
        <w:t>Chapter I</w:t>
      </w:r>
    </w:p>
    <w:p w14:paraId="12E7EAB9" w14:textId="77777777" w:rsidR="00CB5EDF" w:rsidRPr="00744DCA" w:rsidRDefault="00CB5EDF" w:rsidP="00CB5EDF">
      <w:pPr>
        <w:pStyle w:val="ChapterTitle"/>
        <w:rPr>
          <w:noProof/>
        </w:rPr>
      </w:pPr>
      <w:r w:rsidRPr="00744DCA">
        <w:rPr>
          <w:noProof/>
        </w:rPr>
        <w:t>General Provisions</w:t>
      </w:r>
    </w:p>
    <w:p w14:paraId="66247520" w14:textId="77777777" w:rsidR="00CB5EDF" w:rsidRPr="00744DCA" w:rsidRDefault="00CB5EDF" w:rsidP="00CB5EDF">
      <w:pPr>
        <w:pStyle w:val="Titrearticle"/>
        <w:rPr>
          <w:noProof/>
        </w:rPr>
      </w:pPr>
      <w:r w:rsidRPr="00744DCA">
        <w:rPr>
          <w:noProof/>
        </w:rPr>
        <w:t>Article 1</w:t>
      </w:r>
    </w:p>
    <w:p w14:paraId="1FAE3620" w14:textId="77777777" w:rsidR="00CB5EDF" w:rsidRPr="00744DCA" w:rsidRDefault="00CB5EDF" w:rsidP="00CB5EDF">
      <w:pPr>
        <w:pStyle w:val="Titrearticle"/>
        <w:rPr>
          <w:b/>
          <w:i w:val="0"/>
          <w:noProof/>
        </w:rPr>
      </w:pPr>
      <w:r w:rsidRPr="00744DCA">
        <w:rPr>
          <w:b/>
          <w:i w:val="0"/>
          <w:noProof/>
        </w:rPr>
        <w:t>Subject Matter</w:t>
      </w:r>
    </w:p>
    <w:p w14:paraId="795F39DF" w14:textId="77777777" w:rsidR="00CB5EDF" w:rsidRPr="00744DCA" w:rsidRDefault="00CB5EDF" w:rsidP="00CB5EDF">
      <w:pPr>
        <w:rPr>
          <w:noProof/>
        </w:rPr>
      </w:pPr>
      <w:r w:rsidRPr="00744DCA">
        <w:rPr>
          <w:noProof/>
        </w:rPr>
        <w:t xml:space="preserve">This Regulation establishes </w:t>
      </w:r>
      <w:r w:rsidR="00C27C35" w:rsidRPr="00744DCA">
        <w:rPr>
          <w:noProof/>
        </w:rPr>
        <w:t xml:space="preserve">a budget </w:t>
      </w:r>
      <w:r w:rsidRPr="00744DCA">
        <w:rPr>
          <w:noProof/>
        </w:rPr>
        <w:t xml:space="preserve">and lays down </w:t>
      </w:r>
      <w:r w:rsidR="00C27C35" w:rsidRPr="00744DCA">
        <w:rPr>
          <w:noProof/>
        </w:rPr>
        <w:t xml:space="preserve">a set of measures </w:t>
      </w:r>
      <w:r w:rsidRPr="00744DCA">
        <w:rPr>
          <w:noProof/>
        </w:rPr>
        <w:t>aimed at supporting defence</w:t>
      </w:r>
      <w:r w:rsidR="00765C13" w:rsidRPr="00744DCA">
        <w:rPr>
          <w:noProof/>
        </w:rPr>
        <w:t xml:space="preserve"> industry</w:t>
      </w:r>
      <w:r w:rsidRPr="00744DCA">
        <w:rPr>
          <w:noProof/>
        </w:rPr>
        <w:t xml:space="preserve"> readiness of the Union and its Member States through the strengthening of the competitiveness, responsiveness and ability of the European Defence Technological and Industrial Base (EDTIB) to ensure the timely availability and supply of defence products and at contributing to the recovery, reconstruction and modernisation of the Ukraine Defence Technological and Industrial Base (Ukrainian DTIB), in particular by means of the following:</w:t>
      </w:r>
    </w:p>
    <w:p w14:paraId="553C0E74" w14:textId="77777777" w:rsidR="00CB5EDF" w:rsidRPr="00744DCA" w:rsidRDefault="00CB5EDF" w:rsidP="00841B6F">
      <w:pPr>
        <w:pStyle w:val="Point0"/>
        <w:rPr>
          <w:noProof/>
        </w:rPr>
      </w:pPr>
      <w:r>
        <w:rPr>
          <w:noProof/>
        </w:rPr>
        <w:t>(1)</w:t>
      </w:r>
      <w:r>
        <w:rPr>
          <w:noProof/>
        </w:rPr>
        <w:tab/>
      </w:r>
      <w:r w:rsidRPr="00744DCA">
        <w:rPr>
          <w:noProof/>
        </w:rPr>
        <w:t>the establishment of the European Defence Industrial Programme (the ‘Programme’)</w:t>
      </w:r>
      <w:r w:rsidR="00810384" w:rsidRPr="00744DCA">
        <w:rPr>
          <w:noProof/>
        </w:rPr>
        <w:t xml:space="preserve">, comprising measures </w:t>
      </w:r>
      <w:r w:rsidR="00C17007">
        <w:rPr>
          <w:noProof/>
        </w:rPr>
        <w:t xml:space="preserve">for </w:t>
      </w:r>
      <w:r w:rsidR="00810384" w:rsidRPr="00744DCA">
        <w:rPr>
          <w:noProof/>
        </w:rPr>
        <w:t>the strengthening of the competitiveness, responsiveness and ability of the EDTIB</w:t>
      </w:r>
      <w:r w:rsidRPr="00744DCA">
        <w:rPr>
          <w:noProof/>
        </w:rPr>
        <w:t>, which may include the establishment of a fund for the acceleration of defence supply chain transformation (‘FAST’);</w:t>
      </w:r>
    </w:p>
    <w:p w14:paraId="7C036E73" w14:textId="77777777" w:rsidR="00705799" w:rsidRPr="00744DCA" w:rsidRDefault="00A11065" w:rsidP="00744DCA">
      <w:pPr>
        <w:pStyle w:val="Point0"/>
        <w:rPr>
          <w:noProof/>
        </w:rPr>
      </w:pPr>
      <w:r>
        <w:rPr>
          <w:noProof/>
        </w:rPr>
        <w:t>(2)</w:t>
      </w:r>
      <w:r>
        <w:rPr>
          <w:noProof/>
        </w:rPr>
        <w:tab/>
      </w:r>
      <w:r w:rsidRPr="00744DCA">
        <w:rPr>
          <w:noProof/>
        </w:rPr>
        <w:t xml:space="preserve">the establishment of a cooperation </w:t>
      </w:r>
      <w:r w:rsidR="00095F9C" w:rsidRPr="00744DCA">
        <w:rPr>
          <w:noProof/>
        </w:rPr>
        <w:t xml:space="preserve">programme </w:t>
      </w:r>
      <w:r w:rsidRPr="00744DCA">
        <w:rPr>
          <w:noProof/>
        </w:rPr>
        <w:t xml:space="preserve">with Ukraine with </w:t>
      </w:r>
      <w:r w:rsidR="00C17007">
        <w:rPr>
          <w:noProof/>
        </w:rPr>
        <w:t xml:space="preserve">a </w:t>
      </w:r>
      <w:r w:rsidRPr="00744DCA">
        <w:rPr>
          <w:noProof/>
        </w:rPr>
        <w:t xml:space="preserve">view </w:t>
      </w:r>
      <w:r w:rsidR="00C17007">
        <w:rPr>
          <w:noProof/>
        </w:rPr>
        <w:t xml:space="preserve">to </w:t>
      </w:r>
      <w:r w:rsidRPr="00744DCA">
        <w:rPr>
          <w:noProof/>
        </w:rPr>
        <w:t>the</w:t>
      </w:r>
      <w:r w:rsidR="00C4471F" w:rsidRPr="00744DCA">
        <w:rPr>
          <w:noProof/>
        </w:rPr>
        <w:t xml:space="preserve"> </w:t>
      </w:r>
      <w:r w:rsidR="00705799" w:rsidRPr="00744DCA">
        <w:rPr>
          <w:noProof/>
        </w:rPr>
        <w:t>recovery, reconstruction and modernisation of the Ukraine Defence Technological and Industrial Base (</w:t>
      </w:r>
      <w:r w:rsidR="008360D8">
        <w:rPr>
          <w:noProof/>
        </w:rPr>
        <w:t xml:space="preserve">the </w:t>
      </w:r>
      <w:r w:rsidR="00957511" w:rsidRPr="00744DCA">
        <w:rPr>
          <w:noProof/>
        </w:rPr>
        <w:t>‘</w:t>
      </w:r>
      <w:r w:rsidR="006F033D" w:rsidRPr="00744DCA">
        <w:rPr>
          <w:noProof/>
        </w:rPr>
        <w:t>Ukraine Support Instrument</w:t>
      </w:r>
      <w:r w:rsidR="00957511" w:rsidRPr="00744DCA">
        <w:rPr>
          <w:noProof/>
        </w:rPr>
        <w:t>’</w:t>
      </w:r>
      <w:r w:rsidR="00705799" w:rsidRPr="00744DCA">
        <w:rPr>
          <w:noProof/>
        </w:rPr>
        <w:t>)</w:t>
      </w:r>
      <w:r w:rsidR="00C23FDC" w:rsidRPr="00744DCA">
        <w:rPr>
          <w:noProof/>
        </w:rPr>
        <w:t>;</w:t>
      </w:r>
    </w:p>
    <w:p w14:paraId="2AB12AB7" w14:textId="77777777" w:rsidR="00CB5EDF" w:rsidRPr="00744DCA" w:rsidRDefault="299C41F4" w:rsidP="003D5D3A">
      <w:pPr>
        <w:pStyle w:val="Point0"/>
        <w:rPr>
          <w:noProof/>
        </w:rPr>
      </w:pPr>
      <w:r>
        <w:rPr>
          <w:noProof/>
        </w:rPr>
        <w:t>(3)</w:t>
      </w:r>
      <w:r>
        <w:rPr>
          <w:noProof/>
        </w:rPr>
        <w:tab/>
      </w:r>
      <w:r w:rsidRPr="00744DCA">
        <w:rPr>
          <w:noProof/>
        </w:rPr>
        <w:t xml:space="preserve">a legal framework laying down the requirements and procedures for and the effects of setting-up </w:t>
      </w:r>
      <w:r w:rsidR="00A06A0C" w:rsidRPr="00744DCA">
        <w:rPr>
          <w:noProof/>
        </w:rPr>
        <w:t>the</w:t>
      </w:r>
      <w:r w:rsidR="72850569" w:rsidRPr="00744DCA">
        <w:rPr>
          <w:noProof/>
        </w:rPr>
        <w:t xml:space="preserve"> </w:t>
      </w:r>
      <w:r w:rsidR="0C2A7F47" w:rsidRPr="00744DCA">
        <w:rPr>
          <w:noProof/>
        </w:rPr>
        <w:t xml:space="preserve">Structure for </w:t>
      </w:r>
      <w:r w:rsidRPr="00744DCA">
        <w:rPr>
          <w:noProof/>
        </w:rPr>
        <w:t>European Armament Programme (‘</w:t>
      </w:r>
      <w:r w:rsidR="0C2A7F47" w:rsidRPr="00744DCA">
        <w:rPr>
          <w:noProof/>
        </w:rPr>
        <w:t>S</w:t>
      </w:r>
      <w:r w:rsidR="253927CC" w:rsidRPr="00744DCA">
        <w:rPr>
          <w:noProof/>
        </w:rPr>
        <w:t>EAP</w:t>
      </w:r>
      <w:r w:rsidRPr="00744DCA">
        <w:rPr>
          <w:noProof/>
        </w:rPr>
        <w:t>’) as set out in Chapter III;</w:t>
      </w:r>
    </w:p>
    <w:p w14:paraId="69C0688C" w14:textId="77777777" w:rsidR="00CB5EDF" w:rsidRPr="00744DCA" w:rsidRDefault="299C41F4" w:rsidP="003D5D3A">
      <w:pPr>
        <w:pStyle w:val="Point0"/>
        <w:rPr>
          <w:noProof/>
        </w:rPr>
      </w:pPr>
      <w:r>
        <w:rPr>
          <w:noProof/>
        </w:rPr>
        <w:t>(4)</w:t>
      </w:r>
      <w:r>
        <w:rPr>
          <w:noProof/>
        </w:rPr>
        <w:tab/>
      </w:r>
      <w:r w:rsidRPr="00744DCA">
        <w:rPr>
          <w:noProof/>
        </w:rPr>
        <w:t>a legal framework aiming at ensuring security of supply, removing obstacles and bottlenecks and supporting the production of defence products as set out in Chapter IV;</w:t>
      </w:r>
    </w:p>
    <w:p w14:paraId="1577BA4C" w14:textId="77777777" w:rsidR="00CB5EDF" w:rsidRPr="00744DCA" w:rsidRDefault="299C41F4" w:rsidP="003D5D3A">
      <w:pPr>
        <w:pStyle w:val="Point0"/>
        <w:rPr>
          <w:noProof/>
        </w:rPr>
      </w:pPr>
      <w:r>
        <w:rPr>
          <w:noProof/>
        </w:rPr>
        <w:t>(5)</w:t>
      </w:r>
      <w:r>
        <w:rPr>
          <w:noProof/>
        </w:rPr>
        <w:tab/>
      </w:r>
      <w:r w:rsidRPr="00744DCA">
        <w:rPr>
          <w:noProof/>
        </w:rPr>
        <w:t>the establishment of a Defence Industrial Readiness Board as set out in Chapter V.</w:t>
      </w:r>
    </w:p>
    <w:p w14:paraId="2D32BD9E" w14:textId="77777777" w:rsidR="00CB5EDF" w:rsidRPr="00744DCA" w:rsidRDefault="00CB5EDF" w:rsidP="00CB5EDF">
      <w:pPr>
        <w:pStyle w:val="Titrearticle"/>
        <w:rPr>
          <w:noProof/>
        </w:rPr>
      </w:pPr>
      <w:r w:rsidRPr="00744DCA">
        <w:rPr>
          <w:noProof/>
        </w:rPr>
        <w:t>Article 2</w:t>
      </w:r>
    </w:p>
    <w:p w14:paraId="0EA11F3B" w14:textId="77777777" w:rsidR="00CB5EDF" w:rsidRPr="00744DCA" w:rsidRDefault="00CB5EDF" w:rsidP="00CB5EDF">
      <w:pPr>
        <w:pStyle w:val="Titrearticle"/>
        <w:rPr>
          <w:noProof/>
        </w:rPr>
      </w:pPr>
      <w:r w:rsidRPr="00744DCA">
        <w:rPr>
          <w:b/>
          <w:i w:val="0"/>
          <w:noProof/>
        </w:rPr>
        <w:t>Definitions</w:t>
      </w:r>
    </w:p>
    <w:p w14:paraId="5637E330" w14:textId="77777777" w:rsidR="00E140BF" w:rsidRPr="00744DCA" w:rsidRDefault="00CB5EDF" w:rsidP="004566AC">
      <w:pPr>
        <w:rPr>
          <w:noProof/>
        </w:rPr>
      </w:pPr>
      <w:r w:rsidRPr="00744DCA">
        <w:rPr>
          <w:noProof/>
        </w:rPr>
        <w:t>For the purposes of this Regulation, the following definitions apply:</w:t>
      </w:r>
    </w:p>
    <w:p w14:paraId="39139097" w14:textId="77777777" w:rsidR="002948F8" w:rsidRPr="00744DCA" w:rsidRDefault="6059A681" w:rsidP="00B91A8D">
      <w:pPr>
        <w:pStyle w:val="Point0"/>
        <w:rPr>
          <w:noProof/>
        </w:rPr>
      </w:pPr>
      <w:r>
        <w:rPr>
          <w:noProof/>
        </w:rPr>
        <w:t>(1)</w:t>
      </w:r>
      <w:r>
        <w:rPr>
          <w:noProof/>
        </w:rPr>
        <w:tab/>
      </w:r>
      <w:r w:rsidRPr="00744DCA">
        <w:rPr>
          <w:noProof/>
        </w:rPr>
        <w:t>'</w:t>
      </w:r>
      <w:r w:rsidR="00E9267A" w:rsidRPr="00744DCA">
        <w:rPr>
          <w:noProof/>
        </w:rPr>
        <w:t>a</w:t>
      </w:r>
      <w:r w:rsidRPr="00744DCA">
        <w:rPr>
          <w:noProof/>
        </w:rPr>
        <w:t>dvance purchas</w:t>
      </w:r>
      <w:r w:rsidR="005F2AA5" w:rsidRPr="00744DCA">
        <w:rPr>
          <w:noProof/>
        </w:rPr>
        <w:t>ing</w:t>
      </w:r>
      <w:r w:rsidRPr="00744DCA">
        <w:rPr>
          <w:noProof/>
        </w:rPr>
        <w:t xml:space="preserve"> agreement’ means a public contract with one or several undertakings </w:t>
      </w:r>
      <w:r w:rsidR="00A06A0C" w:rsidRPr="00744DCA">
        <w:rPr>
          <w:noProof/>
        </w:rPr>
        <w:t xml:space="preserve">which </w:t>
      </w:r>
      <w:r w:rsidRPr="00744DCA">
        <w:rPr>
          <w:noProof/>
        </w:rPr>
        <w:t>aim</w:t>
      </w:r>
      <w:r w:rsidR="00A06A0C" w:rsidRPr="00744DCA">
        <w:rPr>
          <w:noProof/>
        </w:rPr>
        <w:t>s</w:t>
      </w:r>
      <w:r w:rsidRPr="00744DCA">
        <w:rPr>
          <w:noProof/>
        </w:rPr>
        <w:t xml:space="preserve"> at supporting the swift development and/or production of a product and </w:t>
      </w:r>
      <w:r w:rsidR="1511D94F" w:rsidRPr="00744DCA">
        <w:rPr>
          <w:noProof/>
        </w:rPr>
        <w:t>by</w:t>
      </w:r>
      <w:r w:rsidRPr="00744DCA">
        <w:rPr>
          <w:noProof/>
        </w:rPr>
        <w:t xml:space="preserve"> virtue of which the right to buy a specified number of products in a given timeframe and at a given price is </w:t>
      </w:r>
      <w:r w:rsidR="00B5031B" w:rsidRPr="00744DCA">
        <w:rPr>
          <w:noProof/>
        </w:rPr>
        <w:t>subject</w:t>
      </w:r>
      <w:r w:rsidR="00580E73" w:rsidRPr="00744DCA">
        <w:rPr>
          <w:noProof/>
        </w:rPr>
        <w:t xml:space="preserve"> to</w:t>
      </w:r>
      <w:r w:rsidRPr="00744DCA">
        <w:rPr>
          <w:noProof/>
        </w:rPr>
        <w:t xml:space="preserve"> the prefinancing of part of the upfront costs faced by the concerned undertakings. While an </w:t>
      </w:r>
      <w:r w:rsidR="006C2016" w:rsidRPr="00744DCA">
        <w:rPr>
          <w:noProof/>
        </w:rPr>
        <w:t>advance purchasing agreement</w:t>
      </w:r>
      <w:r w:rsidR="006C2016" w:rsidRPr="00744DCA" w:rsidDel="006C2016">
        <w:rPr>
          <w:noProof/>
        </w:rPr>
        <w:t xml:space="preserve"> </w:t>
      </w:r>
      <w:r w:rsidRPr="00744DCA">
        <w:rPr>
          <w:noProof/>
        </w:rPr>
        <w:t xml:space="preserve">is legally binding upon the participating </w:t>
      </w:r>
      <w:r w:rsidR="00580E73" w:rsidRPr="00744DCA">
        <w:rPr>
          <w:noProof/>
        </w:rPr>
        <w:t xml:space="preserve">contracting </w:t>
      </w:r>
      <w:r w:rsidRPr="00744DCA">
        <w:rPr>
          <w:noProof/>
        </w:rPr>
        <w:t>authorities</w:t>
      </w:r>
      <w:r w:rsidR="002C3297" w:rsidRPr="00744DCA">
        <w:rPr>
          <w:noProof/>
        </w:rPr>
        <w:t xml:space="preserve"> and upon the contractor</w:t>
      </w:r>
      <w:r w:rsidRPr="00744DCA">
        <w:rPr>
          <w:noProof/>
        </w:rPr>
        <w:t xml:space="preserve">, it </w:t>
      </w:r>
      <w:r w:rsidR="00E77FBA" w:rsidRPr="00744DCA">
        <w:rPr>
          <w:noProof/>
        </w:rPr>
        <w:t xml:space="preserve">needs to </w:t>
      </w:r>
      <w:r w:rsidRPr="00744DCA">
        <w:rPr>
          <w:noProof/>
        </w:rPr>
        <w:t xml:space="preserve">be further implemented by means of the conclusion of contracts with the concerned </w:t>
      </w:r>
      <w:r w:rsidR="006E460A">
        <w:rPr>
          <w:noProof/>
        </w:rPr>
        <w:t>contractors</w:t>
      </w:r>
      <w:r w:rsidRPr="00744DCA">
        <w:rPr>
          <w:noProof/>
        </w:rPr>
        <w:t>;</w:t>
      </w:r>
    </w:p>
    <w:p w14:paraId="3E9EB6C4" w14:textId="77777777" w:rsidR="00CB5EDF" w:rsidRPr="00744DCA" w:rsidRDefault="299C41F4" w:rsidP="00B91A8D">
      <w:pPr>
        <w:pStyle w:val="Point0"/>
        <w:rPr>
          <w:noProof/>
        </w:rPr>
      </w:pPr>
      <w:r>
        <w:rPr>
          <w:noProof/>
        </w:rPr>
        <w:t>(2)</w:t>
      </w:r>
      <w:r>
        <w:rPr>
          <w:noProof/>
        </w:rPr>
        <w:tab/>
      </w:r>
      <w:r w:rsidRPr="00744DCA">
        <w:rPr>
          <w:noProof/>
        </w:rPr>
        <w:t>‘bottleneck’ means a point of congestion in a production system that stops or severely slows the production;</w:t>
      </w:r>
    </w:p>
    <w:p w14:paraId="69D642BC" w14:textId="2C5960F2" w:rsidR="00CB5EDF" w:rsidRPr="00744DCA" w:rsidRDefault="299C41F4" w:rsidP="00B91A8D">
      <w:pPr>
        <w:pStyle w:val="Point0"/>
        <w:tabs>
          <w:tab w:val="num" w:pos="0"/>
        </w:tabs>
        <w:rPr>
          <w:noProof/>
        </w:rPr>
      </w:pPr>
      <w:r>
        <w:rPr>
          <w:noProof/>
        </w:rPr>
        <w:t>(3)</w:t>
      </w:r>
      <w:r>
        <w:rPr>
          <w:noProof/>
        </w:rPr>
        <w:tab/>
      </w:r>
      <w:r w:rsidRPr="00744DCA">
        <w:rPr>
          <w:noProof/>
        </w:rPr>
        <w:t>'blending operation' means an action supported by the Union budget, including within a blending facility or platform as defined in Article 2</w:t>
      </w:r>
      <w:r w:rsidR="00AF3E3C" w:rsidRPr="00744DCA">
        <w:rPr>
          <w:noProof/>
        </w:rPr>
        <w:t>, point (6)</w:t>
      </w:r>
      <w:r w:rsidRPr="00744DCA">
        <w:rPr>
          <w:noProof/>
        </w:rPr>
        <w:t xml:space="preserve"> of </w:t>
      </w:r>
      <w:r w:rsidR="00E45D99" w:rsidRPr="00744DCA">
        <w:rPr>
          <w:noProof/>
        </w:rPr>
        <w:t>Regulation (EU, Euratom) No [2018/1046]</w:t>
      </w:r>
      <w:r w:rsidRPr="00744DCA">
        <w:rPr>
          <w:noProof/>
        </w:rPr>
        <w:t xml:space="preserve">, that combines non-repayable forms of support and/or financial </w:t>
      </w:r>
      <w:r w:rsidR="5315D956" w:rsidRPr="00744DCA">
        <w:rPr>
          <w:noProof/>
        </w:rPr>
        <w:t xml:space="preserve">instruments </w:t>
      </w:r>
      <w:r w:rsidRPr="00744DCA">
        <w:rPr>
          <w:noProof/>
        </w:rPr>
        <w:t xml:space="preserve">from the Union budget with repayable forms of support from development or other public finance institutions, </w:t>
      </w:r>
      <w:r w:rsidR="008444BF" w:rsidRPr="00744DCA">
        <w:rPr>
          <w:noProof/>
        </w:rPr>
        <w:t xml:space="preserve">or </w:t>
      </w:r>
      <w:r w:rsidRPr="00744DCA">
        <w:rPr>
          <w:noProof/>
        </w:rPr>
        <w:t>from commercial finance institutions and investors</w:t>
      </w:r>
    </w:p>
    <w:p w14:paraId="5BCB15B7" w14:textId="77777777" w:rsidR="00CB5EDF" w:rsidRPr="00744DCA" w:rsidRDefault="299C41F4" w:rsidP="00B91A8D">
      <w:pPr>
        <w:pStyle w:val="Point0"/>
        <w:rPr>
          <w:noProof/>
        </w:rPr>
      </w:pPr>
      <w:r>
        <w:rPr>
          <w:noProof/>
        </w:rPr>
        <w:t>(4)</w:t>
      </w:r>
      <w:r>
        <w:rPr>
          <w:noProof/>
        </w:rPr>
        <w:tab/>
      </w:r>
      <w:r w:rsidRPr="00744DCA">
        <w:rPr>
          <w:noProof/>
        </w:rPr>
        <w:t>‘common procurement’ means a procurement jointly conducted by at least three Member States;</w:t>
      </w:r>
    </w:p>
    <w:p w14:paraId="190CEB25" w14:textId="77777777" w:rsidR="00CB5EDF" w:rsidRPr="00744DCA" w:rsidRDefault="299C41F4" w:rsidP="00B91A8D">
      <w:pPr>
        <w:pStyle w:val="Point0"/>
        <w:rPr>
          <w:noProof/>
        </w:rPr>
      </w:pPr>
      <w:r>
        <w:rPr>
          <w:noProof/>
        </w:rPr>
        <w:t>(5)</w:t>
      </w:r>
      <w:r>
        <w:rPr>
          <w:noProof/>
        </w:rPr>
        <w:tab/>
      </w:r>
      <w:r w:rsidRPr="00744DCA">
        <w:rPr>
          <w:noProof/>
        </w:rPr>
        <w:t>‘control’ means the ability to exercise a decisive influence on a legal entity directly, or indirectly through one or more intermediate legal entities;</w:t>
      </w:r>
    </w:p>
    <w:p w14:paraId="1FA59FDE" w14:textId="77777777" w:rsidR="00CB5EDF" w:rsidRPr="00744DCA" w:rsidRDefault="299C41F4" w:rsidP="00B91A8D">
      <w:pPr>
        <w:pStyle w:val="Point0"/>
        <w:rPr>
          <w:noProof/>
        </w:rPr>
      </w:pPr>
      <w:r>
        <w:rPr>
          <w:noProof/>
        </w:rPr>
        <w:t>(6)</w:t>
      </w:r>
      <w:r>
        <w:rPr>
          <w:noProof/>
        </w:rPr>
        <w:tab/>
      </w:r>
      <w:r w:rsidRPr="00744DCA">
        <w:rPr>
          <w:noProof/>
        </w:rPr>
        <w:t>‘classified information’ means information or material, in any form, the unauthorised disclosure of which could cause varying degrees of prejudice to the interests of the Union, or of one or more of the Member States, and which bears an EU classification marking or a corresponding classification marking, as established in the Agreement between the Member States of the European Union, meeting within the Council, regarding the protection of classified information exchanged in the interests of the European Union;</w:t>
      </w:r>
    </w:p>
    <w:p w14:paraId="2FF2CEAF" w14:textId="77777777" w:rsidR="00CB5EDF" w:rsidRPr="00744DCA" w:rsidRDefault="299C41F4" w:rsidP="00B91A8D">
      <w:pPr>
        <w:pStyle w:val="Point0"/>
        <w:rPr>
          <w:noProof/>
        </w:rPr>
      </w:pPr>
      <w:r>
        <w:rPr>
          <w:noProof/>
        </w:rPr>
        <w:t>(7)</w:t>
      </w:r>
      <w:r>
        <w:rPr>
          <w:noProof/>
        </w:rPr>
        <w:tab/>
      </w:r>
      <w:r w:rsidRPr="00744DCA">
        <w:rPr>
          <w:noProof/>
        </w:rPr>
        <w:t>‘defence products’ means any defence-related products as referred to in Article 2 of Directive 2009/43/EC;</w:t>
      </w:r>
    </w:p>
    <w:p w14:paraId="10EFCA8C" w14:textId="77777777" w:rsidR="00CB5EDF" w:rsidRPr="00744DCA" w:rsidRDefault="299C41F4" w:rsidP="00B91A8D">
      <w:pPr>
        <w:pStyle w:val="Point0"/>
        <w:rPr>
          <w:noProof/>
        </w:rPr>
      </w:pPr>
      <w:r>
        <w:rPr>
          <w:noProof/>
        </w:rPr>
        <w:t>(8)</w:t>
      </w:r>
      <w:r>
        <w:rPr>
          <w:noProof/>
        </w:rPr>
        <w:tab/>
      </w:r>
      <w:r w:rsidRPr="00744DCA">
        <w:rPr>
          <w:noProof/>
        </w:rPr>
        <w:t>‘executive management structure’ means a body of a legal entity, appointed in accordance with national law, and, where applicable, reporting to the chief executive officer, which is empowered to establish the legal entity’s strategy, objectives and overall direction, and which oversees and monitors management decision-making;</w:t>
      </w:r>
    </w:p>
    <w:p w14:paraId="5A3A0E76" w14:textId="0161C5F1" w:rsidR="00CB5EDF" w:rsidRPr="00744DCA" w:rsidRDefault="299C41F4" w:rsidP="00B91A8D">
      <w:pPr>
        <w:pStyle w:val="Point0"/>
        <w:rPr>
          <w:noProof/>
        </w:rPr>
      </w:pPr>
      <w:r>
        <w:rPr>
          <w:noProof/>
        </w:rPr>
        <w:t>(9)</w:t>
      </w:r>
      <w:r>
        <w:rPr>
          <w:noProof/>
        </w:rPr>
        <w:tab/>
      </w:r>
      <w:r w:rsidRPr="00744DCA">
        <w:rPr>
          <w:noProof/>
        </w:rPr>
        <w:t>‘</w:t>
      </w:r>
      <w:r w:rsidR="3D003384" w:rsidRPr="00744DCA">
        <w:rPr>
          <w:noProof/>
        </w:rPr>
        <w:t xml:space="preserve">legal </w:t>
      </w:r>
      <w:r w:rsidRPr="00744DCA">
        <w:rPr>
          <w:noProof/>
        </w:rPr>
        <w:t>entity’ means a legal person created and recognised as such under Union, national or international law, which has legal personality and the capacity to act in its own name, exercise rights and be subject to obligations, or an entity which does not have legal personality as referred to in Article 197(2)</w:t>
      </w:r>
      <w:r w:rsidR="00E74958" w:rsidRPr="00744DCA">
        <w:rPr>
          <w:noProof/>
        </w:rPr>
        <w:t>, point (c)</w:t>
      </w:r>
      <w:r w:rsidR="008B6BDF" w:rsidRPr="00744DCA">
        <w:rPr>
          <w:noProof/>
        </w:rPr>
        <w:t>,</w:t>
      </w:r>
      <w:r w:rsidRPr="00744DCA">
        <w:rPr>
          <w:noProof/>
        </w:rPr>
        <w:t xml:space="preserve"> of </w:t>
      </w:r>
      <w:r w:rsidR="2D9F10A6" w:rsidRPr="00744DCA">
        <w:rPr>
          <w:noProof/>
        </w:rPr>
        <w:t xml:space="preserve">the </w:t>
      </w:r>
      <w:r>
        <w:rPr>
          <w:noProof/>
        </w:rPr>
        <w:t>Regulation (EU, Euratom) No 2018/1046</w:t>
      </w:r>
      <w:r w:rsidRPr="00744DCA">
        <w:rPr>
          <w:noProof/>
        </w:rPr>
        <w:t>;</w:t>
      </w:r>
    </w:p>
    <w:p w14:paraId="0049A827" w14:textId="77777777" w:rsidR="00CB5EDF" w:rsidRPr="00744DCA" w:rsidRDefault="299C41F4" w:rsidP="00B91A8D">
      <w:pPr>
        <w:pStyle w:val="Point0"/>
        <w:rPr>
          <w:noProof/>
        </w:rPr>
      </w:pPr>
      <w:r>
        <w:rPr>
          <w:noProof/>
        </w:rPr>
        <w:t>(10)</w:t>
      </w:r>
      <w:r>
        <w:rPr>
          <w:noProof/>
        </w:rPr>
        <w:tab/>
      </w:r>
      <w:r w:rsidRPr="00744DCA">
        <w:rPr>
          <w:noProof/>
        </w:rPr>
        <w:t>‘</w:t>
      </w:r>
      <w:r w:rsidR="2B1E4853" w:rsidRPr="00744DCA">
        <w:rPr>
          <w:noProof/>
        </w:rPr>
        <w:t xml:space="preserve">defence </w:t>
      </w:r>
      <w:r w:rsidRPr="00744DCA">
        <w:rPr>
          <w:noProof/>
        </w:rPr>
        <w:t xml:space="preserve">innovation action' means an action primarily consisting of activities directly aiming to produce plans and arrangements or designs for new, altered or improved </w:t>
      </w:r>
      <w:r w:rsidR="09B2DF51" w:rsidRPr="00744DCA">
        <w:rPr>
          <w:noProof/>
        </w:rPr>
        <w:t xml:space="preserve">defence </w:t>
      </w:r>
      <w:r w:rsidRPr="00744DCA">
        <w:rPr>
          <w:noProof/>
        </w:rPr>
        <w:t>products, processes or services, possibly including prototyping, testing, demonstrating, piloting, large-scale product validation and market replication</w:t>
      </w:r>
    </w:p>
    <w:p w14:paraId="24C48722" w14:textId="77777777" w:rsidR="00D43A43" w:rsidRPr="00744DCA" w:rsidRDefault="3131A623" w:rsidP="00B91A8D">
      <w:pPr>
        <w:pStyle w:val="Point0"/>
        <w:rPr>
          <w:noProof/>
        </w:rPr>
      </w:pPr>
      <w:r>
        <w:rPr>
          <w:noProof/>
        </w:rPr>
        <w:t>(11)</w:t>
      </w:r>
      <w:r>
        <w:rPr>
          <w:noProof/>
        </w:rPr>
        <w:tab/>
      </w:r>
      <w:r w:rsidRPr="00744DCA">
        <w:rPr>
          <w:noProof/>
        </w:rPr>
        <w:t>‘</w:t>
      </w:r>
      <w:r w:rsidR="27CFB56B" w:rsidRPr="00744DCA">
        <w:rPr>
          <w:noProof/>
        </w:rPr>
        <w:t>middle capitalisation company’ or ‘mid-cap’ means an enterprise that is not a SME and that employs a maximum of 3 000 persons, where the headcount of staff is calculated in accordance with Articles 3 to 6 of the Annex to Recommendation 2003/361/EC</w:t>
      </w:r>
    </w:p>
    <w:p w14:paraId="2280E837" w14:textId="77777777" w:rsidR="00CB5EDF" w:rsidRPr="00744DCA" w:rsidRDefault="299C41F4" w:rsidP="00B91A8D">
      <w:pPr>
        <w:pStyle w:val="Point0"/>
        <w:rPr>
          <w:noProof/>
        </w:rPr>
      </w:pPr>
      <w:r>
        <w:rPr>
          <w:noProof/>
        </w:rPr>
        <w:t>(12)</w:t>
      </w:r>
      <w:r>
        <w:rPr>
          <w:noProof/>
        </w:rPr>
        <w:tab/>
      </w:r>
      <w:r w:rsidRPr="00744DCA">
        <w:rPr>
          <w:noProof/>
        </w:rPr>
        <w:t xml:space="preserve">‘non-associated third-country entity’ means a legal entity that is established in a non-associated third country or, </w:t>
      </w:r>
      <w:r w:rsidR="005326CD" w:rsidRPr="00744DCA">
        <w:rPr>
          <w:noProof/>
        </w:rPr>
        <w:t>a legal entity that</w:t>
      </w:r>
      <w:r w:rsidRPr="00744DCA">
        <w:rPr>
          <w:noProof/>
        </w:rPr>
        <w:t xml:space="preserve"> is established in the Union or in an associated country, </w:t>
      </w:r>
      <w:r w:rsidR="005326CD" w:rsidRPr="00744DCA">
        <w:rPr>
          <w:noProof/>
        </w:rPr>
        <w:t xml:space="preserve">but </w:t>
      </w:r>
      <w:r w:rsidRPr="00744DCA">
        <w:rPr>
          <w:noProof/>
        </w:rPr>
        <w:t>has its executive management structures in a non-associated third country;</w:t>
      </w:r>
    </w:p>
    <w:p w14:paraId="46594512" w14:textId="77777777" w:rsidR="002948F8" w:rsidRPr="00744DCA" w:rsidRDefault="6059A681" w:rsidP="00B91A8D">
      <w:pPr>
        <w:pStyle w:val="Point0"/>
        <w:rPr>
          <w:noProof/>
        </w:rPr>
      </w:pPr>
      <w:r>
        <w:rPr>
          <w:noProof/>
        </w:rPr>
        <w:t>(13)</w:t>
      </w:r>
      <w:r>
        <w:rPr>
          <w:noProof/>
        </w:rPr>
        <w:tab/>
      </w:r>
      <w:r w:rsidRPr="00744DCA">
        <w:rPr>
          <w:noProof/>
        </w:rPr>
        <w:t xml:space="preserve">‘off-take agreement’ means any contractual agreement between at least [three] Member States and at least one manufacturer of defence products containing either a commitment on </w:t>
      </w:r>
      <w:r w:rsidR="0BD74606" w:rsidRPr="00744DCA">
        <w:rPr>
          <w:noProof/>
        </w:rPr>
        <w:t xml:space="preserve">the </w:t>
      </w:r>
      <w:r w:rsidRPr="00744DCA">
        <w:rPr>
          <w:noProof/>
        </w:rPr>
        <w:t>Member States to procure a certain quantity of defence products over a certain period of time or a commitment on the manufacturer of defence products to provide the Member States with the option to do so.</w:t>
      </w:r>
    </w:p>
    <w:p w14:paraId="69BB9B21" w14:textId="77777777" w:rsidR="00CB5EDF" w:rsidRPr="00744DCA" w:rsidRDefault="299C41F4" w:rsidP="00B91A8D">
      <w:pPr>
        <w:pStyle w:val="Point0"/>
        <w:rPr>
          <w:noProof/>
        </w:rPr>
      </w:pPr>
      <w:r>
        <w:rPr>
          <w:noProof/>
        </w:rPr>
        <w:t>(14)</w:t>
      </w:r>
      <w:r>
        <w:rPr>
          <w:noProof/>
        </w:rPr>
        <w:tab/>
      </w:r>
      <w:r w:rsidRPr="00744DCA">
        <w:rPr>
          <w:noProof/>
        </w:rPr>
        <w:t>‘procurement agent’ means a contracting authority as defined in Article 2(1)</w:t>
      </w:r>
      <w:r w:rsidR="007814DB" w:rsidRPr="00744DCA">
        <w:rPr>
          <w:noProof/>
        </w:rPr>
        <w:t>, point (1),</w:t>
      </w:r>
      <w:r w:rsidRPr="00744DCA">
        <w:rPr>
          <w:noProof/>
        </w:rPr>
        <w:t xml:space="preserve"> of Directive 2014/24/EU and Article 3(1) of Directive 2014/25/EU established in a Member State or an associated country, the European Defence Agency</w:t>
      </w:r>
      <w:r w:rsidR="5F41CA33" w:rsidRPr="00744DCA">
        <w:rPr>
          <w:noProof/>
        </w:rPr>
        <w:t xml:space="preserve">, </w:t>
      </w:r>
      <w:r w:rsidR="30322D18" w:rsidRPr="00744DCA">
        <w:rPr>
          <w:noProof/>
        </w:rPr>
        <w:t xml:space="preserve">a </w:t>
      </w:r>
      <w:r w:rsidR="0C2A7F47" w:rsidRPr="00744DCA">
        <w:rPr>
          <w:noProof/>
        </w:rPr>
        <w:t xml:space="preserve">Structure for </w:t>
      </w:r>
      <w:r w:rsidR="30322D18" w:rsidRPr="00744DCA">
        <w:rPr>
          <w:noProof/>
        </w:rPr>
        <w:t xml:space="preserve">European Armament Programme </w:t>
      </w:r>
      <w:r w:rsidRPr="00744DCA">
        <w:rPr>
          <w:noProof/>
        </w:rPr>
        <w:t>or an international organisation that is designated by Member States</w:t>
      </w:r>
      <w:r w:rsidR="3EE77F46" w:rsidRPr="00744DCA">
        <w:rPr>
          <w:noProof/>
        </w:rPr>
        <w:t>,</w:t>
      </w:r>
      <w:r w:rsidRPr="00744DCA">
        <w:rPr>
          <w:noProof/>
        </w:rPr>
        <w:t xml:space="preserve"> associated countries</w:t>
      </w:r>
      <w:r w:rsidR="3EE77F46" w:rsidRPr="00744DCA">
        <w:rPr>
          <w:noProof/>
        </w:rPr>
        <w:t xml:space="preserve"> </w:t>
      </w:r>
      <w:r w:rsidR="5FA2A5F7" w:rsidRPr="00744DCA">
        <w:rPr>
          <w:noProof/>
        </w:rPr>
        <w:t>or Ukraine</w:t>
      </w:r>
      <w:r w:rsidRPr="00744DCA">
        <w:rPr>
          <w:noProof/>
        </w:rPr>
        <w:t xml:space="preserve"> to conduct a common procurement on their behalf;</w:t>
      </w:r>
    </w:p>
    <w:p w14:paraId="5D3B27CA" w14:textId="77777777" w:rsidR="00CB5EDF" w:rsidRPr="00744DCA" w:rsidRDefault="299C41F4" w:rsidP="00B91A8D">
      <w:pPr>
        <w:pStyle w:val="Point0"/>
        <w:rPr>
          <w:noProof/>
        </w:rPr>
      </w:pPr>
      <w:r>
        <w:rPr>
          <w:noProof/>
        </w:rPr>
        <w:t>(15)</w:t>
      </w:r>
      <w:r>
        <w:rPr>
          <w:noProof/>
        </w:rPr>
        <w:tab/>
      </w:r>
      <w:r w:rsidRPr="00744DCA">
        <w:rPr>
          <w:noProof/>
        </w:rPr>
        <w:t>‘lead time’ means the period of time between a purchase order being placed and the manufacturer completing the order;</w:t>
      </w:r>
    </w:p>
    <w:p w14:paraId="41725250" w14:textId="77777777" w:rsidR="00CB5EDF" w:rsidRPr="00744DCA" w:rsidRDefault="299C41F4" w:rsidP="00B91A8D">
      <w:pPr>
        <w:pStyle w:val="Point0"/>
        <w:rPr>
          <w:noProof/>
        </w:rPr>
      </w:pPr>
      <w:r>
        <w:rPr>
          <w:noProof/>
        </w:rPr>
        <w:t>(16)</w:t>
      </w:r>
      <w:r>
        <w:rPr>
          <w:noProof/>
        </w:rPr>
        <w:tab/>
      </w:r>
      <w:r w:rsidRPr="00744DCA">
        <w:rPr>
          <w:noProof/>
        </w:rPr>
        <w:t>‘raw materials’ means the materials required to produce defence products;</w:t>
      </w:r>
    </w:p>
    <w:p w14:paraId="59CCB069" w14:textId="77777777" w:rsidR="004F1403" w:rsidRPr="00744DCA" w:rsidRDefault="004F1403" w:rsidP="00B91A8D">
      <w:pPr>
        <w:pStyle w:val="Point0"/>
        <w:rPr>
          <w:noProof/>
        </w:rPr>
      </w:pPr>
      <w:r>
        <w:rPr>
          <w:noProof/>
        </w:rPr>
        <w:t>(17)</w:t>
      </w:r>
      <w:r>
        <w:rPr>
          <w:noProof/>
        </w:rPr>
        <w:tab/>
      </w:r>
      <w:r w:rsidRPr="00744DCA">
        <w:rPr>
          <w:noProof/>
        </w:rPr>
        <w:t>‘</w:t>
      </w:r>
      <w:r w:rsidR="002948F8" w:rsidRPr="00744DCA">
        <w:rPr>
          <w:noProof/>
        </w:rPr>
        <w:t>s</w:t>
      </w:r>
      <w:r w:rsidRPr="00744DCA">
        <w:rPr>
          <w:noProof/>
        </w:rPr>
        <w:t xml:space="preserve">eal of </w:t>
      </w:r>
      <w:r w:rsidR="0068077E" w:rsidRPr="00744DCA">
        <w:rPr>
          <w:noProof/>
        </w:rPr>
        <w:t>e</w:t>
      </w:r>
      <w:r w:rsidRPr="00744DCA">
        <w:rPr>
          <w:noProof/>
        </w:rPr>
        <w:t>xcellence’ means a quality label which shows that a proposal submitted to a call for proposals under the Instrument has passed all of the evaluation thresholds set out in the work programme, but could not be funded due to a lack of budget available for that call for proposals in the work programme, and might receive support from other Union or national sources of funding; </w:t>
      </w:r>
    </w:p>
    <w:p w14:paraId="1C9894D2" w14:textId="77777777" w:rsidR="00CB5EDF" w:rsidRPr="00744DCA" w:rsidRDefault="299C41F4" w:rsidP="00BF01A3">
      <w:pPr>
        <w:pStyle w:val="Point0"/>
        <w:rPr>
          <w:noProof/>
        </w:rPr>
      </w:pPr>
      <w:r>
        <w:rPr>
          <w:noProof/>
        </w:rPr>
        <w:t>(18)</w:t>
      </w:r>
      <w:r>
        <w:rPr>
          <w:noProof/>
        </w:rPr>
        <w:tab/>
      </w:r>
      <w:r w:rsidRPr="00744DCA">
        <w:rPr>
          <w:noProof/>
        </w:rPr>
        <w:t>‘security crisis’ means</w:t>
      </w:r>
      <w:r w:rsidRPr="00744DCA">
        <w:rPr>
          <w:noProof/>
          <w:color w:val="333333"/>
          <w:sz w:val="27"/>
          <w:szCs w:val="27"/>
          <w:shd w:val="clear" w:color="auto" w:fill="FFFFFF"/>
        </w:rPr>
        <w:t xml:space="preserve"> </w:t>
      </w:r>
      <w:r w:rsidRPr="00744DCA">
        <w:rPr>
          <w:noProof/>
        </w:rPr>
        <w:t>any situation in a Member State, an associated third country or non-associated third country in which a harmful event has occurred</w:t>
      </w:r>
      <w:r w:rsidR="00BF01A3" w:rsidRPr="00744DCA">
        <w:rPr>
          <w:noProof/>
        </w:rPr>
        <w:t xml:space="preserve"> or is deemed to be impending</w:t>
      </w:r>
      <w:r w:rsidRPr="00744DCA">
        <w:rPr>
          <w:noProof/>
        </w:rPr>
        <w:t xml:space="preserve"> which clearly exceeds the dimensions of harmful events in everyday life and which substantially endangers or restricts the life and health of people, or requires measures in order to supply the population with necessities, or has a substantial impact on property values</w:t>
      </w:r>
      <w:r w:rsidR="00825894" w:rsidRPr="00744DCA">
        <w:rPr>
          <w:noProof/>
        </w:rPr>
        <w:t xml:space="preserve">, including </w:t>
      </w:r>
      <w:r w:rsidRPr="00744DCA">
        <w:rPr>
          <w:noProof/>
        </w:rPr>
        <w:t xml:space="preserve"> armed conflicts and wars;</w:t>
      </w:r>
    </w:p>
    <w:p w14:paraId="24920C9D" w14:textId="77777777" w:rsidR="00CB5EDF" w:rsidRPr="00744DCA" w:rsidRDefault="299C41F4" w:rsidP="00B91A8D">
      <w:pPr>
        <w:pStyle w:val="Point0"/>
        <w:rPr>
          <w:noProof/>
        </w:rPr>
      </w:pPr>
      <w:r>
        <w:rPr>
          <w:noProof/>
        </w:rPr>
        <w:t>(19)</w:t>
      </w:r>
      <w:r>
        <w:rPr>
          <w:noProof/>
        </w:rPr>
        <w:tab/>
      </w:r>
      <w:r w:rsidRPr="00744DCA">
        <w:rPr>
          <w:noProof/>
        </w:rPr>
        <w:t>‘sensitive information’ means information and data, including classified information, that is to be protected from unauthorised access or disclosure because of obligations laid down in Union or national law or in order to safeguard the privacy or security of a natural or legal person;</w:t>
      </w:r>
    </w:p>
    <w:p w14:paraId="11FAB216" w14:textId="77777777" w:rsidR="00CB5EDF" w:rsidRPr="00744DCA" w:rsidRDefault="299C41F4" w:rsidP="00B91A8D">
      <w:pPr>
        <w:pStyle w:val="Point0"/>
        <w:rPr>
          <w:noProof/>
        </w:rPr>
      </w:pPr>
      <w:r>
        <w:rPr>
          <w:noProof/>
        </w:rPr>
        <w:t>(20)</w:t>
      </w:r>
      <w:r>
        <w:rPr>
          <w:noProof/>
        </w:rPr>
        <w:tab/>
      </w:r>
      <w:r w:rsidRPr="00744DCA">
        <w:rPr>
          <w:noProof/>
        </w:rPr>
        <w:t>‘small and medium-sized enterprises’ or ‘SMEs’ means small and medium-sized enterprises as defined in Article 2 of the Annex to Commission Recommendation 2003/361/EC;</w:t>
      </w:r>
    </w:p>
    <w:p w14:paraId="598EC1AB" w14:textId="77777777" w:rsidR="00CB5EDF" w:rsidRPr="00744DCA" w:rsidRDefault="299C41F4" w:rsidP="00B91A8D">
      <w:pPr>
        <w:pStyle w:val="Point0"/>
        <w:rPr>
          <w:noProof/>
        </w:rPr>
      </w:pPr>
      <w:r>
        <w:rPr>
          <w:noProof/>
        </w:rPr>
        <w:t>(21)</w:t>
      </w:r>
      <w:r>
        <w:rPr>
          <w:noProof/>
        </w:rPr>
        <w:tab/>
      </w:r>
      <w:r w:rsidRPr="00744DCA">
        <w:rPr>
          <w:noProof/>
        </w:rPr>
        <w:t>'subcontractors in the common procurement’ means any legal entity which provides critical inputs that possess unique attributes essential for the functioning of a product and which is allocated at least 15 % of the value of the contract.</w:t>
      </w:r>
    </w:p>
    <w:p w14:paraId="54A8A87E" w14:textId="77777777" w:rsidR="00CB5EDF" w:rsidRPr="00744DCA" w:rsidRDefault="299C41F4" w:rsidP="00B91A8D">
      <w:pPr>
        <w:pStyle w:val="Point0"/>
        <w:rPr>
          <w:noProof/>
        </w:rPr>
      </w:pPr>
      <w:r>
        <w:rPr>
          <w:noProof/>
        </w:rPr>
        <w:t>(22)</w:t>
      </w:r>
      <w:r>
        <w:rPr>
          <w:noProof/>
        </w:rPr>
        <w:tab/>
      </w:r>
      <w:r w:rsidRPr="00744DCA">
        <w:rPr>
          <w:noProof/>
        </w:rPr>
        <w:t>‘small middle capitalisation company’ or ‘small mid-cap’ means an enterprise that is not a SME and</w:t>
      </w:r>
      <w:r w:rsidR="60884CB6" w:rsidRPr="00744DCA">
        <w:rPr>
          <w:noProof/>
        </w:rPr>
        <w:t> whose number of employees does not exceed </w:t>
      </w:r>
      <w:r w:rsidRPr="00744DCA">
        <w:rPr>
          <w:noProof/>
        </w:rPr>
        <w:t>499, calculated in accordance with Articles 3 to 6 of the Annex to Recommendation 2003/361/EC</w:t>
      </w:r>
      <w:r w:rsidR="647C7879" w:rsidRPr="00744DCA">
        <w:rPr>
          <w:noProof/>
        </w:rPr>
        <w:t>,</w:t>
      </w:r>
      <w:r w:rsidR="647C7879" w:rsidRPr="00744DCA">
        <w:rPr>
          <w:noProof/>
          <w:color w:val="333333"/>
          <w:sz w:val="27"/>
          <w:szCs w:val="27"/>
          <w:shd w:val="clear" w:color="auto" w:fill="FFFFFF"/>
        </w:rPr>
        <w:t xml:space="preserve"> </w:t>
      </w:r>
      <w:r w:rsidR="647C7879" w:rsidRPr="00744DCA">
        <w:rPr>
          <w:noProof/>
        </w:rPr>
        <w:t>the annual turnover of which does not exceed EUR 100 million or the annual balance sheet of which does not exceed EUR 86 million</w:t>
      </w:r>
      <w:r w:rsidRPr="00744DCA">
        <w:rPr>
          <w:noProof/>
        </w:rPr>
        <w:t>;</w:t>
      </w:r>
    </w:p>
    <w:p w14:paraId="6554CEC6" w14:textId="77777777" w:rsidR="00CB5EDF" w:rsidRPr="00744DCA" w:rsidRDefault="299C41F4" w:rsidP="00B91A8D">
      <w:pPr>
        <w:pStyle w:val="Point0"/>
        <w:rPr>
          <w:noProof/>
        </w:rPr>
      </w:pPr>
      <w:r>
        <w:rPr>
          <w:noProof/>
        </w:rPr>
        <w:t>(23)</w:t>
      </w:r>
      <w:r>
        <w:rPr>
          <w:noProof/>
        </w:rPr>
        <w:tab/>
      </w:r>
      <w:r w:rsidRPr="00744DCA">
        <w:rPr>
          <w:noProof/>
        </w:rPr>
        <w:t xml:space="preserve">‘crisis-relevant products’ means defence products or key components or raw materials thereof or any products or services critical to their production that have been identified as being seriously affected by </w:t>
      </w:r>
      <w:r w:rsidR="00504797" w:rsidRPr="00744DCA">
        <w:rPr>
          <w:noProof/>
        </w:rPr>
        <w:t xml:space="preserve">a </w:t>
      </w:r>
      <w:r w:rsidRPr="00744DCA">
        <w:rPr>
          <w:noProof/>
        </w:rPr>
        <w:t xml:space="preserve">disruption or potential disruption of the functioning of the </w:t>
      </w:r>
      <w:r w:rsidR="008D5B1B" w:rsidRPr="00744DCA">
        <w:rPr>
          <w:noProof/>
        </w:rPr>
        <w:t>internal market</w:t>
      </w:r>
      <w:r w:rsidRPr="00744DCA">
        <w:rPr>
          <w:noProof/>
        </w:rPr>
        <w:t xml:space="preserve"> and its supply chains resulting in actual or potential significant shortages.</w:t>
      </w:r>
    </w:p>
    <w:p w14:paraId="018D7C71" w14:textId="77777777" w:rsidR="00DA58F7" w:rsidRPr="00744DCA" w:rsidRDefault="00DA58F7" w:rsidP="00DA58F7">
      <w:pPr>
        <w:pStyle w:val="ChapterTitle"/>
        <w:rPr>
          <w:noProof/>
        </w:rPr>
      </w:pPr>
      <w:r w:rsidRPr="00744DCA">
        <w:rPr>
          <w:noProof/>
        </w:rPr>
        <w:t>Chapter II</w:t>
      </w:r>
    </w:p>
    <w:p w14:paraId="2BEBADDB" w14:textId="77777777" w:rsidR="00DA58F7" w:rsidRPr="00744DCA" w:rsidRDefault="00DA58F7" w:rsidP="00DA58F7">
      <w:pPr>
        <w:pStyle w:val="ChapterTitle"/>
        <w:rPr>
          <w:noProof/>
        </w:rPr>
      </w:pPr>
      <w:r w:rsidRPr="00744DCA">
        <w:rPr>
          <w:noProof/>
        </w:rPr>
        <w:t>Section 1: General provisions applicable to the Programme and to the Ukraine Support Instrument</w:t>
      </w:r>
    </w:p>
    <w:p w14:paraId="0B7963E2" w14:textId="77777777" w:rsidR="00CB5EDF" w:rsidRDefault="00CB5EDF" w:rsidP="00CB5EDF">
      <w:pPr>
        <w:pStyle w:val="Titrearticle"/>
        <w:rPr>
          <w:noProof/>
        </w:rPr>
      </w:pPr>
      <w:r w:rsidRPr="00744DCA">
        <w:rPr>
          <w:noProof/>
        </w:rPr>
        <w:t>Article 3</w:t>
      </w:r>
    </w:p>
    <w:p w14:paraId="42713FFB" w14:textId="77777777" w:rsidR="006827DE" w:rsidRPr="00744DCA" w:rsidRDefault="006827DE" w:rsidP="006827DE">
      <w:pPr>
        <w:pStyle w:val="Titrearticle"/>
        <w:spacing w:before="0"/>
        <w:rPr>
          <w:b/>
          <w:noProof/>
        </w:rPr>
      </w:pPr>
      <w:r>
        <w:rPr>
          <w:b/>
          <w:i w:val="0"/>
          <w:noProof/>
        </w:rPr>
        <w:t>Use of financing not linked to costs</w:t>
      </w:r>
    </w:p>
    <w:p w14:paraId="0DB04858" w14:textId="77777777" w:rsidR="006827DE" w:rsidRPr="00744DCA" w:rsidRDefault="006827DE" w:rsidP="006827DE">
      <w:pPr>
        <w:pStyle w:val="ManualNumPar1"/>
        <w:rPr>
          <w:noProof/>
          <w:lang w:val="en-IE"/>
        </w:rPr>
      </w:pPr>
      <w:r>
        <w:rPr>
          <w:noProof/>
        </w:rPr>
        <w:t>1.</w:t>
      </w:r>
      <w:r>
        <w:rPr>
          <w:noProof/>
        </w:rPr>
        <w:tab/>
      </w:r>
      <w:r>
        <w:rPr>
          <w:noProof/>
          <w:lang w:val="en-IE"/>
        </w:rPr>
        <w:t xml:space="preserve">Grants may take the form of financing not linked to costs, pursuant to Article 180(3) of </w:t>
      </w:r>
      <w:r>
        <w:rPr>
          <w:noProof/>
        </w:rPr>
        <w:t>Regulation (EU, Euratom) 2018/1046</w:t>
      </w:r>
      <w:r>
        <w:rPr>
          <w:noProof/>
          <w:lang w:val="en-IE"/>
        </w:rPr>
        <w:t>.</w:t>
      </w:r>
    </w:p>
    <w:p w14:paraId="3ED4085F" w14:textId="77777777" w:rsidR="006827DE" w:rsidRPr="00744DCA" w:rsidRDefault="006827DE" w:rsidP="006827DE">
      <w:pPr>
        <w:pStyle w:val="ManualNumPar1"/>
        <w:rPr>
          <w:noProof/>
          <w:lang w:val="en-IE"/>
        </w:rPr>
      </w:pPr>
      <w:r>
        <w:rPr>
          <w:noProof/>
        </w:rPr>
        <w:t>2.</w:t>
      </w:r>
      <w:r>
        <w:rPr>
          <w:noProof/>
        </w:rPr>
        <w:tab/>
      </w:r>
      <w:r>
        <w:rPr>
          <w:noProof/>
          <w:lang w:val="en-IE"/>
        </w:rPr>
        <w:t>Where the Union grant takes the form of financing not linked to costs for actions reinforcing the EDTIB, the level of the Union contribution attributed to each action may be defined on the basis of factors such as:</w:t>
      </w:r>
    </w:p>
    <w:p w14:paraId="67520B63" w14:textId="77777777" w:rsidR="006827DE" w:rsidRPr="00744DCA" w:rsidRDefault="006827DE" w:rsidP="006827DE">
      <w:pPr>
        <w:pStyle w:val="Point1"/>
        <w:rPr>
          <w:noProof/>
          <w:lang w:val="en-IE"/>
        </w:rPr>
      </w:pPr>
      <w:r>
        <w:rPr>
          <w:noProof/>
        </w:rPr>
        <w:t>(a)</w:t>
      </w:r>
      <w:r>
        <w:rPr>
          <w:noProof/>
        </w:rPr>
        <w:tab/>
      </w:r>
      <w:r>
        <w:rPr>
          <w:noProof/>
          <w:lang w:val="en-IE"/>
        </w:rPr>
        <w:t>the complexity of the common procurement, for which a proportion of the estimated value of the common procurement contract and the experience gained in similar actions may serve as an initial proxy;</w:t>
      </w:r>
    </w:p>
    <w:p w14:paraId="518BBDDD" w14:textId="77777777" w:rsidR="006827DE" w:rsidRPr="00744DCA" w:rsidRDefault="006827DE" w:rsidP="006827DE">
      <w:pPr>
        <w:pStyle w:val="Point1"/>
        <w:rPr>
          <w:noProof/>
        </w:rPr>
      </w:pPr>
      <w:r>
        <w:rPr>
          <w:noProof/>
        </w:rPr>
        <w:t>(b)</w:t>
      </w:r>
      <w:r>
        <w:rPr>
          <w:noProof/>
        </w:rPr>
        <w:tab/>
      </w:r>
      <w:r>
        <w:rPr>
          <w:noProof/>
          <w:lang w:val="en-IE"/>
        </w:rPr>
        <w:t xml:space="preserve">the characteristics of the cooperation which are likely to give rise to greater interoperability outcomes and long-term investment signals to industry, in particular where the common procurement </w:t>
      </w:r>
      <w:r>
        <w:rPr>
          <w:noProof/>
        </w:rPr>
        <w:t>covers activities that would be eligible for funding from the Union budget, e.g. research and development, testing and certification, initial production or in-service support activities;</w:t>
      </w:r>
    </w:p>
    <w:p w14:paraId="78FFAC83" w14:textId="77777777" w:rsidR="006827DE" w:rsidRPr="00744DCA" w:rsidRDefault="006827DE" w:rsidP="006827DE">
      <w:pPr>
        <w:pStyle w:val="Point1"/>
        <w:rPr>
          <w:noProof/>
          <w:lang w:val="en-IE"/>
        </w:rPr>
      </w:pPr>
      <w:r>
        <w:rPr>
          <w:noProof/>
        </w:rPr>
        <w:t>(c)</w:t>
      </w:r>
      <w:r>
        <w:rPr>
          <w:noProof/>
        </w:rPr>
        <w:tab/>
      </w:r>
      <w:r>
        <w:rPr>
          <w:noProof/>
          <w:lang w:val="en-IE"/>
        </w:rPr>
        <w:t>the number of participating Member States and associated countries or the inclusion of additional Member States or associated countries in existing cooperations;</w:t>
      </w:r>
    </w:p>
    <w:p w14:paraId="038A06A5" w14:textId="77777777" w:rsidR="006827DE" w:rsidRPr="00744DCA" w:rsidRDefault="006827DE" w:rsidP="006827DE">
      <w:pPr>
        <w:pStyle w:val="Point1"/>
        <w:rPr>
          <w:noProof/>
        </w:rPr>
      </w:pPr>
      <w:r>
        <w:rPr>
          <w:noProof/>
        </w:rPr>
        <w:t>(d)</w:t>
      </w:r>
      <w:r>
        <w:rPr>
          <w:noProof/>
        </w:rPr>
        <w:tab/>
        <w:t>the effort linked to ramp-up of necessary manufacturing capacities;</w:t>
      </w:r>
    </w:p>
    <w:p w14:paraId="612D8E87" w14:textId="77777777" w:rsidR="006827DE" w:rsidRPr="00744DCA" w:rsidRDefault="006827DE" w:rsidP="006827DE">
      <w:pPr>
        <w:pStyle w:val="Point1"/>
        <w:rPr>
          <w:noProof/>
        </w:rPr>
      </w:pPr>
      <w:r>
        <w:rPr>
          <w:noProof/>
        </w:rPr>
        <w:t>(e)</w:t>
      </w:r>
      <w:r>
        <w:rPr>
          <w:noProof/>
        </w:rPr>
        <w:tab/>
        <w:t>the procurement of additional quantities for other Member States (defence readiness pool).</w:t>
      </w:r>
    </w:p>
    <w:p w14:paraId="2BC1BFCA" w14:textId="77777777" w:rsidR="006827DE" w:rsidRPr="00744DCA" w:rsidRDefault="006827DE" w:rsidP="006827DE">
      <w:pPr>
        <w:pStyle w:val="ManualNumPar1"/>
        <w:rPr>
          <w:noProof/>
        </w:rPr>
      </w:pPr>
      <w:r>
        <w:rPr>
          <w:noProof/>
        </w:rPr>
        <w:t>3.</w:t>
      </w:r>
      <w:r>
        <w:rPr>
          <w:noProof/>
        </w:rPr>
        <w:tab/>
      </w:r>
      <w:r>
        <w:rPr>
          <w:noProof/>
          <w:lang w:val="en-IE"/>
        </w:rPr>
        <w:t>Where</w:t>
      </w:r>
      <w:r>
        <w:rPr>
          <w:noProof/>
        </w:rPr>
        <w:t xml:space="preserve"> the Union grant takes the form of financing not linked to costs for actions reinforcing the Ukrainian DTIB, the level of Union contribution may in addition to the factors referred to in paragraph 2, be based on factors such as: </w:t>
      </w:r>
    </w:p>
    <w:p w14:paraId="42E76DB1" w14:textId="77777777" w:rsidR="006827DE" w:rsidRPr="00744DCA" w:rsidRDefault="006827DE" w:rsidP="006827DE">
      <w:pPr>
        <w:pStyle w:val="Point1"/>
        <w:rPr>
          <w:noProof/>
        </w:rPr>
      </w:pPr>
      <w:r>
        <w:rPr>
          <w:noProof/>
        </w:rPr>
        <w:t>(a)</w:t>
      </w:r>
      <w:r>
        <w:rPr>
          <w:noProof/>
        </w:rPr>
        <w:tab/>
        <w:t>the complexity of the Ukraine accession process, including structural reforms and measures to promote convergence with the Union ‘acquis’;</w:t>
      </w:r>
    </w:p>
    <w:p w14:paraId="4367F9D0" w14:textId="77777777" w:rsidR="006827DE" w:rsidRPr="00744DCA" w:rsidRDefault="006827DE" w:rsidP="006827DE">
      <w:pPr>
        <w:pStyle w:val="Point1"/>
        <w:rPr>
          <w:noProof/>
        </w:rPr>
      </w:pPr>
      <w:r>
        <w:rPr>
          <w:noProof/>
        </w:rPr>
        <w:t>(b)</w:t>
      </w:r>
      <w:r>
        <w:rPr>
          <w:noProof/>
        </w:rPr>
        <w:tab/>
        <w:t>the efforts of adapting the Ukrainian defence procurement processes and the environment for the Ukrainian defence industry, including to meet NATO standards;</w:t>
      </w:r>
    </w:p>
    <w:p w14:paraId="06E78A97" w14:textId="77777777" w:rsidR="006827DE" w:rsidRPr="00744DCA" w:rsidRDefault="006827DE" w:rsidP="006827DE">
      <w:pPr>
        <w:pStyle w:val="Point1"/>
        <w:rPr>
          <w:noProof/>
        </w:rPr>
      </w:pPr>
      <w:r>
        <w:rPr>
          <w:noProof/>
        </w:rPr>
        <w:t>(c)</w:t>
      </w:r>
      <w:r>
        <w:rPr>
          <w:noProof/>
        </w:rPr>
        <w:tab/>
        <w:t>the efforts and risks associated with the ongoing war of aggression, taking into account the need to rebuild and modernise infrastructure damaged by the war in a resilient way, and, where relevant, by appropriate measures to avoid, prevent or reduce and, if possible, offset these effects.</w:t>
      </w:r>
    </w:p>
    <w:p w14:paraId="0D9A286C" w14:textId="49579CCA" w:rsidR="00C232D3" w:rsidRDefault="006827DE">
      <w:pPr>
        <w:pStyle w:val="Titrearticle"/>
        <w:rPr>
          <w:noProof/>
        </w:rPr>
      </w:pPr>
      <w:r w:rsidRPr="00744DCA">
        <w:rPr>
          <w:noProof/>
        </w:rPr>
        <w:t>Article 4</w:t>
      </w:r>
    </w:p>
    <w:p w14:paraId="3024D8E3" w14:textId="77777777" w:rsidR="00CB5EDF" w:rsidRPr="00744DCA" w:rsidRDefault="00CB5EDF" w:rsidP="00CB5EDF">
      <w:pPr>
        <w:pStyle w:val="Titrearticle"/>
        <w:spacing w:before="0"/>
        <w:rPr>
          <w:b/>
          <w:i w:val="0"/>
          <w:noProof/>
        </w:rPr>
      </w:pPr>
      <w:r w:rsidRPr="00744DCA">
        <w:rPr>
          <w:b/>
          <w:i w:val="0"/>
          <w:noProof/>
        </w:rPr>
        <w:t xml:space="preserve">Objectives </w:t>
      </w:r>
    </w:p>
    <w:p w14:paraId="10A15A34" w14:textId="77777777" w:rsidR="00CB5EDF" w:rsidRPr="00744DCA" w:rsidRDefault="00CB5EDF" w:rsidP="00B2056B">
      <w:pPr>
        <w:pStyle w:val="ManualNumPar1"/>
        <w:rPr>
          <w:noProof/>
        </w:rPr>
      </w:pPr>
      <w:r>
        <w:rPr>
          <w:noProof/>
        </w:rPr>
        <w:t>1.</w:t>
      </w:r>
      <w:r>
        <w:rPr>
          <w:noProof/>
        </w:rPr>
        <w:tab/>
      </w:r>
      <w:r w:rsidRPr="00744DCA">
        <w:rPr>
          <w:noProof/>
        </w:rPr>
        <w:t xml:space="preserve">The Programme </w:t>
      </w:r>
      <w:r w:rsidR="000268B4" w:rsidRPr="00744DCA">
        <w:rPr>
          <w:noProof/>
        </w:rPr>
        <w:t>and the Ukraine Support Instrument</w:t>
      </w:r>
      <w:r w:rsidRPr="00744DCA">
        <w:rPr>
          <w:noProof/>
        </w:rPr>
        <w:t xml:space="preserve"> aim at increasing the defence industrial readiness of the EDTIB and of the Ukrainian DTIB in particular through: </w:t>
      </w:r>
    </w:p>
    <w:p w14:paraId="190E3949" w14:textId="36569A11" w:rsidR="00CB5EDF" w:rsidRPr="00744DCA" w:rsidRDefault="008D5B1B" w:rsidP="00B91A8D">
      <w:pPr>
        <w:pStyle w:val="Point1"/>
        <w:rPr>
          <w:noProof/>
        </w:rPr>
      </w:pPr>
      <w:r>
        <w:rPr>
          <w:noProof/>
        </w:rPr>
        <w:t>(a)</w:t>
      </w:r>
      <w:r>
        <w:rPr>
          <w:noProof/>
        </w:rPr>
        <w:tab/>
      </w:r>
      <w:r w:rsidRPr="00744DCA">
        <w:rPr>
          <w:noProof/>
        </w:rPr>
        <w:t>i</w:t>
      </w:r>
      <w:r w:rsidR="00CB5EDF" w:rsidRPr="00744DCA">
        <w:rPr>
          <w:noProof/>
        </w:rPr>
        <w:t xml:space="preserve">nitiating and speeding up the adjustment of industry to structural changes, including through the creation and ramp-up of its manufacturing capacities and the opening of the supply chains for cross-border cooperation </w:t>
      </w:r>
      <w:r>
        <w:rPr>
          <w:noProof/>
          <w:lang w:val="en-IE"/>
        </w:rPr>
        <w:t xml:space="preserve">and effective availability and supply </w:t>
      </w:r>
      <w:r w:rsidR="00CB5EDF" w:rsidRPr="00744DCA">
        <w:rPr>
          <w:noProof/>
        </w:rPr>
        <w:t>throughout the Union, involving in particular, to a significant extent, SMEs</w:t>
      </w:r>
      <w:r w:rsidR="00D43A43" w:rsidRPr="00744DCA">
        <w:rPr>
          <w:noProof/>
        </w:rPr>
        <w:t xml:space="preserve">, </w:t>
      </w:r>
      <w:r w:rsidR="00CB5EDF" w:rsidRPr="00744DCA">
        <w:rPr>
          <w:noProof/>
        </w:rPr>
        <w:t>small mid-caps</w:t>
      </w:r>
      <w:r w:rsidR="00D43A43" w:rsidRPr="00744DCA">
        <w:rPr>
          <w:noProof/>
        </w:rPr>
        <w:t xml:space="preserve"> and other mid-caps</w:t>
      </w:r>
      <w:r w:rsidR="00CB5EDF" w:rsidRPr="00744DCA">
        <w:rPr>
          <w:noProof/>
        </w:rPr>
        <w:t xml:space="preserve">; </w:t>
      </w:r>
    </w:p>
    <w:p w14:paraId="51B8686E" w14:textId="77777777" w:rsidR="00CB5EDF" w:rsidRPr="00744DCA" w:rsidRDefault="00CB5EDF" w:rsidP="00CB5EDF">
      <w:pPr>
        <w:pStyle w:val="Point1"/>
        <w:rPr>
          <w:noProof/>
        </w:rPr>
      </w:pPr>
      <w:r>
        <w:rPr>
          <w:noProof/>
        </w:rPr>
        <w:t>(b)</w:t>
      </w:r>
      <w:r>
        <w:rPr>
          <w:noProof/>
        </w:rPr>
        <w:tab/>
      </w:r>
      <w:r w:rsidRPr="00744DCA">
        <w:rPr>
          <w:noProof/>
        </w:rPr>
        <w:t>incentivising cooperation in defence procurement in order to contribute to solidarity, prevent crowding-out effects, increase the effectiveness of public spending and reduce excessive fragmentation, ultimately leading to an increase in the standardisation of defence systems and greater interoperability</w:t>
      </w:r>
      <w:r w:rsidR="005E68E9" w:rsidRPr="00744DCA">
        <w:rPr>
          <w:noProof/>
        </w:rPr>
        <w:t>.</w:t>
      </w:r>
    </w:p>
    <w:p w14:paraId="2A8B25AB" w14:textId="77777777" w:rsidR="00CB5EDF" w:rsidRPr="00744DCA" w:rsidRDefault="005E68E9" w:rsidP="00FA1F34">
      <w:pPr>
        <w:pStyle w:val="ManualNumPar1"/>
        <w:rPr>
          <w:noProof/>
        </w:rPr>
      </w:pPr>
      <w:r>
        <w:rPr>
          <w:noProof/>
        </w:rPr>
        <w:t>2.</w:t>
      </w:r>
      <w:r>
        <w:rPr>
          <w:noProof/>
        </w:rPr>
        <w:tab/>
      </w:r>
      <w:r w:rsidRPr="00744DCA">
        <w:rPr>
          <w:noProof/>
        </w:rPr>
        <w:t xml:space="preserve">Actions </w:t>
      </w:r>
      <w:r w:rsidR="299C41F4" w:rsidRPr="00744DCA">
        <w:rPr>
          <w:noProof/>
        </w:rPr>
        <w:t>contributing to the recovery, reconstruction and modernisation of the Ukrainian DTIB</w:t>
      </w:r>
      <w:r w:rsidR="166D2232" w:rsidRPr="00744DCA">
        <w:rPr>
          <w:noProof/>
        </w:rPr>
        <w:t xml:space="preserve"> </w:t>
      </w:r>
      <w:r w:rsidRPr="00744DCA">
        <w:rPr>
          <w:noProof/>
        </w:rPr>
        <w:t xml:space="preserve">shall </w:t>
      </w:r>
      <w:r w:rsidR="166D2232" w:rsidRPr="00744DCA">
        <w:rPr>
          <w:noProof/>
        </w:rPr>
        <w:t>tak</w:t>
      </w:r>
      <w:r w:rsidRPr="00744DCA">
        <w:rPr>
          <w:noProof/>
        </w:rPr>
        <w:t>e</w:t>
      </w:r>
      <w:r w:rsidR="166D2232" w:rsidRPr="00744DCA">
        <w:rPr>
          <w:noProof/>
        </w:rPr>
        <w:t xml:space="preserve"> into account </w:t>
      </w:r>
      <w:r w:rsidR="6BAF3F5C" w:rsidRPr="00744DCA">
        <w:rPr>
          <w:noProof/>
        </w:rPr>
        <w:t>its</w:t>
      </w:r>
      <w:r w:rsidR="166D2232" w:rsidRPr="00744DCA">
        <w:rPr>
          <w:noProof/>
        </w:rPr>
        <w:t xml:space="preserve"> possible future</w:t>
      </w:r>
      <w:r w:rsidR="299C41F4" w:rsidRPr="00744DCA">
        <w:rPr>
          <w:noProof/>
        </w:rPr>
        <w:t xml:space="preserve"> integration into the EDTIB, thereby contributing to mutual stability, security, peace, prosperity and sustainability.</w:t>
      </w:r>
    </w:p>
    <w:p w14:paraId="3730E591" w14:textId="77777777" w:rsidR="00CB5EDF" w:rsidRPr="00744DCA" w:rsidRDefault="299C41F4" w:rsidP="00CB5EDF">
      <w:pPr>
        <w:pStyle w:val="ManualNumPar1"/>
        <w:rPr>
          <w:noProof/>
        </w:rPr>
      </w:pPr>
      <w:r>
        <w:rPr>
          <w:noProof/>
        </w:rPr>
        <w:t>3.</w:t>
      </w:r>
      <w:r>
        <w:rPr>
          <w:noProof/>
        </w:rPr>
        <w:tab/>
      </w:r>
      <w:r w:rsidRPr="00744DCA">
        <w:rPr>
          <w:noProof/>
        </w:rPr>
        <w:t>The objectives set out in paragraph 1</w:t>
      </w:r>
      <w:r w:rsidR="008D5B1B" w:rsidRPr="00744DCA">
        <w:rPr>
          <w:noProof/>
        </w:rPr>
        <w:t xml:space="preserve">, point (a), </w:t>
      </w:r>
      <w:r w:rsidRPr="00744DCA">
        <w:rPr>
          <w:noProof/>
        </w:rPr>
        <w:t>shall be pursued with an emphasis on initiating and speeding up the adjustment of industry to the rapid structural changes imposed by the evolving security environment. This may include the improvement and acceleration of the capacity of adaptation of supply chains for crisis-relevant products, the creation of manufacturing capacities or their ramp-up, and a reduction of their lead production time for defence products throughout the Union, taking into account the objectives of the Strategic Compass for Security and Defence and the advice of the Defence Industrial Readiness Board.</w:t>
      </w:r>
    </w:p>
    <w:p w14:paraId="69E3BA59" w14:textId="48117E38" w:rsidR="00CB5EDF" w:rsidRPr="00744DCA" w:rsidRDefault="00CB5EDF" w:rsidP="00CB5EDF">
      <w:pPr>
        <w:pStyle w:val="ManualNumPar1"/>
        <w:rPr>
          <w:noProof/>
        </w:rPr>
      </w:pPr>
      <w:r>
        <w:rPr>
          <w:noProof/>
        </w:rPr>
        <w:t>4.</w:t>
      </w:r>
      <w:r>
        <w:rPr>
          <w:noProof/>
        </w:rPr>
        <w:tab/>
      </w:r>
      <w:r w:rsidRPr="00744DCA">
        <w:rPr>
          <w:noProof/>
        </w:rPr>
        <w:t>The objectives set out in paragraph 1</w:t>
      </w:r>
      <w:r w:rsidR="008D5B1B" w:rsidRPr="00744DCA">
        <w:rPr>
          <w:noProof/>
        </w:rPr>
        <w:t>, point (b),</w:t>
      </w:r>
      <w:r w:rsidRPr="00744DCA">
        <w:rPr>
          <w:noProof/>
        </w:rPr>
        <w:t xml:space="preserve"> shall be pursued with an emphasis on developing the EDTIB throughout the Union to allow it to address, in particular, Member States’ defence product needs</w:t>
      </w:r>
      <w:r>
        <w:rPr>
          <w:noProof/>
          <w:lang w:val="en-IE"/>
        </w:rPr>
        <w:t xml:space="preserve"> in terms of quality, availability, delivery time and location</w:t>
      </w:r>
      <w:r w:rsidRPr="00744DCA">
        <w:rPr>
          <w:noProof/>
        </w:rPr>
        <w:t>, in line with the defence capability priorities commonly agreed by Member States within the framework of the Common Foreign and Security Policy (CFSP), in particular in the context of the Capability Development Plan, taking into account the objectives of the Strategic Compass for Security and Defence and the advices of the Defence Industrial Readiness Board.</w:t>
      </w:r>
    </w:p>
    <w:p w14:paraId="6070DDE5" w14:textId="77777777" w:rsidR="00CB5EDF" w:rsidRPr="00744DCA" w:rsidRDefault="00CB5EDF" w:rsidP="00CB5EDF">
      <w:pPr>
        <w:pStyle w:val="ManualNumPar1"/>
        <w:rPr>
          <w:noProof/>
        </w:rPr>
      </w:pPr>
      <w:r>
        <w:rPr>
          <w:noProof/>
        </w:rPr>
        <w:t>5.</w:t>
      </w:r>
      <w:r>
        <w:rPr>
          <w:noProof/>
        </w:rPr>
        <w:tab/>
      </w:r>
      <w:r w:rsidRPr="00744DCA">
        <w:rPr>
          <w:noProof/>
        </w:rPr>
        <w:t xml:space="preserve">The objectives set out in paragraph </w:t>
      </w:r>
      <w:r w:rsidR="005E68E9" w:rsidRPr="00744DCA">
        <w:rPr>
          <w:noProof/>
        </w:rPr>
        <w:t>2</w:t>
      </w:r>
      <w:r w:rsidRPr="00744DCA">
        <w:rPr>
          <w:noProof/>
        </w:rPr>
        <w:t xml:space="preserve"> shall be pursued with an emphasis on enhancing cross-border cooperation between the EDTIB and the Ukrainian DTIB, taking into account the defence product needs of Ukraine, through creation of manufacturing capacities or their ramp-up in line with NATO standards, protection of assets, technical assistance and exchange of personnel, increased cooperation on common procurement of defence products for Ukraine and licensing production cooperation through public-private partnerships or other forms of cooperation, e.g. joint ventures. Special attention shall be given to the objective to support Ukraine to progressively align with Union rules, standards, policies and practices (‘acquis’) with a view to future Union membership.</w:t>
      </w:r>
    </w:p>
    <w:p w14:paraId="64FD73CE" w14:textId="77777777" w:rsidR="00CB5EDF" w:rsidRPr="00744DCA" w:rsidRDefault="00CB5EDF" w:rsidP="00CB5EDF">
      <w:pPr>
        <w:pStyle w:val="Titrearticle"/>
        <w:rPr>
          <w:noProof/>
        </w:rPr>
      </w:pPr>
      <w:r w:rsidRPr="00744DCA">
        <w:rPr>
          <w:noProof/>
        </w:rPr>
        <w:t>Article 5</w:t>
      </w:r>
    </w:p>
    <w:p w14:paraId="6A5088F7" w14:textId="77777777" w:rsidR="00CB5EDF" w:rsidRPr="00744DCA" w:rsidRDefault="00CB5EDF" w:rsidP="00CB5EDF">
      <w:pPr>
        <w:pStyle w:val="Titrearticle"/>
        <w:spacing w:before="0"/>
        <w:rPr>
          <w:b/>
          <w:i w:val="0"/>
          <w:noProof/>
        </w:rPr>
      </w:pPr>
      <w:r w:rsidRPr="00744DCA">
        <w:rPr>
          <w:b/>
          <w:i w:val="0"/>
          <w:noProof/>
        </w:rPr>
        <w:t>Budget</w:t>
      </w:r>
    </w:p>
    <w:p w14:paraId="2EA3517C" w14:textId="77777777" w:rsidR="00CB5EDF" w:rsidRPr="00B41C7A" w:rsidRDefault="00CB5EDF" w:rsidP="00B2056B">
      <w:pPr>
        <w:pStyle w:val="ManualNumPar1"/>
        <w:rPr>
          <w:noProof/>
        </w:rPr>
      </w:pPr>
      <w:r>
        <w:rPr>
          <w:noProof/>
        </w:rPr>
        <w:t>1.</w:t>
      </w:r>
      <w:r>
        <w:rPr>
          <w:noProof/>
        </w:rPr>
        <w:tab/>
      </w:r>
      <w:r w:rsidRPr="00B41C7A">
        <w:rPr>
          <w:noProof/>
        </w:rPr>
        <w:t xml:space="preserve">The </w:t>
      </w:r>
      <w:r w:rsidR="007810EA" w:rsidRPr="00B41C7A">
        <w:rPr>
          <w:noProof/>
        </w:rPr>
        <w:t>financial envelope</w:t>
      </w:r>
      <w:r w:rsidR="004C677D">
        <w:rPr>
          <w:noProof/>
        </w:rPr>
        <w:t>s</w:t>
      </w:r>
      <w:r w:rsidR="007810EA" w:rsidRPr="00B41C7A">
        <w:rPr>
          <w:noProof/>
        </w:rPr>
        <w:t xml:space="preserve"> for the implementation of the Programme </w:t>
      </w:r>
      <w:r w:rsidR="00E55207" w:rsidRPr="001B733F">
        <w:rPr>
          <w:noProof/>
        </w:rPr>
        <w:t xml:space="preserve">and the Ukraine Support Instrument </w:t>
      </w:r>
      <w:r w:rsidRPr="00B41C7A">
        <w:rPr>
          <w:noProof/>
        </w:rPr>
        <w:t>shall be</w:t>
      </w:r>
      <w:r w:rsidR="007810EA" w:rsidRPr="00B41C7A">
        <w:rPr>
          <w:noProof/>
        </w:rPr>
        <w:t xml:space="preserve"> composed of</w:t>
      </w:r>
      <w:r w:rsidRPr="00B41C7A">
        <w:rPr>
          <w:noProof/>
        </w:rPr>
        <w:t>:</w:t>
      </w:r>
    </w:p>
    <w:p w14:paraId="4A79CF26" w14:textId="77777777" w:rsidR="00CB5EDF" w:rsidRPr="00B41C7A" w:rsidRDefault="00D32DFA" w:rsidP="00FA1F34">
      <w:pPr>
        <w:pStyle w:val="Point1"/>
        <w:rPr>
          <w:noProof/>
        </w:rPr>
      </w:pPr>
      <w:r>
        <w:rPr>
          <w:noProof/>
        </w:rPr>
        <w:t>(a)</w:t>
      </w:r>
      <w:r>
        <w:rPr>
          <w:noProof/>
        </w:rPr>
        <w:tab/>
      </w:r>
      <w:r w:rsidRPr="001B733F">
        <w:rPr>
          <w:noProof/>
        </w:rPr>
        <w:t xml:space="preserve">for actions reinforcing the EDTIB: </w:t>
      </w:r>
      <w:r w:rsidR="00CB5EDF" w:rsidRPr="00B41C7A">
        <w:rPr>
          <w:noProof/>
        </w:rPr>
        <w:t xml:space="preserve">EUR </w:t>
      </w:r>
      <w:r w:rsidR="000C6933" w:rsidRPr="001B733F">
        <w:rPr>
          <w:noProof/>
        </w:rPr>
        <w:t>1 500 millions in current prices</w:t>
      </w:r>
      <w:r w:rsidR="000C6933" w:rsidRPr="00B41C7A">
        <w:rPr>
          <w:noProof/>
        </w:rPr>
        <w:t xml:space="preserve"> </w:t>
      </w:r>
      <w:r w:rsidR="007C4BA5" w:rsidRPr="007C4BA5">
        <w:rPr>
          <w:noProof/>
        </w:rPr>
        <w:t>for the period from [</w:t>
      </w:r>
      <w:r w:rsidR="007C4BA5" w:rsidRPr="00FA1F34">
        <w:rPr>
          <w:noProof/>
        </w:rPr>
        <w:t>… - insert a specific date</w:t>
      </w:r>
      <w:r w:rsidR="007C4BA5" w:rsidRPr="007C4BA5">
        <w:rPr>
          <w:noProof/>
        </w:rPr>
        <w:t>] until 31 December 2027</w:t>
      </w:r>
      <w:r w:rsidR="007C4BA5">
        <w:rPr>
          <w:noProof/>
        </w:rPr>
        <w:t xml:space="preserve"> </w:t>
      </w:r>
      <w:r w:rsidR="007810EA" w:rsidRPr="001B733F">
        <w:rPr>
          <w:noProof/>
        </w:rPr>
        <w:t>as well as additional contributions</w:t>
      </w:r>
      <w:r w:rsidR="00716BC0" w:rsidRPr="001B733F">
        <w:rPr>
          <w:noProof/>
        </w:rPr>
        <w:t xml:space="preserve"> </w:t>
      </w:r>
      <w:r w:rsidR="00C72149" w:rsidRPr="001B733F">
        <w:rPr>
          <w:noProof/>
        </w:rPr>
        <w:t xml:space="preserve">in accordance with </w:t>
      </w:r>
      <w:r w:rsidRPr="001B733F">
        <w:rPr>
          <w:noProof/>
        </w:rPr>
        <w:t>Article 6</w:t>
      </w:r>
      <w:r w:rsidR="00CB5EDF" w:rsidRPr="00B41C7A">
        <w:rPr>
          <w:noProof/>
        </w:rPr>
        <w:t xml:space="preserve">; </w:t>
      </w:r>
    </w:p>
    <w:p w14:paraId="3E0CBB1F" w14:textId="77777777" w:rsidR="00CB5EDF" w:rsidRPr="00B41C7A" w:rsidRDefault="00D32DFA" w:rsidP="00B91A8D">
      <w:pPr>
        <w:pStyle w:val="Point1"/>
        <w:rPr>
          <w:noProof/>
        </w:rPr>
      </w:pPr>
      <w:r>
        <w:rPr>
          <w:noProof/>
        </w:rPr>
        <w:t>(b)</w:t>
      </w:r>
      <w:r>
        <w:rPr>
          <w:noProof/>
        </w:rPr>
        <w:tab/>
      </w:r>
      <w:r w:rsidRPr="001B733F">
        <w:rPr>
          <w:noProof/>
        </w:rPr>
        <w:t xml:space="preserve">for actions reinforcing the Ukrainian DTIB: </w:t>
      </w:r>
      <w:r w:rsidR="000C6933" w:rsidRPr="001B733F">
        <w:rPr>
          <w:noProof/>
        </w:rPr>
        <w:t>t</w:t>
      </w:r>
      <w:r w:rsidR="007810EA" w:rsidRPr="00B41C7A">
        <w:rPr>
          <w:noProof/>
        </w:rPr>
        <w:t xml:space="preserve">he amount of the additional contributions </w:t>
      </w:r>
      <w:r w:rsidR="00C72149" w:rsidRPr="001B733F">
        <w:rPr>
          <w:noProof/>
        </w:rPr>
        <w:t>in accordance with</w:t>
      </w:r>
      <w:r w:rsidR="007810EA" w:rsidRPr="00B41C7A">
        <w:rPr>
          <w:noProof/>
        </w:rPr>
        <w:t xml:space="preserve"> </w:t>
      </w:r>
      <w:r w:rsidR="00C72149" w:rsidRPr="001B733F">
        <w:rPr>
          <w:noProof/>
        </w:rPr>
        <w:t>A</w:t>
      </w:r>
      <w:r w:rsidR="007810EA" w:rsidRPr="00B41C7A">
        <w:rPr>
          <w:noProof/>
        </w:rPr>
        <w:t xml:space="preserve">rticle </w:t>
      </w:r>
      <w:r w:rsidR="00DC2779">
        <w:rPr>
          <w:noProof/>
        </w:rPr>
        <w:t>6</w:t>
      </w:r>
      <w:r w:rsidR="007810EA" w:rsidRPr="00B41C7A">
        <w:rPr>
          <w:noProof/>
        </w:rPr>
        <w:t xml:space="preserve"> </w:t>
      </w:r>
      <w:r w:rsidR="007810EA" w:rsidRPr="001B733F">
        <w:rPr>
          <w:noProof/>
        </w:rPr>
        <w:t>to the extent earmarked</w:t>
      </w:r>
      <w:r w:rsidR="002B682B" w:rsidRPr="00B41C7A">
        <w:rPr>
          <w:noProof/>
        </w:rPr>
        <w:t xml:space="preserve">, </w:t>
      </w:r>
      <w:r w:rsidR="00D14A17" w:rsidRPr="00B41C7A">
        <w:rPr>
          <w:noProof/>
        </w:rPr>
        <w:t xml:space="preserve">subject to the conclusion of the agreement referred to in Article </w:t>
      </w:r>
      <w:r w:rsidR="002761B1" w:rsidRPr="00B41C7A">
        <w:rPr>
          <w:noProof/>
        </w:rPr>
        <w:t>5</w:t>
      </w:r>
      <w:r w:rsidR="00ED3D64" w:rsidRPr="00B41C7A">
        <w:rPr>
          <w:noProof/>
        </w:rPr>
        <w:t>7</w:t>
      </w:r>
      <w:r w:rsidR="00CB5EDF" w:rsidRPr="00B41C7A">
        <w:rPr>
          <w:noProof/>
        </w:rPr>
        <w:t xml:space="preserve">. </w:t>
      </w:r>
    </w:p>
    <w:p w14:paraId="097377B2" w14:textId="77777777" w:rsidR="00CB5EDF" w:rsidRPr="00744DCA" w:rsidRDefault="00CB5EDF" w:rsidP="003506AF">
      <w:pPr>
        <w:pStyle w:val="ManualNumPar1"/>
        <w:rPr>
          <w:noProof/>
        </w:rPr>
      </w:pPr>
      <w:r>
        <w:rPr>
          <w:noProof/>
        </w:rPr>
        <w:t>2.</w:t>
      </w:r>
      <w:r>
        <w:rPr>
          <w:noProof/>
        </w:rPr>
        <w:tab/>
      </w:r>
      <w:r w:rsidRPr="00744DCA">
        <w:rPr>
          <w:noProof/>
        </w:rPr>
        <w:t xml:space="preserve">In order to respond to unforeseen situations or to new developments and needs, the Commission may reallocate the amount allocated to actions referred to in paragraph </w:t>
      </w:r>
      <w:r w:rsidR="00151776">
        <w:rPr>
          <w:noProof/>
        </w:rPr>
        <w:t>1</w:t>
      </w:r>
      <w:r w:rsidRPr="00744DCA">
        <w:rPr>
          <w:noProof/>
        </w:rPr>
        <w:t>, by a maximum of 20 %</w:t>
      </w:r>
      <w:r w:rsidR="0078150A">
        <w:rPr>
          <w:noProof/>
        </w:rPr>
        <w:t>,</w:t>
      </w:r>
      <w:r w:rsidR="00D570A1" w:rsidRPr="00D570A1">
        <w:rPr>
          <w:noProof/>
        </w:rPr>
        <w:t xml:space="preserve"> except for the additional financial resources as referred to in </w:t>
      </w:r>
      <w:r w:rsidR="00237E06">
        <w:rPr>
          <w:noProof/>
        </w:rPr>
        <w:t>A</w:t>
      </w:r>
      <w:r w:rsidR="00D570A1" w:rsidRPr="00D570A1">
        <w:rPr>
          <w:noProof/>
        </w:rPr>
        <w:t>rticle 6(2)</w:t>
      </w:r>
      <w:r w:rsidR="00D570A1">
        <w:rPr>
          <w:noProof/>
        </w:rPr>
        <w:t xml:space="preserve">, </w:t>
      </w:r>
      <w:r w:rsidR="00237E06">
        <w:rPr>
          <w:noProof/>
        </w:rPr>
        <w:t>which</w:t>
      </w:r>
      <w:r w:rsidR="00D570A1">
        <w:rPr>
          <w:noProof/>
        </w:rPr>
        <w:t xml:space="preserve"> shall not be reallocated</w:t>
      </w:r>
      <w:r w:rsidRPr="00744DCA">
        <w:rPr>
          <w:noProof/>
        </w:rPr>
        <w:t xml:space="preserve">. </w:t>
      </w:r>
    </w:p>
    <w:p w14:paraId="2DC39C91" w14:textId="77777777" w:rsidR="00CB5EDF" w:rsidRPr="00744DCA" w:rsidRDefault="00CB5EDF">
      <w:pPr>
        <w:pStyle w:val="ManualNumPar1"/>
        <w:rPr>
          <w:noProof/>
        </w:rPr>
      </w:pPr>
      <w:r>
        <w:rPr>
          <w:noProof/>
        </w:rPr>
        <w:t>3.</w:t>
      </w:r>
      <w:r>
        <w:rPr>
          <w:noProof/>
        </w:rPr>
        <w:tab/>
      </w:r>
      <w:r w:rsidRPr="00744DCA">
        <w:rPr>
          <w:noProof/>
        </w:rPr>
        <w:t xml:space="preserve">The amount referred to in </w:t>
      </w:r>
      <w:r w:rsidRPr="00712A82">
        <w:rPr>
          <w:noProof/>
        </w:rPr>
        <w:t xml:space="preserve">paragraph 1 </w:t>
      </w:r>
      <w:r w:rsidR="00285924" w:rsidRPr="00712A82">
        <w:rPr>
          <w:noProof/>
        </w:rPr>
        <w:t>and 5 of</w:t>
      </w:r>
      <w:r w:rsidR="00285924" w:rsidRPr="00744DCA">
        <w:rPr>
          <w:noProof/>
        </w:rPr>
        <w:t xml:space="preserve"> this Article and the amounts of additional contributions referred to in Article 6 </w:t>
      </w:r>
      <w:r w:rsidRPr="00744DCA">
        <w:rPr>
          <w:noProof/>
        </w:rPr>
        <w:t xml:space="preserve">may also be used for technical and administrative assistance for the implementation of the Programme, such as preparatory, monitoring, control, audit and evaluation activities, including price investigations and corporate information technology systems and platforms, and all other technical and administrative assistance </w:t>
      </w:r>
      <w:r w:rsidR="00ED3D64" w:rsidRPr="00744DCA">
        <w:rPr>
          <w:noProof/>
        </w:rPr>
        <w:t xml:space="preserve">or staff-related </w:t>
      </w:r>
      <w:r w:rsidRPr="00744DCA">
        <w:rPr>
          <w:noProof/>
        </w:rPr>
        <w:t>expenses incurred by the Commission for the management of the Programme/other elements of the subject matter.</w:t>
      </w:r>
      <w:r w:rsidR="009F1DFD" w:rsidRPr="00744DCA">
        <w:rPr>
          <w:noProof/>
        </w:rPr>
        <w:t xml:space="preserve"> </w:t>
      </w:r>
    </w:p>
    <w:p w14:paraId="445A234B" w14:textId="77777777" w:rsidR="00CB5EDF" w:rsidRPr="00744DCA" w:rsidRDefault="00FA3E62">
      <w:pPr>
        <w:pStyle w:val="ManualNumPar1"/>
        <w:rPr>
          <w:noProof/>
        </w:rPr>
      </w:pPr>
      <w:r>
        <w:rPr>
          <w:noProof/>
        </w:rPr>
        <w:t>4.</w:t>
      </w:r>
      <w:r>
        <w:rPr>
          <w:noProof/>
        </w:rPr>
        <w:tab/>
      </w:r>
      <w:r w:rsidRPr="00744DCA">
        <w:rPr>
          <w:noProof/>
        </w:rPr>
        <w:t>In addition to</w:t>
      </w:r>
      <w:r w:rsidR="00CB5EDF" w:rsidRPr="00744DCA">
        <w:rPr>
          <w:noProof/>
        </w:rPr>
        <w:t xml:space="preserve"> Article 12(4) of Regulation (EU, Euratom) 2018/1046, unused commitment and payment appropriations shall be automatically carried over and may be committed and used, respectively, </w:t>
      </w:r>
      <w:r w:rsidR="00D810D1" w:rsidRPr="00744DCA">
        <w:rPr>
          <w:noProof/>
        </w:rPr>
        <w:t>until</w:t>
      </w:r>
      <w:r w:rsidR="00CB5EDF" w:rsidRPr="00744DCA">
        <w:rPr>
          <w:noProof/>
        </w:rPr>
        <w:t xml:space="preserve"> 31 December of the following financial year. The amount carried over shall be used first in the following financial year. The Commission shall inform the European Parliament and the Council of commitment appropriations carried over in accordance with Article 12(6) of Regulation (EU, Euratom) 2018/1046.</w:t>
      </w:r>
    </w:p>
    <w:p w14:paraId="5108CC10" w14:textId="77777777" w:rsidR="00CB5EDF" w:rsidRPr="00744DCA" w:rsidRDefault="00CB5EDF">
      <w:pPr>
        <w:pStyle w:val="ManualNumPar1"/>
        <w:rPr>
          <w:noProof/>
        </w:rPr>
      </w:pPr>
      <w:r>
        <w:rPr>
          <w:noProof/>
        </w:rPr>
        <w:t>5.</w:t>
      </w:r>
      <w:r>
        <w:rPr>
          <w:noProof/>
        </w:rPr>
        <w:tab/>
      </w:r>
      <w:r w:rsidRPr="00744DCA">
        <w:rPr>
          <w:noProof/>
        </w:rPr>
        <w:t>By way of derogation from Article 209(3)</w:t>
      </w:r>
      <w:r w:rsidR="00AD3116" w:rsidRPr="00744DCA">
        <w:rPr>
          <w:noProof/>
        </w:rPr>
        <w:t>, first, second and fourth subparagraphs</w:t>
      </w:r>
      <w:r w:rsidRPr="00744DCA">
        <w:rPr>
          <w:noProof/>
        </w:rPr>
        <w:t xml:space="preserve"> of Regulation (EU, Euratom) 2018/1046, any revenues and repayments from financial </w:t>
      </w:r>
      <w:r w:rsidR="008B4791" w:rsidRPr="00744DCA">
        <w:rPr>
          <w:noProof/>
        </w:rPr>
        <w:t xml:space="preserve">instruments </w:t>
      </w:r>
      <w:r w:rsidRPr="00744DCA">
        <w:rPr>
          <w:noProof/>
        </w:rPr>
        <w:t>established under this Regulation shall constitute internal assigned revenue within the meaning of Article 21(5) of Regulation (EU, Euratom) 2018/1046, to the Programme or its successor programme.</w:t>
      </w:r>
    </w:p>
    <w:p w14:paraId="59895728" w14:textId="77777777" w:rsidR="00CB5EDF" w:rsidRPr="00744DCA" w:rsidRDefault="00E34365" w:rsidP="00CB5EDF">
      <w:pPr>
        <w:pStyle w:val="ManualNumPar1"/>
        <w:rPr>
          <w:noProof/>
        </w:rPr>
      </w:pPr>
      <w:r>
        <w:rPr>
          <w:noProof/>
        </w:rPr>
        <w:t>6.</w:t>
      </w:r>
      <w:r>
        <w:rPr>
          <w:noProof/>
        </w:rPr>
        <w:tab/>
      </w:r>
      <w:r w:rsidRPr="00744DCA">
        <w:rPr>
          <w:noProof/>
        </w:rPr>
        <w:t>In addition to Article 15 of Regulation (EU, Euratom) 2018/1046, c</w:t>
      </w:r>
      <w:r w:rsidR="00CB5EDF" w:rsidRPr="00744DCA">
        <w:rPr>
          <w:noProof/>
        </w:rPr>
        <w:t xml:space="preserve">ommitment appropriations corresponding to the amount of recoveries and </w:t>
      </w:r>
      <w:r w:rsidRPr="00744DCA">
        <w:rPr>
          <w:noProof/>
        </w:rPr>
        <w:t>of</w:t>
      </w:r>
      <w:r w:rsidR="00CB5EDF" w:rsidRPr="00744DCA">
        <w:rPr>
          <w:noProof/>
        </w:rPr>
        <w:t xml:space="preserve"> decommitments shall be made available again to the Programme or </w:t>
      </w:r>
      <w:r w:rsidR="00B14529" w:rsidRPr="00744DCA">
        <w:rPr>
          <w:noProof/>
        </w:rPr>
        <w:t xml:space="preserve">the Ukraine Support Instrument </w:t>
      </w:r>
      <w:r w:rsidR="00CB5EDF" w:rsidRPr="00744DCA">
        <w:rPr>
          <w:noProof/>
        </w:rPr>
        <w:t xml:space="preserve">or </w:t>
      </w:r>
      <w:r w:rsidR="00B14529" w:rsidRPr="00744DCA">
        <w:rPr>
          <w:noProof/>
        </w:rPr>
        <w:t xml:space="preserve">their </w:t>
      </w:r>
      <w:r w:rsidR="00CB5EDF" w:rsidRPr="00744DCA">
        <w:rPr>
          <w:noProof/>
        </w:rPr>
        <w:t>successor</w:t>
      </w:r>
      <w:r w:rsidR="00262457" w:rsidRPr="00744DCA">
        <w:rPr>
          <w:noProof/>
        </w:rPr>
        <w:t>s</w:t>
      </w:r>
      <w:r w:rsidR="00CB5EDF" w:rsidRPr="00744DCA">
        <w:rPr>
          <w:noProof/>
        </w:rPr>
        <w:t xml:space="preserve"> in the context of the budgetary procedure.</w:t>
      </w:r>
    </w:p>
    <w:p w14:paraId="04E16F1A" w14:textId="77777777" w:rsidR="00CB5EDF" w:rsidRPr="00744DCA" w:rsidRDefault="00CB5EDF">
      <w:pPr>
        <w:pStyle w:val="ManualNumPar1"/>
        <w:rPr>
          <w:noProof/>
        </w:rPr>
      </w:pPr>
      <w:r>
        <w:rPr>
          <w:noProof/>
        </w:rPr>
        <w:t>7.</w:t>
      </w:r>
      <w:r>
        <w:rPr>
          <w:noProof/>
        </w:rPr>
        <w:tab/>
      </w:r>
      <w:r w:rsidRPr="00744DCA">
        <w:rPr>
          <w:noProof/>
        </w:rPr>
        <w:t>Budgetary commitments for activities extending over more than one financial year may be broken down over several years into annual instalments.</w:t>
      </w:r>
    </w:p>
    <w:p w14:paraId="576FFC8E" w14:textId="77777777" w:rsidR="00CB5EDF" w:rsidRPr="00744DCA" w:rsidRDefault="000B5CD5" w:rsidP="00CB5EDF">
      <w:pPr>
        <w:pStyle w:val="ManualNumPar1"/>
        <w:rPr>
          <w:noProof/>
        </w:rPr>
      </w:pPr>
      <w:r>
        <w:rPr>
          <w:noProof/>
        </w:rPr>
        <w:t>8.</w:t>
      </w:r>
      <w:r>
        <w:rPr>
          <w:noProof/>
        </w:rPr>
        <w:tab/>
      </w:r>
      <w:r w:rsidRPr="00744DCA">
        <w:rPr>
          <w:noProof/>
        </w:rPr>
        <w:t>A</w:t>
      </w:r>
      <w:r w:rsidR="00CB5EDF" w:rsidRPr="00744DCA">
        <w:rPr>
          <w:noProof/>
        </w:rPr>
        <w:t xml:space="preserve">ppropriations may be entered in the Union budget beyond 2027 to cover the expenses necessary to fulfil the objectives </w:t>
      </w:r>
      <w:r w:rsidR="00A35511" w:rsidRPr="00744DCA">
        <w:rPr>
          <w:noProof/>
        </w:rPr>
        <w:t xml:space="preserve">set out </w:t>
      </w:r>
      <w:r w:rsidR="00CB5EDF" w:rsidRPr="00744DCA">
        <w:rPr>
          <w:noProof/>
        </w:rPr>
        <w:t xml:space="preserve">in Article </w:t>
      </w:r>
      <w:r w:rsidR="00627AA1" w:rsidRPr="00744DCA">
        <w:rPr>
          <w:noProof/>
        </w:rPr>
        <w:t>4</w:t>
      </w:r>
      <w:r w:rsidR="00CB5EDF" w:rsidRPr="00744DCA">
        <w:rPr>
          <w:noProof/>
        </w:rPr>
        <w:t>, to enable the management of actions not completed by the end of the Programme, as well as expenses covering critical operational activities and services.</w:t>
      </w:r>
    </w:p>
    <w:p w14:paraId="7E38B1B1" w14:textId="77777777" w:rsidR="00CB5EDF" w:rsidRPr="00744DCA" w:rsidRDefault="00CB5EDF" w:rsidP="00CB5EDF">
      <w:pPr>
        <w:pStyle w:val="Titrearticle"/>
        <w:rPr>
          <w:noProof/>
        </w:rPr>
      </w:pPr>
      <w:r w:rsidRPr="00744DCA">
        <w:rPr>
          <w:noProof/>
        </w:rPr>
        <w:t>Article 6</w:t>
      </w:r>
    </w:p>
    <w:p w14:paraId="6005D8E5" w14:textId="77777777" w:rsidR="00CB5EDF" w:rsidRPr="00744DCA" w:rsidRDefault="00CB5EDF" w:rsidP="00CB5EDF">
      <w:pPr>
        <w:pStyle w:val="Titrearticle"/>
        <w:spacing w:before="0"/>
        <w:rPr>
          <w:b/>
          <w:i w:val="0"/>
          <w:noProof/>
        </w:rPr>
      </w:pPr>
      <w:r w:rsidRPr="00744DCA">
        <w:rPr>
          <w:b/>
          <w:i w:val="0"/>
          <w:noProof/>
        </w:rPr>
        <w:t>Additional financial resources</w:t>
      </w:r>
    </w:p>
    <w:p w14:paraId="5B5EC44C" w14:textId="71C15E18" w:rsidR="00CB5EDF" w:rsidRPr="00744DCA" w:rsidRDefault="00CB5EDF" w:rsidP="00B2056B">
      <w:pPr>
        <w:pStyle w:val="ManualNumPar1"/>
        <w:rPr>
          <w:noProof/>
        </w:rPr>
      </w:pPr>
      <w:r>
        <w:rPr>
          <w:noProof/>
        </w:rPr>
        <w:t>1.</w:t>
      </w:r>
      <w:r>
        <w:rPr>
          <w:noProof/>
        </w:rPr>
        <w:tab/>
      </w:r>
      <w:r w:rsidRPr="00744DCA">
        <w:rPr>
          <w:noProof/>
        </w:rPr>
        <w:t>Member States,</w:t>
      </w:r>
      <w:r w:rsidR="00300BD5" w:rsidRPr="00744DCA">
        <w:rPr>
          <w:noProof/>
        </w:rPr>
        <w:t xml:space="preserve"> European Union institutions, bodies and agencies</w:t>
      </w:r>
      <w:r w:rsidRPr="00744DCA">
        <w:rPr>
          <w:noProof/>
        </w:rPr>
        <w:t xml:space="preserve">, third countries, international organisations, international financial institutions or other </w:t>
      </w:r>
      <w:r w:rsidR="0076264E" w:rsidRPr="00744DCA">
        <w:rPr>
          <w:noProof/>
        </w:rPr>
        <w:t>third parties</w:t>
      </w:r>
      <w:r w:rsidRPr="00744DCA">
        <w:rPr>
          <w:noProof/>
        </w:rPr>
        <w:t>, may provide additional financial contributions to the Programme</w:t>
      </w:r>
      <w:r w:rsidR="0076264E" w:rsidRPr="00744DCA">
        <w:rPr>
          <w:noProof/>
        </w:rPr>
        <w:t xml:space="preserve">, including to the </w:t>
      </w:r>
      <w:r w:rsidR="003E4557" w:rsidRPr="00744DCA">
        <w:rPr>
          <w:noProof/>
        </w:rPr>
        <w:t>Fund Accelerating the defence Supply</w:t>
      </w:r>
      <w:r w:rsidR="00B963D3" w:rsidRPr="00744DCA">
        <w:rPr>
          <w:noProof/>
        </w:rPr>
        <w:t xml:space="preserve"> Chains Transformation (FAST) </w:t>
      </w:r>
      <w:r w:rsidR="0076264E" w:rsidRPr="00744DCA">
        <w:rPr>
          <w:noProof/>
        </w:rPr>
        <w:t xml:space="preserve">referred to in Article 19 in accordance with Article </w:t>
      </w:r>
      <w:r w:rsidR="00582D07" w:rsidRPr="00744DCA">
        <w:rPr>
          <w:noProof/>
        </w:rPr>
        <w:t xml:space="preserve">208(2) of the </w:t>
      </w:r>
      <w:r>
        <w:rPr>
          <w:noProof/>
        </w:rPr>
        <w:t>Regulation (EU, Euratom) No 2018/1046</w:t>
      </w:r>
      <w:r w:rsidRPr="00744DCA">
        <w:rPr>
          <w:noProof/>
        </w:rPr>
        <w:t xml:space="preserve">. Such </w:t>
      </w:r>
      <w:r w:rsidR="004C51E1" w:rsidRPr="00744DCA">
        <w:rPr>
          <w:noProof/>
        </w:rPr>
        <w:t>financial</w:t>
      </w:r>
      <w:r w:rsidRPr="00744DCA">
        <w:rPr>
          <w:noProof/>
        </w:rPr>
        <w:t xml:space="preserve"> contributions shall constitute external assigned revenue within the meaning of Article 21(2), points (a)(ii) [point (a) FR recast], (d), </w:t>
      </w:r>
      <w:r w:rsidR="00742B02" w:rsidRPr="00744DCA">
        <w:rPr>
          <w:noProof/>
        </w:rPr>
        <w:t xml:space="preserve">or </w:t>
      </w:r>
      <w:r w:rsidRPr="00744DCA">
        <w:rPr>
          <w:noProof/>
        </w:rPr>
        <w:t>(e)</w:t>
      </w:r>
      <w:r w:rsidR="00742B02" w:rsidRPr="00744DCA">
        <w:rPr>
          <w:noProof/>
        </w:rPr>
        <w:t xml:space="preserve"> or Article 21(5</w:t>
      </w:r>
      <w:r w:rsidRPr="00744DCA">
        <w:rPr>
          <w:noProof/>
        </w:rPr>
        <w:t xml:space="preserve">) of </w:t>
      </w:r>
      <w:r w:rsidR="00742B02" w:rsidRPr="00744DCA">
        <w:rPr>
          <w:noProof/>
        </w:rPr>
        <w:t xml:space="preserve">the </w:t>
      </w:r>
      <w:r>
        <w:rPr>
          <w:noProof/>
        </w:rPr>
        <w:t>Regulation (EU, Euratom) No 2018/1046</w:t>
      </w:r>
      <w:r w:rsidRPr="00744DCA">
        <w:rPr>
          <w:noProof/>
        </w:rPr>
        <w:t>.</w:t>
      </w:r>
    </w:p>
    <w:p w14:paraId="5D9D8228" w14:textId="77777777" w:rsidR="00CB5EDF" w:rsidRPr="00744DCA" w:rsidRDefault="003C4C84" w:rsidP="00B2056B">
      <w:pPr>
        <w:pStyle w:val="ManualNumPar1"/>
        <w:rPr>
          <w:noProof/>
        </w:rPr>
      </w:pPr>
      <w:r>
        <w:rPr>
          <w:noProof/>
        </w:rPr>
        <w:t>2.</w:t>
      </w:r>
      <w:r>
        <w:rPr>
          <w:noProof/>
        </w:rPr>
        <w:tab/>
      </w:r>
      <w:r w:rsidRPr="003C4C84">
        <w:rPr>
          <w:noProof/>
        </w:rPr>
        <w:t>Any additional amounts received under the relevant Union restrictive measures shall be external assigned revenue within the meaning of Article 21(5) of Regulation (EU, Euratom) 2018/1046 and shall be used for actions under the Ukraine Support Instrument, including actions reinforcing the Ukrainian DTIB.</w:t>
      </w:r>
    </w:p>
    <w:p w14:paraId="7E971D9B" w14:textId="212C7A33" w:rsidR="00CB5EDF" w:rsidRPr="00744DCA" w:rsidRDefault="00CB5EDF" w:rsidP="00B2056B">
      <w:pPr>
        <w:pStyle w:val="ManualNumPar1"/>
        <w:rPr>
          <w:noProof/>
        </w:rPr>
      </w:pPr>
      <w:r>
        <w:rPr>
          <w:noProof/>
        </w:rPr>
        <w:t>3.</w:t>
      </w:r>
      <w:r>
        <w:rPr>
          <w:noProof/>
        </w:rPr>
        <w:tab/>
      </w:r>
      <w:bookmarkStart w:id="2" w:name="_Hlk132795845"/>
      <w:r w:rsidRPr="00744DCA">
        <w:rPr>
          <w:noProof/>
        </w:rPr>
        <w:t>Resources allocated to Member States under shared management may, at their request, be transferred to the Programme subject to the conditions set out in the relevant provisions of Regulation (EU) 2021/1060 of the European Parliament and the Council</w:t>
      </w:r>
      <w:r w:rsidRPr="00744DCA">
        <w:rPr>
          <w:rStyle w:val="FootnoteReference"/>
          <w:noProof/>
        </w:rPr>
        <w:footnoteReference w:id="7"/>
      </w:r>
      <w:r w:rsidRPr="00744DCA">
        <w:rPr>
          <w:noProof/>
        </w:rPr>
        <w:t>. The Commission shall implement those resources directly in accordance with Article 62(1)</w:t>
      </w:r>
      <w:r w:rsidR="00C855A0" w:rsidRPr="00744DCA">
        <w:rPr>
          <w:noProof/>
        </w:rPr>
        <w:t>, point (a) of the first subparagraph,</w:t>
      </w:r>
      <w:r w:rsidRPr="00744DCA">
        <w:rPr>
          <w:noProof/>
        </w:rPr>
        <w:t xml:space="preserve"> of </w:t>
      </w:r>
      <w:r w:rsidR="00551A51" w:rsidRPr="00744DCA">
        <w:rPr>
          <w:noProof/>
        </w:rPr>
        <w:t xml:space="preserve">the </w:t>
      </w:r>
      <w:r>
        <w:rPr>
          <w:noProof/>
        </w:rPr>
        <w:t>Regulation (EU, Euratom) No 2018/1046</w:t>
      </w:r>
      <w:r w:rsidRPr="00744DCA">
        <w:rPr>
          <w:noProof/>
        </w:rPr>
        <w:t xml:space="preserve"> or indirectly</w:t>
      </w:r>
      <w:r w:rsidRPr="00744DCA">
        <w:rPr>
          <w:noProof/>
          <w:sz w:val="23"/>
          <w:szCs w:val="23"/>
        </w:rPr>
        <w:t xml:space="preserve"> in accordance with point (c) of that </w:t>
      </w:r>
      <w:r w:rsidR="00481ABF" w:rsidRPr="00744DCA">
        <w:rPr>
          <w:noProof/>
          <w:sz w:val="23"/>
          <w:szCs w:val="23"/>
        </w:rPr>
        <w:t>subparagraph</w:t>
      </w:r>
      <w:r w:rsidRPr="00744DCA">
        <w:rPr>
          <w:noProof/>
        </w:rPr>
        <w:t>. They shall be added to the resources referred to in Article 5(3)</w:t>
      </w:r>
      <w:r w:rsidR="00841A03" w:rsidRPr="00744DCA">
        <w:rPr>
          <w:noProof/>
        </w:rPr>
        <w:t>, point (a)</w:t>
      </w:r>
      <w:r w:rsidRPr="00744DCA">
        <w:rPr>
          <w:noProof/>
        </w:rPr>
        <w:t xml:space="preserve">. Those resources shall be used for the benefit of the Member State concerned. </w:t>
      </w:r>
    </w:p>
    <w:p w14:paraId="0657C4CA" w14:textId="77777777" w:rsidR="00CB5EDF" w:rsidRPr="00744DCA" w:rsidRDefault="00CB5EDF" w:rsidP="00B2056B">
      <w:pPr>
        <w:pStyle w:val="ManualNumPar1"/>
        <w:rPr>
          <w:noProof/>
        </w:rPr>
      </w:pPr>
      <w:r>
        <w:rPr>
          <w:noProof/>
        </w:rPr>
        <w:t>4.</w:t>
      </w:r>
      <w:r>
        <w:rPr>
          <w:noProof/>
        </w:rPr>
        <w:tab/>
      </w:r>
      <w:r w:rsidRPr="00744DCA">
        <w:rPr>
          <w:noProof/>
        </w:rPr>
        <w:t>Where the Commission has not entered into a legal commitment under direct or indirect management for resources transferred in accordance with paragraph 3</w:t>
      </w:r>
      <w:r w:rsidR="006A4AB1" w:rsidRPr="00744DCA">
        <w:rPr>
          <w:noProof/>
        </w:rPr>
        <w:t xml:space="preserve"> and at the latest in the year 20</w:t>
      </w:r>
      <w:r w:rsidR="0040618F" w:rsidRPr="00744DCA">
        <w:rPr>
          <w:noProof/>
        </w:rPr>
        <w:t>28</w:t>
      </w:r>
      <w:r w:rsidRPr="00744DCA">
        <w:rPr>
          <w:noProof/>
        </w:rPr>
        <w:t xml:space="preserve">, the corresponding uncommitted resources may be transferred back to one or more respective source programmes, at the request of the Member State, in accordance with the conditions set out in the relevant provisions of Regulation </w:t>
      </w:r>
      <w:r w:rsidR="00783200" w:rsidRPr="00744DCA">
        <w:rPr>
          <w:bCs/>
          <w:noProof/>
          <w:lang w:val="en-IE"/>
        </w:rPr>
        <w:t>(EU)</w:t>
      </w:r>
      <w:r w:rsidR="00783200" w:rsidRPr="00744DCA">
        <w:rPr>
          <w:noProof/>
          <w:lang w:val="en-IE"/>
        </w:rPr>
        <w:t xml:space="preserve"> 2021</w:t>
      </w:r>
      <w:r w:rsidR="00783200" w:rsidRPr="00744DCA">
        <w:rPr>
          <w:bCs/>
          <w:noProof/>
          <w:lang w:val="en-IE"/>
        </w:rPr>
        <w:t>/1060 of the European Parliament and of the Council</w:t>
      </w:r>
      <w:r w:rsidRPr="00744DCA">
        <w:rPr>
          <w:noProof/>
        </w:rPr>
        <w:t>.</w:t>
      </w:r>
    </w:p>
    <w:bookmarkEnd w:id="2"/>
    <w:p w14:paraId="7025280F" w14:textId="77777777" w:rsidR="000268B4" w:rsidRPr="00744DCA" w:rsidRDefault="000268B4" w:rsidP="00744DCA">
      <w:pPr>
        <w:pStyle w:val="ChapterTitle"/>
        <w:rPr>
          <w:noProof/>
        </w:rPr>
      </w:pPr>
      <w:r w:rsidRPr="00744DCA">
        <w:rPr>
          <w:noProof/>
        </w:rPr>
        <w:t>Section 2: The Programme</w:t>
      </w:r>
    </w:p>
    <w:p w14:paraId="5C7ECDDF" w14:textId="77777777" w:rsidR="00CB5EDF" w:rsidRPr="00744DCA" w:rsidRDefault="00CB5EDF" w:rsidP="00CB5EDF">
      <w:pPr>
        <w:pStyle w:val="Titrearticle"/>
        <w:rPr>
          <w:noProof/>
        </w:rPr>
      </w:pPr>
      <w:r w:rsidRPr="00744DCA">
        <w:rPr>
          <w:noProof/>
        </w:rPr>
        <w:t>Article 7</w:t>
      </w:r>
    </w:p>
    <w:p w14:paraId="07ACB8C2" w14:textId="77777777" w:rsidR="00CB5EDF" w:rsidRPr="00744DCA" w:rsidRDefault="006F1308" w:rsidP="00CB5EDF">
      <w:pPr>
        <w:pStyle w:val="Titrearticle"/>
        <w:spacing w:before="0"/>
        <w:rPr>
          <w:noProof/>
        </w:rPr>
      </w:pPr>
      <w:r w:rsidRPr="00744DCA">
        <w:rPr>
          <w:b/>
          <w:i w:val="0"/>
          <w:noProof/>
        </w:rPr>
        <w:t>Alternative, combined and c</w:t>
      </w:r>
      <w:r w:rsidR="00CB5EDF" w:rsidRPr="00744DCA">
        <w:rPr>
          <w:b/>
          <w:i w:val="0"/>
          <w:noProof/>
        </w:rPr>
        <w:t>umulative funding</w:t>
      </w:r>
    </w:p>
    <w:p w14:paraId="0838AEAA" w14:textId="77777777" w:rsidR="00CB5EDF" w:rsidRPr="00744DCA" w:rsidRDefault="00CB5EDF" w:rsidP="00B2056B">
      <w:pPr>
        <w:pStyle w:val="ManualNumPar1"/>
        <w:rPr>
          <w:noProof/>
        </w:rPr>
      </w:pPr>
      <w:r>
        <w:rPr>
          <w:noProof/>
        </w:rPr>
        <w:t>1.</w:t>
      </w:r>
      <w:r>
        <w:rPr>
          <w:noProof/>
        </w:rPr>
        <w:tab/>
      </w:r>
      <w:r w:rsidRPr="00744DCA">
        <w:rPr>
          <w:noProof/>
        </w:rPr>
        <w:t>The Programme shall be implemented in synergy with other Union programmes. An action that has received a contribution from another Union programme may also receive a contribution under the Programme</w:t>
      </w:r>
      <w:r w:rsidR="00CC0CBD" w:rsidRPr="00744DCA">
        <w:rPr>
          <w:noProof/>
        </w:rPr>
        <w:t xml:space="preserve"> provided that the contribution does not cover the same costs</w:t>
      </w:r>
      <w:r w:rsidRPr="00744DCA">
        <w:rPr>
          <w:noProof/>
        </w:rPr>
        <w:t>. The rules of the relevant Union programme shall apply to the corresponding contribution or a single set of rules of any of the contributing Union programmes may be applied to all contributions and a single legal commitment may be concluded. The cumulative support from the Union budget shall not exceed the total eligible costs of the action and may be calculated on a pro-rata basis in accordance with the documents setting out the conditions for support.</w:t>
      </w:r>
    </w:p>
    <w:p w14:paraId="01916E7A" w14:textId="77777777" w:rsidR="00CB5EDF" w:rsidRPr="00744DCA" w:rsidRDefault="00CB5EDF" w:rsidP="00CB5EDF">
      <w:pPr>
        <w:pStyle w:val="ManualNumPar1"/>
        <w:rPr>
          <w:noProof/>
        </w:rPr>
      </w:pPr>
      <w:r>
        <w:rPr>
          <w:noProof/>
        </w:rPr>
        <w:t>2.</w:t>
      </w:r>
      <w:r>
        <w:rPr>
          <w:noProof/>
        </w:rPr>
        <w:tab/>
      </w:r>
      <w:r w:rsidRPr="00744DCA">
        <w:rPr>
          <w:noProof/>
        </w:rPr>
        <w:t>In order to be awarded a Seal of Excellence under the Programme, actions shall comply with all of the following conditions: </w:t>
      </w:r>
    </w:p>
    <w:p w14:paraId="4347F312" w14:textId="77777777" w:rsidR="00CB5EDF" w:rsidRPr="00744DCA" w:rsidRDefault="00CB5EDF" w:rsidP="00B2056B">
      <w:pPr>
        <w:pStyle w:val="Point1"/>
        <w:rPr>
          <w:noProof/>
        </w:rPr>
      </w:pPr>
      <w:r>
        <w:rPr>
          <w:noProof/>
        </w:rPr>
        <w:t>(a)</w:t>
      </w:r>
      <w:r>
        <w:rPr>
          <w:noProof/>
        </w:rPr>
        <w:tab/>
      </w:r>
      <w:r w:rsidRPr="00744DCA">
        <w:rPr>
          <w:noProof/>
        </w:rPr>
        <w:t>they have been assessed in a call for proposals under the Programme; </w:t>
      </w:r>
    </w:p>
    <w:p w14:paraId="3A44CE96" w14:textId="77777777" w:rsidR="00CB5EDF" w:rsidRPr="00744DCA" w:rsidRDefault="00CB5EDF" w:rsidP="00CB5EDF">
      <w:pPr>
        <w:pStyle w:val="Point1"/>
        <w:rPr>
          <w:noProof/>
        </w:rPr>
      </w:pPr>
      <w:r>
        <w:rPr>
          <w:noProof/>
        </w:rPr>
        <w:t>(b)</w:t>
      </w:r>
      <w:r>
        <w:rPr>
          <w:noProof/>
        </w:rPr>
        <w:tab/>
      </w:r>
      <w:r w:rsidRPr="00744DCA">
        <w:rPr>
          <w:noProof/>
        </w:rPr>
        <w:t>they comply with the minimum quality requirements of that call for proposals; </w:t>
      </w:r>
    </w:p>
    <w:p w14:paraId="7CB615A6" w14:textId="77777777" w:rsidR="00CB5EDF" w:rsidRPr="00744DCA" w:rsidRDefault="00CB5EDF" w:rsidP="00CB5EDF">
      <w:pPr>
        <w:pStyle w:val="Point1"/>
        <w:rPr>
          <w:noProof/>
        </w:rPr>
      </w:pPr>
      <w:r>
        <w:rPr>
          <w:noProof/>
        </w:rPr>
        <w:t>(c)</w:t>
      </w:r>
      <w:r>
        <w:rPr>
          <w:noProof/>
        </w:rPr>
        <w:tab/>
      </w:r>
      <w:r w:rsidRPr="00744DCA">
        <w:rPr>
          <w:noProof/>
        </w:rPr>
        <w:t>they are not financed under that call for proposals due to budgetary constraints. </w:t>
      </w:r>
    </w:p>
    <w:p w14:paraId="7069743E" w14:textId="77777777" w:rsidR="00CB5EDF" w:rsidRPr="00744DCA" w:rsidRDefault="00CB5EDF" w:rsidP="00CB5EDF">
      <w:pPr>
        <w:pStyle w:val="ManualNumPar1"/>
        <w:rPr>
          <w:noProof/>
        </w:rPr>
      </w:pPr>
      <w:r>
        <w:rPr>
          <w:noProof/>
        </w:rPr>
        <w:t>3.</w:t>
      </w:r>
      <w:r>
        <w:rPr>
          <w:noProof/>
        </w:rPr>
        <w:tab/>
      </w:r>
      <w:r w:rsidRPr="00744DCA">
        <w:rPr>
          <w:noProof/>
        </w:rPr>
        <w:t>In accordance with the relevant provisions of Regulation (EU) 2021/1060, the ERDF or ESF+ may support proposals submitted to a call for proposals under the Programme, which were awarded a Seal of Excellence in accordance with the Programme. </w:t>
      </w:r>
    </w:p>
    <w:p w14:paraId="189D60F1" w14:textId="77777777" w:rsidR="00CB5EDF" w:rsidRPr="00744DCA" w:rsidRDefault="00CB5EDF" w:rsidP="00CB5EDF">
      <w:pPr>
        <w:pStyle w:val="Titrearticle"/>
        <w:rPr>
          <w:noProof/>
        </w:rPr>
      </w:pPr>
      <w:r w:rsidRPr="00744DCA">
        <w:rPr>
          <w:noProof/>
        </w:rPr>
        <w:t>Article 8</w:t>
      </w:r>
    </w:p>
    <w:p w14:paraId="689CBF1C" w14:textId="77777777" w:rsidR="00CB5EDF" w:rsidRPr="00744DCA" w:rsidRDefault="00CB5EDF" w:rsidP="00CB5EDF">
      <w:pPr>
        <w:pStyle w:val="Titrearticle"/>
        <w:spacing w:before="0"/>
        <w:rPr>
          <w:b/>
          <w:i w:val="0"/>
          <w:noProof/>
        </w:rPr>
      </w:pPr>
      <w:r w:rsidRPr="00744DCA">
        <w:rPr>
          <w:b/>
          <w:i w:val="0"/>
          <w:noProof/>
        </w:rPr>
        <w:t>Implementation and forms of Union funding</w:t>
      </w:r>
    </w:p>
    <w:p w14:paraId="605C92E6" w14:textId="77AC6E7E" w:rsidR="00CB5EDF" w:rsidRPr="00744DCA" w:rsidRDefault="00CB5EDF" w:rsidP="00B2056B">
      <w:pPr>
        <w:pStyle w:val="ManualNumPar1"/>
        <w:rPr>
          <w:noProof/>
        </w:rPr>
      </w:pPr>
      <w:r>
        <w:rPr>
          <w:noProof/>
        </w:rPr>
        <w:t>1.</w:t>
      </w:r>
      <w:r>
        <w:rPr>
          <w:noProof/>
        </w:rPr>
        <w:tab/>
      </w:r>
      <w:r w:rsidRPr="00744DCA">
        <w:rPr>
          <w:noProof/>
        </w:rPr>
        <w:t xml:space="preserve">The Programme shall be implemented under direct management in accordance with </w:t>
      </w:r>
      <w:r w:rsidR="000242A9" w:rsidRPr="00744DCA">
        <w:rPr>
          <w:noProof/>
        </w:rPr>
        <w:t xml:space="preserve">the </w:t>
      </w:r>
      <w:r>
        <w:rPr>
          <w:noProof/>
        </w:rPr>
        <w:t>Regulation (EU, Euratom) No 2018/1046</w:t>
      </w:r>
      <w:r w:rsidRPr="00744DCA">
        <w:rPr>
          <w:noProof/>
        </w:rPr>
        <w:t xml:space="preserve"> or in indirect management with bodies referred to in Article 62(1)</w:t>
      </w:r>
      <w:r w:rsidR="005F1EB2" w:rsidRPr="00744DCA">
        <w:rPr>
          <w:noProof/>
        </w:rPr>
        <w:t>, point (c),</w:t>
      </w:r>
      <w:r w:rsidRPr="00744DCA">
        <w:rPr>
          <w:noProof/>
        </w:rPr>
        <w:t xml:space="preserve"> of </w:t>
      </w:r>
      <w:r w:rsidR="000242A9" w:rsidRPr="00744DCA">
        <w:rPr>
          <w:noProof/>
        </w:rPr>
        <w:t xml:space="preserve">the </w:t>
      </w:r>
      <w:r>
        <w:rPr>
          <w:noProof/>
        </w:rPr>
        <w:t>Regulation (EU, Euratom) No 2018/1046</w:t>
      </w:r>
      <w:r w:rsidRPr="00744DCA">
        <w:rPr>
          <w:noProof/>
        </w:rPr>
        <w:t xml:space="preserve">. </w:t>
      </w:r>
    </w:p>
    <w:p w14:paraId="5A7C79D0" w14:textId="6DD065DA" w:rsidR="00CB5EDF" w:rsidRPr="00744DCA" w:rsidRDefault="00CB5EDF" w:rsidP="00CB5EDF">
      <w:pPr>
        <w:pStyle w:val="ManualNumPar1"/>
        <w:rPr>
          <w:noProof/>
        </w:rPr>
      </w:pPr>
      <w:r>
        <w:rPr>
          <w:noProof/>
        </w:rPr>
        <w:t>2.</w:t>
      </w:r>
      <w:r>
        <w:rPr>
          <w:noProof/>
        </w:rPr>
        <w:tab/>
      </w:r>
      <w:r w:rsidRPr="00744DCA">
        <w:rPr>
          <w:noProof/>
        </w:rPr>
        <w:t xml:space="preserve">Union funding may be provided in any of the forms laid down in </w:t>
      </w:r>
      <w:r w:rsidR="000242A9" w:rsidRPr="00744DCA">
        <w:rPr>
          <w:noProof/>
        </w:rPr>
        <w:t xml:space="preserve">the </w:t>
      </w:r>
      <w:r>
        <w:rPr>
          <w:noProof/>
        </w:rPr>
        <w:t>Regulation (EU, Euratom) No 2018/1046</w:t>
      </w:r>
      <w:r w:rsidRPr="00744DCA">
        <w:rPr>
          <w:noProof/>
        </w:rPr>
        <w:t xml:space="preserve">, in particular grants, prizes, procurement, and financial </w:t>
      </w:r>
      <w:r w:rsidR="00F45DFC" w:rsidRPr="00744DCA">
        <w:rPr>
          <w:noProof/>
        </w:rPr>
        <w:t xml:space="preserve">instruments </w:t>
      </w:r>
      <w:r w:rsidRPr="00744DCA">
        <w:rPr>
          <w:noProof/>
        </w:rPr>
        <w:t xml:space="preserve">within blending </w:t>
      </w:r>
      <w:r>
        <w:rPr>
          <w:noProof/>
        </w:rPr>
        <w:t>operations</w:t>
      </w:r>
      <w:r w:rsidR="001D0662" w:rsidRPr="00744DCA">
        <w:rPr>
          <w:noProof/>
        </w:rPr>
        <w:t xml:space="preserve"> </w:t>
      </w:r>
      <w:r w:rsidR="00F45DFC" w:rsidRPr="00744DCA">
        <w:rPr>
          <w:noProof/>
        </w:rPr>
        <w:t xml:space="preserve">under the InvestEU programme </w:t>
      </w:r>
      <w:r w:rsidRPr="00744DCA">
        <w:rPr>
          <w:noProof/>
        </w:rPr>
        <w:t xml:space="preserve">in accordance with Title X of </w:t>
      </w:r>
      <w:r w:rsidR="000242A9" w:rsidRPr="00744DCA">
        <w:rPr>
          <w:noProof/>
        </w:rPr>
        <w:t xml:space="preserve">the </w:t>
      </w:r>
      <w:r>
        <w:rPr>
          <w:noProof/>
        </w:rPr>
        <w:t>Regulation (EU, Euratom) No 2018/1046</w:t>
      </w:r>
      <w:r w:rsidRPr="00744DCA">
        <w:rPr>
          <w:noProof/>
        </w:rPr>
        <w:t>.</w:t>
      </w:r>
    </w:p>
    <w:p w14:paraId="745A0EDB" w14:textId="517282EA" w:rsidR="00CB5EDF" w:rsidRPr="00744DCA" w:rsidRDefault="00CB5EDF">
      <w:pPr>
        <w:pStyle w:val="ManualNumPar1"/>
        <w:rPr>
          <w:noProof/>
        </w:rPr>
      </w:pPr>
      <w:r>
        <w:rPr>
          <w:noProof/>
        </w:rPr>
        <w:t>3.</w:t>
      </w:r>
      <w:r>
        <w:rPr>
          <w:noProof/>
        </w:rPr>
        <w:tab/>
      </w:r>
      <w:r w:rsidRPr="00744DCA">
        <w:rPr>
          <w:noProof/>
        </w:rPr>
        <w:t xml:space="preserve">By way of derogation from Article 192(2) of </w:t>
      </w:r>
      <w:r w:rsidR="00F45DFC" w:rsidRPr="00744DCA">
        <w:rPr>
          <w:noProof/>
        </w:rPr>
        <w:t xml:space="preserve">the </w:t>
      </w:r>
      <w:r>
        <w:rPr>
          <w:noProof/>
        </w:rPr>
        <w:t>Regulation (EU, Euratom) No 2018/1046</w:t>
      </w:r>
      <w:r w:rsidR="00D52955" w:rsidRPr="00744DCA">
        <w:rPr>
          <w:noProof/>
        </w:rPr>
        <w:t>,</w:t>
      </w:r>
      <w:r w:rsidR="00F45DFC" w:rsidRPr="00744DCA" w:rsidDel="00F45DFC">
        <w:rPr>
          <w:noProof/>
        </w:rPr>
        <w:t xml:space="preserve"> </w:t>
      </w:r>
      <w:r w:rsidRPr="00744DCA">
        <w:rPr>
          <w:noProof/>
        </w:rPr>
        <w:t>activities referred to in Article 11(3)</w:t>
      </w:r>
      <w:r w:rsidR="001D3427" w:rsidRPr="00744DCA">
        <w:rPr>
          <w:noProof/>
        </w:rPr>
        <w:t>, point (</w:t>
      </w:r>
      <w:r w:rsidR="008C47C0" w:rsidRPr="00744DCA">
        <w:rPr>
          <w:noProof/>
        </w:rPr>
        <w:t>d</w:t>
      </w:r>
      <w:r w:rsidR="001D3427" w:rsidRPr="00744DCA">
        <w:rPr>
          <w:noProof/>
        </w:rPr>
        <w:t>)</w:t>
      </w:r>
      <w:r w:rsidRPr="00744DCA">
        <w:rPr>
          <w:noProof/>
        </w:rPr>
        <w:t>, for which Union funding is provided in the form of a grant, and profit is made, the Commission may recover the percentage of the profit corresponding to the Union contribution to the eligible costs actually incurred by the beneficiary carrying out the action, up to the final amount of the Union contribution. The profit is calculated by a surplus of receipts over the eligible costs of the action, where receipts are limited to Union funding, Member State funding, including procurement, other revenue generated during the action and any revenue resulting from the action.</w:t>
      </w:r>
      <w:r w:rsidR="0044267C" w:rsidRPr="00744DCA">
        <w:rPr>
          <w:noProof/>
        </w:rPr>
        <w:t xml:space="preserve"> </w:t>
      </w:r>
      <w:r w:rsidR="0070290B" w:rsidRPr="00744DCA">
        <w:rPr>
          <w:noProof/>
        </w:rPr>
        <w:t xml:space="preserve">The work programme may set out further details. </w:t>
      </w:r>
    </w:p>
    <w:p w14:paraId="3DF8CFC9" w14:textId="77777777" w:rsidR="00CB5EDF" w:rsidRPr="00744DCA" w:rsidRDefault="00CB5EDF">
      <w:pPr>
        <w:pStyle w:val="ManualNumPar1"/>
        <w:rPr>
          <w:noProof/>
        </w:rPr>
      </w:pPr>
      <w:r>
        <w:rPr>
          <w:noProof/>
        </w:rPr>
        <w:t>4.</w:t>
      </w:r>
      <w:r>
        <w:rPr>
          <w:noProof/>
        </w:rPr>
        <w:tab/>
      </w:r>
      <w:r w:rsidRPr="00744DCA">
        <w:rPr>
          <w:noProof/>
        </w:rPr>
        <w:t xml:space="preserve">By way of derogation from Article 193(2) of Regulation (EU, Euratom) 2018/1046, financial contributions may, where relevant and necessary for the implementation of an action, cover actions started and costs incurred prior to the date of the submission of the proposal for those actions, provided that those actions did not start before </w:t>
      </w:r>
      <w:r w:rsidR="00322F73" w:rsidRPr="00744DCA">
        <w:rPr>
          <w:noProof/>
        </w:rPr>
        <w:t>5 March</w:t>
      </w:r>
      <w:r w:rsidRPr="00744DCA">
        <w:rPr>
          <w:noProof/>
        </w:rPr>
        <w:t xml:space="preserve"> 2024 and have not been completed before the signature of the grant agreement.</w:t>
      </w:r>
    </w:p>
    <w:p w14:paraId="0D481EF9" w14:textId="48B78C31" w:rsidR="00C232D3" w:rsidRDefault="00CB5EDF" w:rsidP="007C477F">
      <w:pPr>
        <w:pStyle w:val="Titrearticle"/>
        <w:rPr>
          <w:noProof/>
        </w:rPr>
      </w:pPr>
      <w:r>
        <w:rPr>
          <w:noProof/>
        </w:rPr>
        <w:t>Article</w:t>
      </w:r>
      <w:r w:rsidRPr="00744DCA">
        <w:rPr>
          <w:noProof/>
          <w:lang w:val="en-IE"/>
        </w:rPr>
        <w:t xml:space="preserve"> 9</w:t>
      </w:r>
    </w:p>
    <w:p w14:paraId="543E4DD9" w14:textId="77777777" w:rsidR="006827DE" w:rsidRPr="00744DCA" w:rsidRDefault="006827DE" w:rsidP="006827DE">
      <w:pPr>
        <w:pStyle w:val="Titrearticle"/>
        <w:spacing w:before="0"/>
        <w:rPr>
          <w:b/>
          <w:i w:val="0"/>
          <w:noProof/>
        </w:rPr>
      </w:pPr>
      <w:r>
        <w:rPr>
          <w:b/>
          <w:i w:val="0"/>
          <w:noProof/>
        </w:rPr>
        <w:t>Third countries associated to the Programme</w:t>
      </w:r>
    </w:p>
    <w:p w14:paraId="753D6049" w14:textId="77777777" w:rsidR="006827DE" w:rsidRPr="00744DCA" w:rsidRDefault="006827DE" w:rsidP="006827DE">
      <w:pPr>
        <w:pStyle w:val="Text1"/>
        <w:ind w:left="0"/>
        <w:rPr>
          <w:noProof/>
        </w:rPr>
      </w:pPr>
      <w:r>
        <w:rPr>
          <w:noProof/>
        </w:rPr>
        <w:t xml:space="preserve">The Programme shall be open to the participation of members of the European Free Trade Association which are members of the EEA, in accordance with the conditions laid down in the Agreement on the European Economic Area (associated countries). </w:t>
      </w:r>
    </w:p>
    <w:p w14:paraId="22D8FED7" w14:textId="1EDC9FC4" w:rsidR="00C232D3" w:rsidRDefault="00CB5EDF" w:rsidP="00CB5EDF">
      <w:pPr>
        <w:pStyle w:val="Titrearticle"/>
        <w:rPr>
          <w:noProof/>
        </w:rPr>
      </w:pPr>
      <w:r w:rsidRPr="00744DCA">
        <w:rPr>
          <w:noProof/>
        </w:rPr>
        <w:t>Article 10</w:t>
      </w:r>
    </w:p>
    <w:p w14:paraId="168E0259" w14:textId="77777777" w:rsidR="00CB5EDF" w:rsidRPr="00744DCA" w:rsidRDefault="00CB5EDF" w:rsidP="00CB5EDF">
      <w:pPr>
        <w:pStyle w:val="Titrearticle"/>
        <w:rPr>
          <w:b/>
          <w:i w:val="0"/>
          <w:noProof/>
        </w:rPr>
      </w:pPr>
      <w:r w:rsidRPr="00744DCA">
        <w:rPr>
          <w:b/>
          <w:i w:val="0"/>
          <w:noProof/>
        </w:rPr>
        <w:t xml:space="preserve">Eligible </w:t>
      </w:r>
      <w:r w:rsidR="0091099C" w:rsidRPr="00744DCA">
        <w:rPr>
          <w:b/>
          <w:i w:val="0"/>
          <w:noProof/>
        </w:rPr>
        <w:t>legal</w:t>
      </w:r>
      <w:r w:rsidRPr="00744DCA">
        <w:rPr>
          <w:b/>
          <w:i w:val="0"/>
          <w:noProof/>
        </w:rPr>
        <w:t xml:space="preserve"> entities</w:t>
      </w:r>
    </w:p>
    <w:p w14:paraId="60FCE094" w14:textId="77777777" w:rsidR="00CB5EDF" w:rsidRPr="00744DCA" w:rsidRDefault="00CB5EDF" w:rsidP="00B2056B">
      <w:pPr>
        <w:pStyle w:val="ManualNumPar1"/>
        <w:rPr>
          <w:noProof/>
        </w:rPr>
      </w:pPr>
      <w:r>
        <w:rPr>
          <w:noProof/>
        </w:rPr>
        <w:t>1.</w:t>
      </w:r>
      <w:r>
        <w:rPr>
          <w:noProof/>
        </w:rPr>
        <w:tab/>
      </w:r>
      <w:r w:rsidRPr="00744DCA">
        <w:rPr>
          <w:noProof/>
        </w:rPr>
        <w:t xml:space="preserve">The eligibility criteria set out in paragraphs 2 to </w:t>
      </w:r>
      <w:r w:rsidR="00554535" w:rsidRPr="00744DCA" w:rsidDel="000B6BF1">
        <w:rPr>
          <w:noProof/>
        </w:rPr>
        <w:t>7</w:t>
      </w:r>
      <w:r w:rsidRPr="00744DCA" w:rsidDel="000B6BF1">
        <w:rPr>
          <w:noProof/>
        </w:rPr>
        <w:t xml:space="preserve"> </w:t>
      </w:r>
      <w:r w:rsidRPr="00744DCA">
        <w:rPr>
          <w:noProof/>
        </w:rPr>
        <w:t>shall apply in addition to the criteria set out in accordance with Regulation (EU, Euratom) 2018/1046.</w:t>
      </w:r>
    </w:p>
    <w:p w14:paraId="60407C35" w14:textId="77777777" w:rsidR="00CB5EDF" w:rsidRPr="00744DCA" w:rsidRDefault="00CB5EDF" w:rsidP="00B2056B">
      <w:pPr>
        <w:pStyle w:val="ManualNumPar1"/>
        <w:rPr>
          <w:noProof/>
        </w:rPr>
      </w:pPr>
      <w:r>
        <w:rPr>
          <w:noProof/>
        </w:rPr>
        <w:t>2.</w:t>
      </w:r>
      <w:r>
        <w:rPr>
          <w:noProof/>
        </w:rPr>
        <w:tab/>
      </w:r>
      <w:r w:rsidRPr="00744DCA">
        <w:rPr>
          <w:noProof/>
        </w:rPr>
        <w:t xml:space="preserve">Recipients of </w:t>
      </w:r>
      <w:r w:rsidR="00213F29" w:rsidRPr="00744DCA">
        <w:rPr>
          <w:noProof/>
        </w:rPr>
        <w:t>Union funding</w:t>
      </w:r>
      <w:r w:rsidRPr="00744DCA">
        <w:rPr>
          <w:noProof/>
        </w:rPr>
        <w:t xml:space="preserve"> shall be established in the Union or</w:t>
      </w:r>
      <w:r w:rsidR="003D6A29" w:rsidRPr="00744DCA">
        <w:rPr>
          <w:noProof/>
        </w:rPr>
        <w:t xml:space="preserve"> </w:t>
      </w:r>
      <w:r w:rsidRPr="00744DCA">
        <w:rPr>
          <w:noProof/>
        </w:rPr>
        <w:t>in an associated country</w:t>
      </w:r>
      <w:r w:rsidRPr="00744DCA" w:rsidDel="00285138">
        <w:rPr>
          <w:noProof/>
        </w:rPr>
        <w:t>.</w:t>
      </w:r>
    </w:p>
    <w:p w14:paraId="24E9F36B" w14:textId="77777777" w:rsidR="00CB5EDF" w:rsidRPr="00744DCA" w:rsidRDefault="00CB5EDF" w:rsidP="00CB5EDF">
      <w:pPr>
        <w:pStyle w:val="ManualNumPar1"/>
        <w:rPr>
          <w:noProof/>
        </w:rPr>
      </w:pPr>
      <w:r>
        <w:rPr>
          <w:noProof/>
        </w:rPr>
        <w:t>3.</w:t>
      </w:r>
      <w:r>
        <w:rPr>
          <w:noProof/>
        </w:rPr>
        <w:tab/>
      </w:r>
      <w:r w:rsidRPr="00744DCA">
        <w:rPr>
          <w:noProof/>
        </w:rPr>
        <w:t>The infrastructure, facilities, assets and resources of the recipients which are used for the purposes of the action shall be located on the territory of a Member State or of an associated country. Where recipients have no readily available alternatives or relevant infrastructure, facilities, assets and resources in the Union or in an associated country, they may use their infrastructure, facilities, assets and resources which are located or held outside the territory of the Member States or of the associated countries, provided that such use does not contravene the security and defence interests of the Union and the Member States and is consistent with the objectives set out in Article 4.</w:t>
      </w:r>
    </w:p>
    <w:p w14:paraId="3E2C1481" w14:textId="77777777" w:rsidR="00CB5EDF" w:rsidRPr="00744DCA" w:rsidRDefault="299C41F4" w:rsidP="00CB5EDF">
      <w:pPr>
        <w:pStyle w:val="ManualNumPar1"/>
        <w:rPr>
          <w:noProof/>
        </w:rPr>
      </w:pPr>
      <w:r>
        <w:rPr>
          <w:noProof/>
        </w:rPr>
        <w:t>4.</w:t>
      </w:r>
      <w:r>
        <w:rPr>
          <w:noProof/>
        </w:rPr>
        <w:tab/>
      </w:r>
      <w:r w:rsidRPr="00744DCA">
        <w:rPr>
          <w:noProof/>
        </w:rPr>
        <w:t>For the purposes of an action supported by the Programme, the recipients shall not be subject to control by a non-associated third country or by a non-associated third-country entity.</w:t>
      </w:r>
    </w:p>
    <w:p w14:paraId="3C1B8164" w14:textId="4FC1EEEB" w:rsidR="00CB5EDF" w:rsidRPr="00744DCA" w:rsidRDefault="00CB5EDF">
      <w:pPr>
        <w:pStyle w:val="ManualNumPar1"/>
        <w:rPr>
          <w:noProof/>
        </w:rPr>
      </w:pPr>
      <w:r>
        <w:rPr>
          <w:noProof/>
        </w:rPr>
        <w:t>5.</w:t>
      </w:r>
      <w:r>
        <w:rPr>
          <w:noProof/>
        </w:rPr>
        <w:tab/>
      </w:r>
      <w:r w:rsidRPr="00744DCA">
        <w:rPr>
          <w:noProof/>
        </w:rPr>
        <w:t xml:space="preserve">By way of derogation from paragraph </w:t>
      </w:r>
      <w:r w:rsidR="00A65C31" w:rsidRPr="00744DCA">
        <w:rPr>
          <w:noProof/>
        </w:rPr>
        <w:t>4</w:t>
      </w:r>
      <w:r w:rsidRPr="00744DCA">
        <w:rPr>
          <w:noProof/>
        </w:rPr>
        <w:t xml:space="preserve">, a legal entity established in the Union or in an associated country and controlled by a non-associated third country or a non-associated third-country entity shall be eligible to be a recipient if </w:t>
      </w:r>
      <w:r>
        <w:rPr>
          <w:noProof/>
        </w:rPr>
        <w:t xml:space="preserve">the acquisition of its control by a non-associated third country or a non-associated third-country entity, </w:t>
      </w:r>
      <w:r w:rsidRPr="00744DCA">
        <w:rPr>
          <w:noProof/>
        </w:rPr>
        <w:t>has been subject to screening within the meaning of Regulation (EU) 2019/452 of the European Parliament and of the Council</w:t>
      </w:r>
      <w:r w:rsidR="00115143" w:rsidRPr="00115143">
        <w:rPr>
          <w:noProof/>
        </w:rPr>
        <w:t xml:space="preserve"> </w:t>
      </w:r>
      <w:r w:rsidRPr="00744DCA">
        <w:rPr>
          <w:noProof/>
        </w:rPr>
        <w:t xml:space="preserve">and, where necessary, to </w:t>
      </w:r>
      <w:r>
        <w:rPr>
          <w:noProof/>
        </w:rPr>
        <w:t xml:space="preserve">appropriate </w:t>
      </w:r>
      <w:r w:rsidRPr="00744DCA">
        <w:rPr>
          <w:noProof/>
        </w:rPr>
        <w:t xml:space="preserve">mitigation measures, taking into account the objectives set out in Article 4 of this Regulation, or if guarantees approved by the Member State or the associated country in which it is established in accordance with its national procedures are made available to the Commission. </w:t>
      </w:r>
    </w:p>
    <w:p w14:paraId="063F9BB8" w14:textId="77777777" w:rsidR="00CB5EDF" w:rsidRPr="00744DCA" w:rsidRDefault="00CB5EDF" w:rsidP="00CB5EDF">
      <w:pPr>
        <w:pStyle w:val="Text1"/>
        <w:rPr>
          <w:noProof/>
        </w:rPr>
      </w:pPr>
      <w:r w:rsidRPr="00744DCA">
        <w:rPr>
          <w:noProof/>
        </w:rPr>
        <w:t xml:space="preserve">The guarantees shall provide assurances that the involvement in an action of such a legal entity would not contravene the security and defence interests of the Union and its Member States as established in the framework of the CFSP pursuant to Title V of the </w:t>
      </w:r>
      <w:r w:rsidR="00097A60" w:rsidRPr="00744DCA">
        <w:rPr>
          <w:noProof/>
        </w:rPr>
        <w:t>Treaty on European Union (TEU)</w:t>
      </w:r>
      <w:r w:rsidRPr="00744DCA">
        <w:rPr>
          <w:noProof/>
        </w:rPr>
        <w:t>, or the objectives set out in Article 4. The guarantees shall also comply with Article 11(</w:t>
      </w:r>
      <w:r w:rsidR="007B5EA3" w:rsidRPr="00744DCA">
        <w:rPr>
          <w:noProof/>
        </w:rPr>
        <w:t>8</w:t>
      </w:r>
      <w:r w:rsidRPr="00744DCA">
        <w:rPr>
          <w:noProof/>
        </w:rPr>
        <w:t>)</w:t>
      </w:r>
      <w:r w:rsidR="00097A60" w:rsidRPr="00744DCA">
        <w:rPr>
          <w:noProof/>
        </w:rPr>
        <w:t>, point (c)</w:t>
      </w:r>
      <w:r w:rsidRPr="00744DCA">
        <w:rPr>
          <w:noProof/>
        </w:rPr>
        <w:t>. The guarantees shall in particular substantiate that, for the purposes of an action, measures are in place to ensure that:</w:t>
      </w:r>
    </w:p>
    <w:p w14:paraId="514592C5" w14:textId="77777777" w:rsidR="00CB5EDF" w:rsidRPr="00744DCA" w:rsidRDefault="00CB5EDF" w:rsidP="00B91A8D">
      <w:pPr>
        <w:pStyle w:val="Point1"/>
        <w:rPr>
          <w:noProof/>
        </w:rPr>
      </w:pPr>
      <w:r>
        <w:rPr>
          <w:noProof/>
        </w:rPr>
        <w:t>(a)</w:t>
      </w:r>
      <w:r>
        <w:rPr>
          <w:noProof/>
        </w:rPr>
        <w:tab/>
      </w:r>
      <w:r w:rsidRPr="00744DCA">
        <w:rPr>
          <w:noProof/>
        </w:rPr>
        <w:t>control over the legal entity is not exercised in a manner that restrains or restricts its ability to carry out the action and to deliver results, that imposes restrictions concerning its infrastructure, facilities, assets, resources, intellectual property or knowhow needed for the purposes of the action, or that undermines its capabilities and standards necessary to carry out the action;</w:t>
      </w:r>
    </w:p>
    <w:p w14:paraId="751C80DB" w14:textId="77777777" w:rsidR="00CB5EDF" w:rsidRPr="00744DCA" w:rsidRDefault="00CB5EDF" w:rsidP="00CB5EDF">
      <w:pPr>
        <w:pStyle w:val="Point1"/>
        <w:rPr>
          <w:noProof/>
        </w:rPr>
      </w:pPr>
      <w:r>
        <w:rPr>
          <w:noProof/>
        </w:rPr>
        <w:t>(b)</w:t>
      </w:r>
      <w:r>
        <w:rPr>
          <w:noProof/>
        </w:rPr>
        <w:tab/>
      </w:r>
      <w:r w:rsidRPr="00744DCA">
        <w:rPr>
          <w:noProof/>
        </w:rPr>
        <w:t>access by a non-associated third country or by a non-associated third-country entity to sensitive information relating to the action is prevented and the employees or other persons involved in the action have national security clearance issued by a Member State or an associated country, where appropriate;</w:t>
      </w:r>
    </w:p>
    <w:p w14:paraId="618843F9" w14:textId="77777777" w:rsidR="00CB5EDF" w:rsidRPr="00744DCA" w:rsidRDefault="00CB5EDF" w:rsidP="00CB5EDF">
      <w:pPr>
        <w:pStyle w:val="Text1"/>
        <w:rPr>
          <w:noProof/>
        </w:rPr>
      </w:pPr>
      <w:r w:rsidRPr="00744DCA">
        <w:rPr>
          <w:noProof/>
        </w:rPr>
        <w:t>If considered to be appropriate by the Member State or the associated country in which the legal entity is established, additional guarantees may be provided.</w:t>
      </w:r>
    </w:p>
    <w:p w14:paraId="43A48F62" w14:textId="77777777" w:rsidR="00CB5EDF" w:rsidRPr="00744DCA" w:rsidRDefault="00CB5EDF" w:rsidP="00CB5EDF">
      <w:pPr>
        <w:pStyle w:val="Text1"/>
        <w:rPr>
          <w:noProof/>
        </w:rPr>
      </w:pPr>
      <w:r w:rsidRPr="00744DCA">
        <w:rPr>
          <w:noProof/>
        </w:rPr>
        <w:t>The Commission shall inform the committee referred to in Article 5</w:t>
      </w:r>
      <w:r w:rsidR="00745000" w:rsidRPr="00744DCA">
        <w:rPr>
          <w:noProof/>
        </w:rPr>
        <w:t>7</w:t>
      </w:r>
      <w:r w:rsidRPr="00744DCA">
        <w:rPr>
          <w:noProof/>
        </w:rPr>
        <w:t xml:space="preserve"> of any legal entity considered to be eligible in accordance with this paragraph.</w:t>
      </w:r>
    </w:p>
    <w:p w14:paraId="1B1D79F8" w14:textId="77777777" w:rsidR="00CB5EDF" w:rsidRPr="00744DCA" w:rsidRDefault="299C41F4" w:rsidP="00CB5EDF">
      <w:pPr>
        <w:pStyle w:val="ManualNumPar1"/>
        <w:rPr>
          <w:noProof/>
        </w:rPr>
      </w:pPr>
      <w:r>
        <w:rPr>
          <w:noProof/>
        </w:rPr>
        <w:t>6.</w:t>
      </w:r>
      <w:r>
        <w:rPr>
          <w:noProof/>
        </w:rPr>
        <w:tab/>
      </w:r>
      <w:r w:rsidRPr="00744DCA">
        <w:rPr>
          <w:noProof/>
        </w:rPr>
        <w:t>When carrying out an eligible action, recipients may also cooperate with legal entities established outside the territory of the Member States</w:t>
      </w:r>
      <w:r w:rsidR="00CB5EDF" w:rsidRPr="00744DCA" w:rsidDel="299C41F4">
        <w:rPr>
          <w:noProof/>
        </w:rPr>
        <w:t xml:space="preserve"> or</w:t>
      </w:r>
      <w:r w:rsidRPr="00744DCA">
        <w:rPr>
          <w:noProof/>
        </w:rPr>
        <w:t xml:space="preserve"> of associated countries, or controlled by a non-associated third country or by a non-associated third-country entity, including by using the assets, infrastructure, facilities and resources of such legal entities, provided that this does not contravene the security and defence interests of the Union and its Member States. Such cooperation shall be consistent with the objectives set out in Article 4 and compl</w:t>
      </w:r>
      <w:r w:rsidR="00097A60" w:rsidRPr="00744DCA">
        <w:rPr>
          <w:noProof/>
        </w:rPr>
        <w:t>y</w:t>
      </w:r>
      <w:r w:rsidRPr="00744DCA">
        <w:rPr>
          <w:noProof/>
        </w:rPr>
        <w:t xml:space="preserve"> with Article 11(</w:t>
      </w:r>
      <w:r w:rsidR="0054777B" w:rsidRPr="00744DCA">
        <w:rPr>
          <w:noProof/>
        </w:rPr>
        <w:t>8</w:t>
      </w:r>
      <w:r w:rsidRPr="00744DCA">
        <w:rPr>
          <w:noProof/>
        </w:rPr>
        <w:t>)</w:t>
      </w:r>
      <w:r w:rsidR="00097A60" w:rsidRPr="00744DCA">
        <w:rPr>
          <w:noProof/>
        </w:rPr>
        <w:t>, point (c)</w:t>
      </w:r>
      <w:r w:rsidRPr="00744DCA">
        <w:rPr>
          <w:noProof/>
        </w:rPr>
        <w:t>.</w:t>
      </w:r>
    </w:p>
    <w:p w14:paraId="54DCF0FD" w14:textId="77777777" w:rsidR="00CB5EDF" w:rsidRPr="00744DCA" w:rsidRDefault="00CB5EDF" w:rsidP="00CB5EDF">
      <w:pPr>
        <w:pStyle w:val="Text1"/>
        <w:rPr>
          <w:noProof/>
        </w:rPr>
      </w:pPr>
      <w:r w:rsidRPr="00744DCA">
        <w:rPr>
          <w:noProof/>
        </w:rPr>
        <w:t>There shall be no unauthorised access by a non-associated third country</w:t>
      </w:r>
      <w:r w:rsidR="008B2C10" w:rsidRPr="00744DCA">
        <w:rPr>
          <w:noProof/>
        </w:rPr>
        <w:t>,</w:t>
      </w:r>
      <w:r w:rsidRPr="00744DCA">
        <w:rPr>
          <w:noProof/>
        </w:rPr>
        <w:t xml:space="preserve"> or other non-associated third-country entity to classified information relating to the carrying out of the action and potential negative effects over security of supply of inputs critical to the action shall be avoided.</w:t>
      </w:r>
    </w:p>
    <w:p w14:paraId="3B160835" w14:textId="77777777" w:rsidR="00CB5EDF" w:rsidRPr="00744DCA" w:rsidRDefault="00CB5EDF" w:rsidP="00CB5EDF">
      <w:pPr>
        <w:pStyle w:val="Text1"/>
        <w:rPr>
          <w:noProof/>
        </w:rPr>
      </w:pPr>
      <w:r w:rsidRPr="00744DCA">
        <w:rPr>
          <w:noProof/>
        </w:rPr>
        <w:t>The costs related to those activities shall not be eligible for support from the Programme.</w:t>
      </w:r>
    </w:p>
    <w:p w14:paraId="57459B1D" w14:textId="77777777" w:rsidR="00CB5EDF" w:rsidRPr="00744DCA" w:rsidRDefault="00CB5EDF" w:rsidP="00CB5EDF">
      <w:pPr>
        <w:pStyle w:val="ManualNumPar1"/>
        <w:rPr>
          <w:noProof/>
        </w:rPr>
      </w:pPr>
      <w:r>
        <w:rPr>
          <w:noProof/>
        </w:rPr>
        <w:t>7.</w:t>
      </w:r>
      <w:r>
        <w:rPr>
          <w:noProof/>
        </w:rPr>
        <w:tab/>
      </w:r>
      <w:r w:rsidRPr="00744DCA">
        <w:rPr>
          <w:noProof/>
        </w:rPr>
        <w:t xml:space="preserve">Paragraphs 2 to 6 shall not apply to: </w:t>
      </w:r>
    </w:p>
    <w:p w14:paraId="245C9AC7" w14:textId="77777777" w:rsidR="00CB5EDF" w:rsidRPr="00744DCA" w:rsidRDefault="00065A29" w:rsidP="00B91A8D">
      <w:pPr>
        <w:pStyle w:val="Point1"/>
        <w:rPr>
          <w:noProof/>
        </w:rPr>
      </w:pPr>
      <w:r>
        <w:rPr>
          <w:noProof/>
        </w:rPr>
        <w:t>(a)</w:t>
      </w:r>
      <w:r>
        <w:rPr>
          <w:noProof/>
        </w:rPr>
        <w:tab/>
      </w:r>
      <w:r w:rsidRPr="00744DCA">
        <w:rPr>
          <w:noProof/>
        </w:rPr>
        <w:t>c</w:t>
      </w:r>
      <w:r w:rsidR="00CB5EDF" w:rsidRPr="00744DCA">
        <w:rPr>
          <w:noProof/>
        </w:rPr>
        <w:t>ontracting authorities of Member States and associated countries;</w:t>
      </w:r>
    </w:p>
    <w:p w14:paraId="0FAA85B5" w14:textId="77777777" w:rsidR="00CB5EDF" w:rsidRPr="00744DCA" w:rsidRDefault="00CB5EDF" w:rsidP="00B91A8D">
      <w:pPr>
        <w:pStyle w:val="Point1"/>
        <w:rPr>
          <w:noProof/>
        </w:rPr>
      </w:pPr>
      <w:r>
        <w:rPr>
          <w:noProof/>
        </w:rPr>
        <w:t>(b)</w:t>
      </w:r>
      <w:r>
        <w:rPr>
          <w:noProof/>
        </w:rPr>
        <w:tab/>
      </w:r>
      <w:r w:rsidRPr="00744DCA">
        <w:rPr>
          <w:noProof/>
        </w:rPr>
        <w:t>International Organisations;</w:t>
      </w:r>
    </w:p>
    <w:p w14:paraId="1BD83A30" w14:textId="77777777" w:rsidR="00CB5EDF" w:rsidRPr="00744DCA" w:rsidRDefault="003452A9" w:rsidP="00B91A8D">
      <w:pPr>
        <w:pStyle w:val="Point1"/>
        <w:rPr>
          <w:noProof/>
        </w:rPr>
      </w:pPr>
      <w:r>
        <w:rPr>
          <w:noProof/>
        </w:rPr>
        <w:t>(c)</w:t>
      </w:r>
      <w:r>
        <w:rPr>
          <w:noProof/>
        </w:rPr>
        <w:tab/>
      </w:r>
      <w:r w:rsidRPr="00744DCA">
        <w:rPr>
          <w:noProof/>
        </w:rPr>
        <w:t xml:space="preserve">Structures for </w:t>
      </w:r>
      <w:r w:rsidR="00CB5EDF" w:rsidRPr="00744DCA">
        <w:rPr>
          <w:noProof/>
        </w:rPr>
        <w:t>European Armament Programme;</w:t>
      </w:r>
    </w:p>
    <w:p w14:paraId="513CF736" w14:textId="77777777" w:rsidR="00CB5EDF" w:rsidRPr="00744DCA" w:rsidRDefault="00CB3972" w:rsidP="00B91A8D">
      <w:pPr>
        <w:pStyle w:val="Point1"/>
        <w:rPr>
          <w:noProof/>
        </w:rPr>
      </w:pPr>
      <w:r>
        <w:rPr>
          <w:noProof/>
        </w:rPr>
        <w:t>(d)</w:t>
      </w:r>
      <w:r>
        <w:rPr>
          <w:noProof/>
        </w:rPr>
        <w:tab/>
      </w:r>
      <w:r w:rsidRPr="00744DCA">
        <w:rPr>
          <w:noProof/>
        </w:rPr>
        <w:t>t</w:t>
      </w:r>
      <w:r w:rsidR="69338917" w:rsidRPr="00744DCA">
        <w:rPr>
          <w:noProof/>
        </w:rPr>
        <w:t xml:space="preserve">he </w:t>
      </w:r>
      <w:r w:rsidR="299C41F4" w:rsidRPr="00744DCA">
        <w:rPr>
          <w:noProof/>
        </w:rPr>
        <w:t>European Defence Agency.</w:t>
      </w:r>
    </w:p>
    <w:p w14:paraId="2AE4C02A" w14:textId="77777777" w:rsidR="00CB5EDF" w:rsidRPr="00744DCA" w:rsidRDefault="00CB5EDF" w:rsidP="00CB5EDF">
      <w:pPr>
        <w:pStyle w:val="Titrearticle"/>
        <w:rPr>
          <w:noProof/>
        </w:rPr>
      </w:pPr>
      <w:bookmarkStart w:id="3" w:name="_Hlk160100353"/>
      <w:r w:rsidRPr="00744DCA">
        <w:rPr>
          <w:noProof/>
        </w:rPr>
        <w:t>Article 11</w:t>
      </w:r>
    </w:p>
    <w:p w14:paraId="24ACD42A" w14:textId="77777777" w:rsidR="00CB5EDF" w:rsidRPr="00744DCA" w:rsidRDefault="00CB5EDF" w:rsidP="00CB5EDF">
      <w:pPr>
        <w:pStyle w:val="Titrearticle"/>
        <w:rPr>
          <w:noProof/>
        </w:rPr>
      </w:pPr>
      <w:r w:rsidRPr="00744DCA">
        <w:rPr>
          <w:b/>
          <w:i w:val="0"/>
          <w:noProof/>
        </w:rPr>
        <w:t>Eligible actions</w:t>
      </w:r>
    </w:p>
    <w:p w14:paraId="15541EFC" w14:textId="77777777" w:rsidR="00CB5EDF" w:rsidRPr="00744DCA" w:rsidRDefault="00CB5EDF" w:rsidP="00B2056B">
      <w:pPr>
        <w:pStyle w:val="ManualNumPar1"/>
        <w:rPr>
          <w:noProof/>
        </w:rPr>
      </w:pPr>
      <w:r>
        <w:rPr>
          <w:noProof/>
        </w:rPr>
        <w:t>1.</w:t>
      </w:r>
      <w:r>
        <w:rPr>
          <w:noProof/>
        </w:rPr>
        <w:tab/>
      </w:r>
      <w:r w:rsidRPr="00744DCA">
        <w:rPr>
          <w:noProof/>
        </w:rPr>
        <w:t xml:space="preserve">Only actions implementing the objectives </w:t>
      </w:r>
      <w:r w:rsidR="00CB3972" w:rsidRPr="00744DCA">
        <w:rPr>
          <w:noProof/>
        </w:rPr>
        <w:t>set out</w:t>
      </w:r>
      <w:r w:rsidRPr="00744DCA">
        <w:rPr>
          <w:noProof/>
        </w:rPr>
        <w:t xml:space="preserve"> in Article 4 shall be eligible for funding</w:t>
      </w:r>
      <w:r w:rsidR="00267B35" w:rsidRPr="00744DCA">
        <w:rPr>
          <w:noProof/>
        </w:rPr>
        <w:t>.</w:t>
      </w:r>
      <w:bookmarkEnd w:id="3"/>
      <w:r w:rsidR="00B34B25" w:rsidRPr="00744DCA">
        <w:rPr>
          <w:noProof/>
          <w:color w:val="333333"/>
          <w:sz w:val="27"/>
          <w:szCs w:val="27"/>
          <w:shd w:val="clear" w:color="auto" w:fill="FFFFFF"/>
        </w:rPr>
        <w:t xml:space="preserve"> </w:t>
      </w:r>
      <w:r w:rsidR="00B34B25" w:rsidRPr="00744DCA">
        <w:rPr>
          <w:noProof/>
        </w:rPr>
        <w:t>An eligible action shall relate to one or more of the activities referred to in paragraph 2 to 5</w:t>
      </w:r>
      <w:r w:rsidR="00B5576A" w:rsidRPr="00744DCA">
        <w:rPr>
          <w:noProof/>
        </w:rPr>
        <w:t>:</w:t>
      </w:r>
    </w:p>
    <w:p w14:paraId="57356736" w14:textId="77777777" w:rsidR="00CB5EDF" w:rsidRPr="00744DCA" w:rsidRDefault="299C41F4" w:rsidP="003D5D3A">
      <w:pPr>
        <w:pStyle w:val="ManualNumPar1"/>
        <w:rPr>
          <w:noProof/>
        </w:rPr>
      </w:pPr>
      <w:r>
        <w:rPr>
          <w:noProof/>
        </w:rPr>
        <w:t>2.</w:t>
      </w:r>
      <w:r>
        <w:rPr>
          <w:noProof/>
        </w:rPr>
        <w:tab/>
      </w:r>
      <w:r w:rsidRPr="00744DCA">
        <w:rPr>
          <w:noProof/>
        </w:rPr>
        <w:t xml:space="preserve">Activities related to </w:t>
      </w:r>
      <w:r w:rsidR="00CB5EDF" w:rsidRPr="00744DCA">
        <w:rPr>
          <w:noProof/>
        </w:rPr>
        <w:t>cooperation of public authorities in defence procurement processes (defence cooperation actions) may cover</w:t>
      </w:r>
      <w:r w:rsidR="001E47FF" w:rsidRPr="00744DCA">
        <w:rPr>
          <w:noProof/>
        </w:rPr>
        <w:t xml:space="preserve"> </w:t>
      </w:r>
      <w:r w:rsidR="007F447E" w:rsidRPr="00744DCA">
        <w:rPr>
          <w:noProof/>
        </w:rPr>
        <w:t xml:space="preserve">the cooperation for common procurement of defence products, throughout the life cycle of defence products, including for the purpose of building a Defence Industrial Readiness Pool as referred to </w:t>
      </w:r>
      <w:r w:rsidR="003A4C30" w:rsidRPr="00744DCA">
        <w:rPr>
          <w:noProof/>
        </w:rPr>
        <w:t>Article 14(1), point (b)</w:t>
      </w:r>
      <w:r w:rsidR="007F447E" w:rsidRPr="00744DCA">
        <w:rPr>
          <w:noProof/>
        </w:rPr>
        <w:t>.</w:t>
      </w:r>
    </w:p>
    <w:p w14:paraId="36C56F44" w14:textId="77777777" w:rsidR="00CB5EDF" w:rsidRPr="00744DCA" w:rsidRDefault="00CB5EDF" w:rsidP="00D06A25">
      <w:pPr>
        <w:pStyle w:val="ManualNumPar1"/>
        <w:rPr>
          <w:noProof/>
        </w:rPr>
      </w:pPr>
      <w:r>
        <w:rPr>
          <w:noProof/>
        </w:rPr>
        <w:t>3.</w:t>
      </w:r>
      <w:r>
        <w:rPr>
          <w:noProof/>
        </w:rPr>
        <w:tab/>
      </w:r>
      <w:r w:rsidRPr="00744DCA">
        <w:rPr>
          <w:noProof/>
        </w:rPr>
        <w:t>Activities related to speeding up the adjustment to structural changes of the production capacity of defence products, including their components and corresponding raw materials insofar as they are intended or used wholly for the production of defence products (industry reinforcement actions) may cover:</w:t>
      </w:r>
    </w:p>
    <w:p w14:paraId="4F4A45B7" w14:textId="77777777" w:rsidR="00CB5EDF" w:rsidRPr="00744DCA" w:rsidRDefault="00CB5EDF" w:rsidP="00B2056B">
      <w:pPr>
        <w:pStyle w:val="Point1"/>
        <w:rPr>
          <w:noProof/>
        </w:rPr>
      </w:pPr>
      <w:r>
        <w:rPr>
          <w:noProof/>
        </w:rPr>
        <w:t>(a)</w:t>
      </w:r>
      <w:r>
        <w:rPr>
          <w:noProof/>
        </w:rPr>
        <w:tab/>
      </w:r>
      <w:r w:rsidRPr="00744DCA">
        <w:rPr>
          <w:noProof/>
        </w:rPr>
        <w:t>the optimisation, expansion, modernisation, upgrading or repurposing of existing, or the establishment of new, production capacities insofar as those components and raw materials are intended or used wholly for the production of defence products, in particular with a view to increasing production capacity or reducing lead production times, including on the basis of the procurement or acquisition of the requisite machine tools and any other necessary input;</w:t>
      </w:r>
    </w:p>
    <w:p w14:paraId="6F61584A" w14:textId="77777777" w:rsidR="00CB5EDF" w:rsidRPr="00744DCA" w:rsidRDefault="00CB5EDF" w:rsidP="00B2056B">
      <w:pPr>
        <w:pStyle w:val="Point1"/>
        <w:rPr>
          <w:noProof/>
        </w:rPr>
      </w:pPr>
      <w:r>
        <w:rPr>
          <w:noProof/>
        </w:rPr>
        <w:t>(b)</w:t>
      </w:r>
      <w:r>
        <w:rPr>
          <w:noProof/>
        </w:rPr>
        <w:tab/>
      </w:r>
      <w:r w:rsidRPr="00744DCA">
        <w:rPr>
          <w:noProof/>
        </w:rPr>
        <w:tab/>
        <w:t>the establishment of cross-border industrial partnerships, including through public private partnerships or other forms of industrial cooperation, in a joint industrial effort, including activities that aim to coordinate the sourcing or reservation and stockpiling of defence products, components and corresponding raw materials insofar as those components and raw materials are intended or used wholly for the production of defence products, as well as to coordinate production capacities and production plans;</w:t>
      </w:r>
    </w:p>
    <w:p w14:paraId="048514C9" w14:textId="77777777" w:rsidR="00CB5EDF" w:rsidRPr="00744DCA" w:rsidRDefault="299C41F4" w:rsidP="00B2056B">
      <w:pPr>
        <w:pStyle w:val="Point1"/>
        <w:rPr>
          <w:noProof/>
        </w:rPr>
      </w:pPr>
      <w:r>
        <w:rPr>
          <w:noProof/>
        </w:rPr>
        <w:t>(c)</w:t>
      </w:r>
      <w:r>
        <w:rPr>
          <w:noProof/>
        </w:rPr>
        <w:tab/>
      </w:r>
      <w:r w:rsidRPr="00744DCA">
        <w:rPr>
          <w:noProof/>
        </w:rPr>
        <w:t>the building</w:t>
      </w:r>
      <w:r w:rsidR="00CB5EDF" w:rsidRPr="00744DCA">
        <w:rPr>
          <w:noProof/>
        </w:rPr>
        <w:t>-</w:t>
      </w:r>
      <w:r w:rsidRPr="00744DCA">
        <w:rPr>
          <w:noProof/>
        </w:rPr>
        <w:t>up and making available of reserved surge manufacturing capacities (ever warm facilities) of defence products, their components and corresponding raw materials, insofar as those components and raw materials are intended or used wholly for the production of defence products, in accordance with ordered or planned production volumes;</w:t>
      </w:r>
    </w:p>
    <w:p w14:paraId="007B06EA" w14:textId="762BC38E" w:rsidR="00CB5EDF" w:rsidRPr="00744DCA" w:rsidRDefault="299C41F4" w:rsidP="00B2056B">
      <w:pPr>
        <w:pStyle w:val="Point1"/>
        <w:rPr>
          <w:noProof/>
        </w:rPr>
      </w:pPr>
      <w:r>
        <w:rPr>
          <w:noProof/>
        </w:rPr>
        <w:t>(d)</w:t>
      </w:r>
      <w:r>
        <w:rPr>
          <w:noProof/>
        </w:rPr>
        <w:tab/>
        <w:t>fostering industrialisation</w:t>
      </w:r>
      <w:r w:rsidRPr="00744DCA">
        <w:rPr>
          <w:noProof/>
        </w:rPr>
        <w:t xml:space="preserve"> and commercialisation of defence products that have been developed in the framework of actions funded by the Union or other cooperative activities conducted with support by at least two Member States including through the establishment of cross-border industrial partnerships, public private partnerships or other forms of industrial cooperation, ramping-up of initial production as well as licensing production, where appropriate;</w:t>
      </w:r>
    </w:p>
    <w:p w14:paraId="0AC4F2B6" w14:textId="77777777" w:rsidR="00CB5EDF" w:rsidRPr="00744DCA" w:rsidRDefault="00CB5EDF" w:rsidP="00B2056B">
      <w:pPr>
        <w:pStyle w:val="Point1"/>
        <w:rPr>
          <w:noProof/>
        </w:rPr>
      </w:pPr>
      <w:r>
        <w:rPr>
          <w:noProof/>
        </w:rPr>
        <w:t>(e)</w:t>
      </w:r>
      <w:r>
        <w:rPr>
          <w:noProof/>
        </w:rPr>
        <w:tab/>
      </w:r>
      <w:r w:rsidRPr="00744DCA">
        <w:rPr>
          <w:noProof/>
        </w:rPr>
        <w:t>the testing, including the necessary infrastructure, and, as appropriate, reconditioning certification of defence products with a view to addressing their obsolescence and making them useable by end users.</w:t>
      </w:r>
    </w:p>
    <w:p w14:paraId="409FF055" w14:textId="77777777" w:rsidR="00296B4C" w:rsidRPr="00744DCA" w:rsidRDefault="00296B4C" w:rsidP="00D06A25">
      <w:pPr>
        <w:pStyle w:val="ManualNumPar1"/>
        <w:rPr>
          <w:noProof/>
        </w:rPr>
      </w:pPr>
      <w:r>
        <w:rPr>
          <w:noProof/>
        </w:rPr>
        <w:t>4.</w:t>
      </w:r>
      <w:r>
        <w:rPr>
          <w:noProof/>
        </w:rPr>
        <w:tab/>
      </w:r>
      <w:r w:rsidRPr="00744DCA">
        <w:rPr>
          <w:noProof/>
        </w:rPr>
        <w:t>Activities aiming at supporting the deployment of a European Defence Project of Common Interest.</w:t>
      </w:r>
    </w:p>
    <w:p w14:paraId="52D3C568" w14:textId="77777777" w:rsidR="00CB5EDF" w:rsidRPr="00744DCA" w:rsidRDefault="00CB5EDF" w:rsidP="00D06A25">
      <w:pPr>
        <w:pStyle w:val="ManualNumPar1"/>
        <w:rPr>
          <w:noProof/>
        </w:rPr>
      </w:pPr>
      <w:r>
        <w:rPr>
          <w:noProof/>
        </w:rPr>
        <w:t>5.</w:t>
      </w:r>
      <w:r>
        <w:rPr>
          <w:noProof/>
        </w:rPr>
        <w:tab/>
      </w:r>
      <w:r w:rsidRPr="00744DCA">
        <w:rPr>
          <w:noProof/>
        </w:rPr>
        <w:t>Supporting activities (</w:t>
      </w:r>
      <w:r w:rsidR="004248D0" w:rsidRPr="00744DCA">
        <w:rPr>
          <w:noProof/>
        </w:rPr>
        <w:t>‘</w:t>
      </w:r>
      <w:r w:rsidRPr="00744DCA">
        <w:rPr>
          <w:noProof/>
        </w:rPr>
        <w:t>support actions</w:t>
      </w:r>
      <w:r w:rsidR="004F65C4" w:rsidRPr="00744DCA">
        <w:rPr>
          <w:noProof/>
        </w:rPr>
        <w:t>’</w:t>
      </w:r>
      <w:r w:rsidRPr="00744DCA">
        <w:rPr>
          <w:noProof/>
        </w:rPr>
        <w:t>)</w:t>
      </w:r>
      <w:r w:rsidR="004248D0" w:rsidRPr="00744DCA">
        <w:rPr>
          <w:noProof/>
        </w:rPr>
        <w:t xml:space="preserve"> may cover</w:t>
      </w:r>
      <w:r w:rsidRPr="00744DCA">
        <w:rPr>
          <w:noProof/>
        </w:rPr>
        <w:t>:</w:t>
      </w:r>
    </w:p>
    <w:p w14:paraId="214904BE" w14:textId="77777777" w:rsidR="000F5FD5" w:rsidRPr="00744DCA" w:rsidRDefault="000F5FD5" w:rsidP="00B2056B">
      <w:pPr>
        <w:pStyle w:val="Point1"/>
        <w:rPr>
          <w:noProof/>
        </w:rPr>
      </w:pPr>
      <w:r>
        <w:rPr>
          <w:noProof/>
        </w:rPr>
        <w:t>(a)</w:t>
      </w:r>
      <w:r>
        <w:rPr>
          <w:noProof/>
        </w:rPr>
        <w:tab/>
      </w:r>
      <w:r w:rsidRPr="00744DCA">
        <w:rPr>
          <w:noProof/>
        </w:rPr>
        <w:t>activities that aim to increase interoperability and interchangeability, including the cross certification of defence products and activities leading to mutual recognition of certification or to facilitate the implementation of military standards;</w:t>
      </w:r>
    </w:p>
    <w:p w14:paraId="0947BE53" w14:textId="77777777" w:rsidR="00CB5EDF" w:rsidRPr="00744DCA" w:rsidRDefault="299C41F4" w:rsidP="00B2056B">
      <w:pPr>
        <w:pStyle w:val="Point1"/>
        <w:rPr>
          <w:noProof/>
        </w:rPr>
      </w:pPr>
      <w:r>
        <w:rPr>
          <w:noProof/>
        </w:rPr>
        <w:t>(b)</w:t>
      </w:r>
      <w:r>
        <w:rPr>
          <w:noProof/>
        </w:rPr>
        <w:tab/>
      </w:r>
      <w:r w:rsidRPr="00744DCA">
        <w:rPr>
          <w:noProof/>
        </w:rPr>
        <w:t>activities to strengthen security of supply and resilience, in particular by facilitating the access to the defence market for SMEs, small mid-caps</w:t>
      </w:r>
      <w:r w:rsidR="27CFB56B" w:rsidRPr="00744DCA">
        <w:rPr>
          <w:noProof/>
        </w:rPr>
        <w:t>, other mid-caps</w:t>
      </w:r>
      <w:r w:rsidRPr="00744DCA">
        <w:rPr>
          <w:noProof/>
        </w:rPr>
        <w:t xml:space="preserve"> and start-ups and support to obtain the necessary quality and production certifications;</w:t>
      </w:r>
    </w:p>
    <w:p w14:paraId="205D2CB4" w14:textId="77777777" w:rsidR="00CB5EDF" w:rsidRPr="00744DCA" w:rsidRDefault="299C41F4" w:rsidP="00B2056B">
      <w:pPr>
        <w:pStyle w:val="Point1"/>
        <w:rPr>
          <w:noProof/>
        </w:rPr>
      </w:pPr>
      <w:r>
        <w:rPr>
          <w:noProof/>
        </w:rPr>
        <w:t>(c)</w:t>
      </w:r>
      <w:r>
        <w:rPr>
          <w:noProof/>
        </w:rPr>
        <w:tab/>
      </w:r>
      <w:r w:rsidRPr="00744DCA">
        <w:rPr>
          <w:noProof/>
        </w:rPr>
        <w:t>the training, reskilling or upskilling of personnel in relation to the activities referred to in this Article;</w:t>
      </w:r>
    </w:p>
    <w:p w14:paraId="3188B1DC" w14:textId="77777777" w:rsidR="00CB5EDF" w:rsidRPr="00744DCA" w:rsidRDefault="299C41F4" w:rsidP="00B2056B">
      <w:pPr>
        <w:pStyle w:val="Point1"/>
        <w:rPr>
          <w:noProof/>
        </w:rPr>
      </w:pPr>
      <w:r>
        <w:rPr>
          <w:noProof/>
        </w:rPr>
        <w:t>(d)</w:t>
      </w:r>
      <w:r>
        <w:rPr>
          <w:noProof/>
        </w:rPr>
        <w:tab/>
      </w:r>
      <w:r w:rsidRPr="00744DCA">
        <w:rPr>
          <w:noProof/>
        </w:rPr>
        <w:t>the procurement of physical and cyber protection systems in relation to the activities referred to in paragraph 3, including effective engagement;</w:t>
      </w:r>
    </w:p>
    <w:p w14:paraId="641C0ECD" w14:textId="77777777" w:rsidR="00CB5EDF" w:rsidRPr="00744DCA" w:rsidRDefault="299C41F4" w:rsidP="00B2056B">
      <w:pPr>
        <w:pStyle w:val="Point1"/>
        <w:rPr>
          <w:noProof/>
        </w:rPr>
      </w:pPr>
      <w:r>
        <w:rPr>
          <w:noProof/>
        </w:rPr>
        <w:t>(e)</w:t>
      </w:r>
      <w:r>
        <w:rPr>
          <w:noProof/>
        </w:rPr>
        <w:tab/>
      </w:r>
      <w:r w:rsidRPr="00744DCA">
        <w:rPr>
          <w:noProof/>
        </w:rPr>
        <w:t>coordination and (technical) support actions, in particular addressing identified bottlenecks in production capacities and supply chains with a view to securing and accelerating the production of crisis-relevant products in order to ensure their effective supply and timely availability;</w:t>
      </w:r>
    </w:p>
    <w:p w14:paraId="2370AC0F" w14:textId="77777777" w:rsidR="00CB5EDF" w:rsidRPr="00744DCA" w:rsidRDefault="299C41F4" w:rsidP="00B2056B">
      <w:pPr>
        <w:pStyle w:val="Point1"/>
        <w:rPr>
          <w:noProof/>
        </w:rPr>
      </w:pPr>
      <w:r>
        <w:rPr>
          <w:noProof/>
        </w:rPr>
        <w:t>(f)</w:t>
      </w:r>
      <w:r>
        <w:rPr>
          <w:noProof/>
        </w:rPr>
        <w:tab/>
      </w:r>
      <w:r w:rsidRPr="00744DCA">
        <w:rPr>
          <w:noProof/>
        </w:rPr>
        <w:t xml:space="preserve">Union support to </w:t>
      </w:r>
      <w:r w:rsidR="61907383" w:rsidRPr="00744DCA">
        <w:rPr>
          <w:noProof/>
        </w:rPr>
        <w:t>Structures for</w:t>
      </w:r>
      <w:r w:rsidRPr="00744DCA">
        <w:rPr>
          <w:noProof/>
        </w:rPr>
        <w:t xml:space="preserve"> European Armament Programme notably for the purpose of managing and maintaining a Defence Industrial Readiness Pool as referred to in Article 14(1)</w:t>
      </w:r>
      <w:r w:rsidR="00AF73D9" w:rsidRPr="00744DCA">
        <w:rPr>
          <w:noProof/>
        </w:rPr>
        <w:t>, point (b)</w:t>
      </w:r>
      <w:r w:rsidRPr="00744DCA">
        <w:rPr>
          <w:noProof/>
        </w:rPr>
        <w:t>;</w:t>
      </w:r>
    </w:p>
    <w:p w14:paraId="34859045" w14:textId="77777777" w:rsidR="00CB5EDF" w:rsidRPr="00744DCA" w:rsidRDefault="6AA3CD11" w:rsidP="00B2056B">
      <w:pPr>
        <w:pStyle w:val="Point1"/>
        <w:rPr>
          <w:noProof/>
        </w:rPr>
      </w:pPr>
      <w:r>
        <w:rPr>
          <w:noProof/>
        </w:rPr>
        <w:t>(g)</w:t>
      </w:r>
      <w:r>
        <w:rPr>
          <w:noProof/>
        </w:rPr>
        <w:tab/>
      </w:r>
      <w:r w:rsidRPr="00744DCA">
        <w:rPr>
          <w:noProof/>
        </w:rPr>
        <w:t>E</w:t>
      </w:r>
      <w:r w:rsidR="299C41F4" w:rsidRPr="00744DCA">
        <w:rPr>
          <w:noProof/>
        </w:rPr>
        <w:t>mergency</w:t>
      </w:r>
      <w:r w:rsidRPr="00744DCA">
        <w:rPr>
          <w:noProof/>
        </w:rPr>
        <w:t xml:space="preserve"> act</w:t>
      </w:r>
      <w:r w:rsidR="5D83146B" w:rsidRPr="00744DCA">
        <w:rPr>
          <w:noProof/>
        </w:rPr>
        <w:t xml:space="preserve">ivities, including </w:t>
      </w:r>
      <w:r w:rsidR="299C41F4" w:rsidRPr="00744DCA">
        <w:rPr>
          <w:noProof/>
        </w:rPr>
        <w:t xml:space="preserve">emergency defence innovation where the measure referred to in Article </w:t>
      </w:r>
      <w:r w:rsidR="00745000" w:rsidRPr="00744DCA">
        <w:rPr>
          <w:noProof/>
        </w:rPr>
        <w:t>5</w:t>
      </w:r>
      <w:r w:rsidR="00F01024" w:rsidRPr="00744DCA">
        <w:rPr>
          <w:noProof/>
        </w:rPr>
        <w:t>2</w:t>
      </w:r>
      <w:r w:rsidR="299C41F4" w:rsidRPr="00744DCA">
        <w:rPr>
          <w:noProof/>
        </w:rPr>
        <w:t xml:space="preserve"> is activated.</w:t>
      </w:r>
    </w:p>
    <w:p w14:paraId="02FC7239" w14:textId="77777777" w:rsidR="00CB5EDF" w:rsidRPr="00744DCA" w:rsidRDefault="299C41F4">
      <w:pPr>
        <w:pStyle w:val="ManualNumPar1"/>
        <w:rPr>
          <w:noProof/>
        </w:rPr>
      </w:pPr>
      <w:r>
        <w:rPr>
          <w:noProof/>
        </w:rPr>
        <w:t>6.</w:t>
      </w:r>
      <w:r>
        <w:rPr>
          <w:noProof/>
        </w:rPr>
        <w:tab/>
      </w:r>
      <w:r w:rsidRPr="00744DCA">
        <w:rPr>
          <w:noProof/>
        </w:rPr>
        <w:t>For activities referred to in paragraphs 2</w:t>
      </w:r>
      <w:r w:rsidR="00285022" w:rsidRPr="00744DCA">
        <w:rPr>
          <w:noProof/>
        </w:rPr>
        <w:t xml:space="preserve">, </w:t>
      </w:r>
      <w:r w:rsidR="00CB5EDF" w:rsidRPr="00744DCA">
        <w:rPr>
          <w:noProof/>
        </w:rPr>
        <w:t>in</w:t>
      </w:r>
      <w:r w:rsidRPr="00744DCA">
        <w:rPr>
          <w:noProof/>
        </w:rPr>
        <w:t xml:space="preserve"> paragraph 3</w:t>
      </w:r>
      <w:r w:rsidR="001E5EEC" w:rsidRPr="00744DCA">
        <w:rPr>
          <w:noProof/>
        </w:rPr>
        <w:t xml:space="preserve">, point </w:t>
      </w:r>
      <w:r w:rsidR="004C170A" w:rsidRPr="00744DCA">
        <w:rPr>
          <w:noProof/>
        </w:rPr>
        <w:t>(</w:t>
      </w:r>
      <w:r w:rsidR="001E5EEC" w:rsidRPr="00744DCA">
        <w:rPr>
          <w:noProof/>
        </w:rPr>
        <w:t>d</w:t>
      </w:r>
      <w:r w:rsidR="004C170A" w:rsidRPr="00744DCA">
        <w:rPr>
          <w:noProof/>
        </w:rPr>
        <w:t>)</w:t>
      </w:r>
      <w:r w:rsidR="001E5EEC" w:rsidRPr="00744DCA">
        <w:rPr>
          <w:noProof/>
        </w:rPr>
        <w:t>,</w:t>
      </w:r>
      <w:r w:rsidR="00285022" w:rsidRPr="00744DCA">
        <w:rPr>
          <w:noProof/>
        </w:rPr>
        <w:t xml:space="preserve"> and in </w:t>
      </w:r>
      <w:r w:rsidR="004E26B3" w:rsidRPr="00744DCA">
        <w:rPr>
          <w:noProof/>
        </w:rPr>
        <w:t xml:space="preserve">paragraph </w:t>
      </w:r>
      <w:r w:rsidR="001E5EEC" w:rsidRPr="00744DCA">
        <w:rPr>
          <w:noProof/>
        </w:rPr>
        <w:t>5</w:t>
      </w:r>
      <w:r w:rsidR="00F01024" w:rsidRPr="00744DCA">
        <w:rPr>
          <w:noProof/>
        </w:rPr>
        <w:t>5</w:t>
      </w:r>
      <w:r w:rsidR="001E5EEC" w:rsidRPr="00744DCA">
        <w:rPr>
          <w:noProof/>
        </w:rPr>
        <w:t xml:space="preserve">, point </w:t>
      </w:r>
      <w:r w:rsidR="004C170A" w:rsidRPr="00744DCA">
        <w:rPr>
          <w:noProof/>
        </w:rPr>
        <w:t>(</w:t>
      </w:r>
      <w:r w:rsidR="001E5EEC" w:rsidRPr="00744DCA">
        <w:rPr>
          <w:noProof/>
        </w:rPr>
        <w:t>a</w:t>
      </w:r>
      <w:r w:rsidR="004C170A" w:rsidRPr="00744DCA">
        <w:rPr>
          <w:noProof/>
        </w:rPr>
        <w:t>)</w:t>
      </w:r>
      <w:r w:rsidR="1166A4C5" w:rsidRPr="00744DCA">
        <w:rPr>
          <w:noProof/>
        </w:rPr>
        <w:t xml:space="preserve">, </w:t>
      </w:r>
      <w:r w:rsidRPr="00744DCA">
        <w:rPr>
          <w:noProof/>
        </w:rPr>
        <w:t>the action shall be carried out by legal entities cooperating within a consortium of at least three eligible legal entities which are established in at least three different Member States</w:t>
      </w:r>
      <w:r w:rsidR="00CB5EDF" w:rsidRPr="00744DCA">
        <w:rPr>
          <w:noProof/>
        </w:rPr>
        <w:t xml:space="preserve"> or </w:t>
      </w:r>
      <w:r w:rsidRPr="00744DCA">
        <w:rPr>
          <w:noProof/>
        </w:rPr>
        <w:t>associated countries. At least three of those eligible legal entities established in at least two different Member States</w:t>
      </w:r>
      <w:r w:rsidR="00CB5EDF" w:rsidRPr="00744DCA">
        <w:rPr>
          <w:noProof/>
        </w:rPr>
        <w:t xml:space="preserve"> or </w:t>
      </w:r>
      <w:r w:rsidRPr="00744DCA">
        <w:rPr>
          <w:noProof/>
        </w:rPr>
        <w:t>associated countries</w:t>
      </w:r>
      <w:r w:rsidR="1166A4C5" w:rsidRPr="00744DCA">
        <w:rPr>
          <w:noProof/>
        </w:rPr>
        <w:t xml:space="preserve"> </w:t>
      </w:r>
      <w:r w:rsidRPr="00744DCA">
        <w:rPr>
          <w:noProof/>
        </w:rPr>
        <w:t>shall not, during the entire period in which the action is carried out, be controlled, directly or indirectly, by the same legal entity and shall not control each other.</w:t>
      </w:r>
    </w:p>
    <w:p w14:paraId="29B6AF4D" w14:textId="77777777" w:rsidR="00CB5EDF" w:rsidRPr="00744DCA" w:rsidRDefault="299C41F4" w:rsidP="003506AF">
      <w:pPr>
        <w:pStyle w:val="ManualNumPar1"/>
        <w:rPr>
          <w:noProof/>
        </w:rPr>
      </w:pPr>
      <w:r>
        <w:rPr>
          <w:noProof/>
        </w:rPr>
        <w:t>7.</w:t>
      </w:r>
      <w:r>
        <w:rPr>
          <w:noProof/>
        </w:rPr>
        <w:tab/>
      </w:r>
      <w:r w:rsidRPr="00744DCA">
        <w:rPr>
          <w:noProof/>
        </w:rPr>
        <w:t xml:space="preserve">By derogation from paragraph </w:t>
      </w:r>
      <w:r w:rsidR="00CB5EDF" w:rsidRPr="00744DCA">
        <w:rPr>
          <w:noProof/>
        </w:rPr>
        <w:t>6</w:t>
      </w:r>
      <w:r w:rsidRPr="00744DCA">
        <w:rPr>
          <w:noProof/>
        </w:rPr>
        <w:t xml:space="preserve">, the action may be carried out by a </w:t>
      </w:r>
      <w:r w:rsidR="451F97EC" w:rsidRPr="00744DCA">
        <w:rPr>
          <w:noProof/>
        </w:rPr>
        <w:t xml:space="preserve">Structure for </w:t>
      </w:r>
      <w:r w:rsidRPr="00744DCA">
        <w:rPr>
          <w:noProof/>
        </w:rPr>
        <w:t xml:space="preserve">European Armament Programme. </w:t>
      </w:r>
    </w:p>
    <w:p w14:paraId="606FF876" w14:textId="77777777" w:rsidR="00CB5EDF" w:rsidRPr="00744DCA" w:rsidRDefault="299C41F4">
      <w:pPr>
        <w:pStyle w:val="ManualNumPar1"/>
        <w:rPr>
          <w:noProof/>
        </w:rPr>
      </w:pPr>
      <w:r>
        <w:rPr>
          <w:noProof/>
        </w:rPr>
        <w:t>8.</w:t>
      </w:r>
      <w:r>
        <w:rPr>
          <w:noProof/>
        </w:rPr>
        <w:tab/>
      </w:r>
      <w:r w:rsidRPr="00744DCA">
        <w:rPr>
          <w:noProof/>
        </w:rPr>
        <w:t>The following actions shall not be eligible for funding under the Programme:</w:t>
      </w:r>
    </w:p>
    <w:p w14:paraId="429BAF64" w14:textId="77777777" w:rsidR="00CB5EDF" w:rsidRPr="00744DCA" w:rsidRDefault="00CB5EDF" w:rsidP="00B2056B">
      <w:pPr>
        <w:pStyle w:val="Point1"/>
        <w:rPr>
          <w:noProof/>
        </w:rPr>
      </w:pPr>
      <w:r>
        <w:rPr>
          <w:noProof/>
        </w:rPr>
        <w:t>(a)</w:t>
      </w:r>
      <w:r>
        <w:rPr>
          <w:noProof/>
        </w:rPr>
        <w:tab/>
      </w:r>
      <w:r w:rsidRPr="00744DCA">
        <w:rPr>
          <w:noProof/>
        </w:rPr>
        <w:t>actions related to goods or services which are prohibited by applicable international law;</w:t>
      </w:r>
    </w:p>
    <w:p w14:paraId="69A47813" w14:textId="77777777" w:rsidR="00CB5EDF" w:rsidRPr="00744DCA" w:rsidRDefault="00CB5EDF" w:rsidP="00B91A8D">
      <w:pPr>
        <w:pStyle w:val="Point1"/>
        <w:rPr>
          <w:noProof/>
        </w:rPr>
      </w:pPr>
      <w:r>
        <w:rPr>
          <w:noProof/>
        </w:rPr>
        <w:t>(b)</w:t>
      </w:r>
      <w:r>
        <w:rPr>
          <w:noProof/>
        </w:rPr>
        <w:tab/>
      </w:r>
      <w:r w:rsidRPr="00744DCA">
        <w:rPr>
          <w:noProof/>
        </w:rPr>
        <w:t>actions related to lethal autonomous weapons without the possibility of meaningful human control over selection and engagement decisions when carrying out strikes against humans;</w:t>
      </w:r>
    </w:p>
    <w:p w14:paraId="659F6E8E" w14:textId="77777777" w:rsidR="00CB5EDF" w:rsidRPr="00744DCA" w:rsidRDefault="00CB5EDF" w:rsidP="00B91A8D">
      <w:pPr>
        <w:pStyle w:val="Point1"/>
        <w:rPr>
          <w:noProof/>
        </w:rPr>
      </w:pPr>
      <w:r>
        <w:rPr>
          <w:noProof/>
        </w:rPr>
        <w:t>(c)</w:t>
      </w:r>
      <w:r>
        <w:rPr>
          <w:noProof/>
        </w:rPr>
        <w:tab/>
      </w:r>
      <w:r w:rsidRPr="00744DCA">
        <w:rPr>
          <w:noProof/>
        </w:rPr>
        <w:t>actions related to goods or services which are subject to control or restriction by non-associated third countries or by non-associated third-country entities, directly, or indirectly through one or more intermediate legal entities, including in terms of technology transfer;</w:t>
      </w:r>
    </w:p>
    <w:p w14:paraId="30612EE1" w14:textId="77777777" w:rsidR="00CB5EDF" w:rsidRPr="00744DCA" w:rsidRDefault="00CB5EDF" w:rsidP="00B91A8D">
      <w:pPr>
        <w:pStyle w:val="Point1"/>
        <w:rPr>
          <w:noProof/>
        </w:rPr>
      </w:pPr>
      <w:r>
        <w:rPr>
          <w:noProof/>
        </w:rPr>
        <w:t>(d)</w:t>
      </w:r>
      <w:r>
        <w:rPr>
          <w:noProof/>
        </w:rPr>
        <w:tab/>
      </w:r>
      <w:r w:rsidRPr="00744DCA">
        <w:rPr>
          <w:noProof/>
        </w:rPr>
        <w:t>actions or parts thereof, that are already fully financed from other public or private sources.</w:t>
      </w:r>
    </w:p>
    <w:p w14:paraId="1B5039CB" w14:textId="77777777" w:rsidR="00CB5EDF" w:rsidRPr="00744DCA" w:rsidRDefault="00CB5EDF" w:rsidP="00CB5EDF">
      <w:pPr>
        <w:pStyle w:val="Titrearticle"/>
        <w:rPr>
          <w:noProof/>
        </w:rPr>
      </w:pPr>
      <w:r w:rsidRPr="00744DCA">
        <w:rPr>
          <w:noProof/>
        </w:rPr>
        <w:t>Article 12</w:t>
      </w:r>
    </w:p>
    <w:p w14:paraId="6FC5E23B" w14:textId="77777777" w:rsidR="00CB5EDF" w:rsidRPr="00744DCA" w:rsidRDefault="00CB5EDF" w:rsidP="00CB5EDF">
      <w:pPr>
        <w:pStyle w:val="Titrearticle"/>
        <w:rPr>
          <w:b/>
          <w:i w:val="0"/>
          <w:noProof/>
        </w:rPr>
      </w:pPr>
      <w:r w:rsidRPr="00744DCA">
        <w:rPr>
          <w:b/>
          <w:i w:val="0"/>
          <w:noProof/>
        </w:rPr>
        <w:t>Specific provisions applicable for common procurement actions</w:t>
      </w:r>
    </w:p>
    <w:p w14:paraId="1584E833" w14:textId="77777777" w:rsidR="00CB5EDF" w:rsidRPr="00744DCA" w:rsidRDefault="00CB5EDF" w:rsidP="00B2056B">
      <w:pPr>
        <w:pStyle w:val="ManualNumPar1"/>
        <w:rPr>
          <w:noProof/>
        </w:rPr>
      </w:pPr>
      <w:r>
        <w:rPr>
          <w:noProof/>
        </w:rPr>
        <w:t>1.</w:t>
      </w:r>
      <w:r>
        <w:rPr>
          <w:noProof/>
        </w:rPr>
        <w:tab/>
      </w:r>
      <w:r w:rsidRPr="00744DCA">
        <w:rPr>
          <w:noProof/>
        </w:rPr>
        <w:t xml:space="preserve">Only the following </w:t>
      </w:r>
      <w:r w:rsidR="00414087" w:rsidRPr="00744DCA">
        <w:rPr>
          <w:noProof/>
        </w:rPr>
        <w:t>legal</w:t>
      </w:r>
      <w:r w:rsidRPr="00744DCA">
        <w:rPr>
          <w:noProof/>
        </w:rPr>
        <w:t xml:space="preserve"> entities shall be eligible</w:t>
      </w:r>
      <w:r w:rsidR="00A407AA" w:rsidRPr="00744DCA">
        <w:rPr>
          <w:noProof/>
        </w:rPr>
        <w:t xml:space="preserve"> for funding under the Programme</w:t>
      </w:r>
      <w:r w:rsidRPr="00744DCA">
        <w:rPr>
          <w:noProof/>
        </w:rPr>
        <w:t>:</w:t>
      </w:r>
    </w:p>
    <w:p w14:paraId="26CC9C42" w14:textId="77777777" w:rsidR="00CB5EDF" w:rsidRPr="00744DCA" w:rsidRDefault="003F2E2C" w:rsidP="00B2056B">
      <w:pPr>
        <w:pStyle w:val="Point1"/>
        <w:rPr>
          <w:noProof/>
        </w:rPr>
      </w:pPr>
      <w:r>
        <w:rPr>
          <w:noProof/>
        </w:rPr>
        <w:t>(a)</w:t>
      </w:r>
      <w:r>
        <w:rPr>
          <w:noProof/>
        </w:rPr>
        <w:tab/>
      </w:r>
      <w:r w:rsidRPr="00744DCA">
        <w:rPr>
          <w:noProof/>
        </w:rPr>
        <w:t>p</w:t>
      </w:r>
      <w:r w:rsidR="00CB5EDF" w:rsidRPr="00744DCA">
        <w:rPr>
          <w:noProof/>
        </w:rPr>
        <w:t>ublic contracting authorities of Member States or</w:t>
      </w:r>
      <w:r w:rsidR="006F37AE" w:rsidRPr="00744DCA">
        <w:rPr>
          <w:noProof/>
        </w:rPr>
        <w:t xml:space="preserve"> </w:t>
      </w:r>
      <w:r w:rsidR="00CB5EDF" w:rsidRPr="00744DCA">
        <w:rPr>
          <w:noProof/>
        </w:rPr>
        <w:t>associated countries;</w:t>
      </w:r>
    </w:p>
    <w:p w14:paraId="12935E81" w14:textId="77777777" w:rsidR="00CB5EDF" w:rsidRPr="00744DCA" w:rsidRDefault="00CB5EDF" w:rsidP="00B2056B">
      <w:pPr>
        <w:pStyle w:val="Point1"/>
        <w:rPr>
          <w:noProof/>
        </w:rPr>
      </w:pPr>
      <w:r>
        <w:rPr>
          <w:noProof/>
        </w:rPr>
        <w:t>(b)</w:t>
      </w:r>
      <w:r>
        <w:rPr>
          <w:noProof/>
        </w:rPr>
        <w:tab/>
      </w:r>
      <w:r w:rsidRPr="00744DCA">
        <w:rPr>
          <w:noProof/>
        </w:rPr>
        <w:t>International Organisations;</w:t>
      </w:r>
    </w:p>
    <w:p w14:paraId="3A9D3C20" w14:textId="77777777" w:rsidR="00CB5EDF" w:rsidRPr="00744DCA" w:rsidRDefault="003F2E2C" w:rsidP="00B2056B">
      <w:pPr>
        <w:pStyle w:val="Point1"/>
        <w:rPr>
          <w:noProof/>
        </w:rPr>
      </w:pPr>
      <w:r>
        <w:rPr>
          <w:noProof/>
        </w:rPr>
        <w:t>(c)</w:t>
      </w:r>
      <w:r>
        <w:rPr>
          <w:noProof/>
        </w:rPr>
        <w:tab/>
      </w:r>
      <w:r w:rsidRPr="00744DCA">
        <w:rPr>
          <w:noProof/>
        </w:rPr>
        <w:t xml:space="preserve">the </w:t>
      </w:r>
      <w:r w:rsidR="006911AB" w:rsidRPr="00744DCA">
        <w:rPr>
          <w:noProof/>
        </w:rPr>
        <w:t xml:space="preserve">Structures for </w:t>
      </w:r>
      <w:r w:rsidR="00CB5EDF" w:rsidRPr="00744DCA">
        <w:rPr>
          <w:noProof/>
        </w:rPr>
        <w:t>European Armament Programme;</w:t>
      </w:r>
    </w:p>
    <w:p w14:paraId="3D18797B" w14:textId="77777777" w:rsidR="00CB5EDF" w:rsidRPr="00744DCA" w:rsidRDefault="003F2E2C" w:rsidP="00B2056B">
      <w:pPr>
        <w:pStyle w:val="Point1"/>
        <w:rPr>
          <w:noProof/>
        </w:rPr>
      </w:pPr>
      <w:r>
        <w:rPr>
          <w:noProof/>
        </w:rPr>
        <w:t>(d)</w:t>
      </w:r>
      <w:r>
        <w:rPr>
          <w:noProof/>
        </w:rPr>
        <w:tab/>
      </w:r>
      <w:r w:rsidRPr="00744DCA">
        <w:rPr>
          <w:noProof/>
        </w:rPr>
        <w:t xml:space="preserve">the </w:t>
      </w:r>
      <w:r w:rsidR="00CB5EDF" w:rsidRPr="00744DCA">
        <w:rPr>
          <w:noProof/>
        </w:rPr>
        <w:t>European Defence Agency.</w:t>
      </w:r>
    </w:p>
    <w:p w14:paraId="6EF94610" w14:textId="77777777" w:rsidR="00CB5EDF" w:rsidRPr="00744DCA" w:rsidRDefault="00CB5EDF">
      <w:pPr>
        <w:pStyle w:val="ManualNumPar1"/>
        <w:rPr>
          <w:noProof/>
        </w:rPr>
      </w:pPr>
      <w:r>
        <w:rPr>
          <w:noProof/>
        </w:rPr>
        <w:t>2.</w:t>
      </w:r>
      <w:r>
        <w:rPr>
          <w:noProof/>
        </w:rPr>
        <w:tab/>
      </w:r>
      <w:r w:rsidRPr="00744DCA">
        <w:rPr>
          <w:noProof/>
        </w:rPr>
        <w:t>Member States and associated countries</w:t>
      </w:r>
      <w:r w:rsidR="00CA1FBA" w:rsidRPr="00744DCA">
        <w:rPr>
          <w:noProof/>
        </w:rPr>
        <w:t xml:space="preserve"> </w:t>
      </w:r>
      <w:r w:rsidRPr="00744DCA">
        <w:rPr>
          <w:noProof/>
        </w:rPr>
        <w:t xml:space="preserve">participating in a common procurement shall appoint, by unanimity, an eligible </w:t>
      </w:r>
      <w:r w:rsidR="003303C2" w:rsidRPr="00744DCA">
        <w:rPr>
          <w:noProof/>
        </w:rPr>
        <w:t>legal</w:t>
      </w:r>
      <w:r w:rsidRPr="00744DCA">
        <w:rPr>
          <w:noProof/>
        </w:rPr>
        <w:t xml:space="preserve"> </w:t>
      </w:r>
      <w:r w:rsidR="0020671F" w:rsidRPr="00744DCA">
        <w:rPr>
          <w:noProof/>
        </w:rPr>
        <w:t xml:space="preserve">entity as </w:t>
      </w:r>
      <w:r w:rsidRPr="00744DCA">
        <w:rPr>
          <w:noProof/>
        </w:rPr>
        <w:t>procurement agent to act on their behalf for the purposes of that common procurement. The procurement agent shall carry out the procurement procedures and conclude the resulting contracts with contractors on behalf of the participating countries. The procurement agent may participate in the action as a beneficiary and may act as the coordinator of the consortium and may therefore be able to manage and combine funds from the Programme and funds from the participating Member States and</w:t>
      </w:r>
      <w:r w:rsidR="00CA1FBA" w:rsidRPr="00744DCA">
        <w:rPr>
          <w:noProof/>
        </w:rPr>
        <w:t xml:space="preserve"> </w:t>
      </w:r>
      <w:r w:rsidRPr="00744DCA">
        <w:rPr>
          <w:noProof/>
        </w:rPr>
        <w:t>associated countries.</w:t>
      </w:r>
    </w:p>
    <w:p w14:paraId="6C01C09B" w14:textId="77777777" w:rsidR="00CB5EDF" w:rsidRPr="00744DCA" w:rsidRDefault="00CB5EDF" w:rsidP="003506AF">
      <w:pPr>
        <w:pStyle w:val="ManualNumPar1"/>
        <w:rPr>
          <w:noProof/>
        </w:rPr>
      </w:pPr>
      <w:r>
        <w:rPr>
          <w:noProof/>
        </w:rPr>
        <w:t>3.</w:t>
      </w:r>
      <w:r>
        <w:rPr>
          <w:noProof/>
        </w:rPr>
        <w:tab/>
      </w:r>
      <w:r w:rsidRPr="00744DCA">
        <w:rPr>
          <w:noProof/>
        </w:rPr>
        <w:t>This Regulation is without prejudice to the rules on the coordination of procedures for the award of certain works contracts, supply contracts and service contracts by contracting authorities</w:t>
      </w:r>
      <w:r w:rsidR="007F6CA0" w:rsidRPr="00744DCA">
        <w:rPr>
          <w:noProof/>
        </w:rPr>
        <w:t>/</w:t>
      </w:r>
      <w:r w:rsidRPr="00744DCA">
        <w:rPr>
          <w:noProof/>
        </w:rPr>
        <w:t>entities in the fields of defence and security laid down in Directive 2009/81/EC.</w:t>
      </w:r>
    </w:p>
    <w:p w14:paraId="1A46F09F" w14:textId="77777777" w:rsidR="00CB5EDF" w:rsidRPr="00744DCA" w:rsidRDefault="00CB5EDF">
      <w:pPr>
        <w:pStyle w:val="ManualNumPar1"/>
        <w:rPr>
          <w:noProof/>
        </w:rPr>
      </w:pPr>
      <w:r>
        <w:rPr>
          <w:noProof/>
        </w:rPr>
        <w:t>4.</w:t>
      </w:r>
      <w:r>
        <w:rPr>
          <w:noProof/>
        </w:rPr>
        <w:tab/>
      </w:r>
      <w:r w:rsidRPr="00744DCA">
        <w:rPr>
          <w:noProof/>
        </w:rPr>
        <w:t>The procurement procedures referred to in paragraph 2 shall be based on an agreement to be signed by the participating Member States and</w:t>
      </w:r>
      <w:r w:rsidR="00CA1FBA" w:rsidRPr="00744DCA">
        <w:rPr>
          <w:noProof/>
        </w:rPr>
        <w:t xml:space="preserve"> </w:t>
      </w:r>
      <w:r w:rsidRPr="00744DCA">
        <w:rPr>
          <w:noProof/>
        </w:rPr>
        <w:t>associated countries with the procurement agent under the conditions set out in the work programme. The agreement shall, in particular, determine the practical arrangements governing the common procurement and the decision-making process on the choice of the procedure, the assessment of the tenders and the award of the contract.</w:t>
      </w:r>
    </w:p>
    <w:p w14:paraId="2E89D669" w14:textId="77777777" w:rsidR="00CB5EDF" w:rsidRPr="00744DCA" w:rsidRDefault="00584551" w:rsidP="00CB5EDF">
      <w:pPr>
        <w:pStyle w:val="ManualNumPar1"/>
        <w:rPr>
          <w:noProof/>
        </w:rPr>
      </w:pPr>
      <w:r>
        <w:rPr>
          <w:noProof/>
        </w:rPr>
        <w:t>5.</w:t>
      </w:r>
      <w:r>
        <w:rPr>
          <w:noProof/>
        </w:rPr>
        <w:tab/>
      </w:r>
      <w:r w:rsidRPr="00744DCA">
        <w:rPr>
          <w:noProof/>
        </w:rPr>
        <w:t xml:space="preserve">The procurement agent </w:t>
      </w:r>
      <w:r w:rsidR="00E849EE" w:rsidRPr="00744DCA">
        <w:rPr>
          <w:noProof/>
        </w:rPr>
        <w:t xml:space="preserve">shall apply </w:t>
      </w:r>
      <w:r w:rsidR="00224D97" w:rsidRPr="00744DCA">
        <w:rPr>
          <w:noProof/>
        </w:rPr>
        <w:t>c</w:t>
      </w:r>
      <w:r w:rsidR="00CB5EDF" w:rsidRPr="00744DCA">
        <w:rPr>
          <w:noProof/>
        </w:rPr>
        <w:t xml:space="preserve">onditions equivalent to those set out in Article 10, </w:t>
      </w:r>
      <w:r w:rsidR="00CB5EDF" w:rsidRPr="00744DCA">
        <w:rPr>
          <w:i/>
          <w:noProof/>
        </w:rPr>
        <w:t>mutatis mutandis,</w:t>
      </w:r>
      <w:r w:rsidR="00CB5EDF" w:rsidRPr="00744DCA">
        <w:rPr>
          <w:noProof/>
        </w:rPr>
        <w:t xml:space="preserve"> to </w:t>
      </w:r>
      <w:r w:rsidR="00CB2E23" w:rsidRPr="00744DCA">
        <w:rPr>
          <w:noProof/>
        </w:rPr>
        <w:t xml:space="preserve">procurement procedures and </w:t>
      </w:r>
      <w:r w:rsidR="004B3431" w:rsidRPr="00744DCA">
        <w:rPr>
          <w:noProof/>
        </w:rPr>
        <w:t xml:space="preserve">in </w:t>
      </w:r>
      <w:r w:rsidR="00CB2E23" w:rsidRPr="00744DCA">
        <w:rPr>
          <w:noProof/>
        </w:rPr>
        <w:t xml:space="preserve">contracts with </w:t>
      </w:r>
      <w:r w:rsidR="00CB5EDF" w:rsidRPr="00744DCA">
        <w:rPr>
          <w:noProof/>
        </w:rPr>
        <w:t>contractors and subcontractors in the common procurement.</w:t>
      </w:r>
    </w:p>
    <w:p w14:paraId="78F33B07" w14:textId="77777777" w:rsidR="00CB5EDF" w:rsidRPr="00744DCA" w:rsidRDefault="00CB5EDF" w:rsidP="003506AF">
      <w:pPr>
        <w:pStyle w:val="ManualNumPar1"/>
        <w:rPr>
          <w:noProof/>
        </w:rPr>
      </w:pPr>
      <w:r>
        <w:rPr>
          <w:noProof/>
        </w:rPr>
        <w:t>6.</w:t>
      </w:r>
      <w:r>
        <w:rPr>
          <w:noProof/>
        </w:rPr>
        <w:tab/>
      </w:r>
      <w:r w:rsidRPr="00744DCA">
        <w:rPr>
          <w:noProof/>
        </w:rPr>
        <w:t xml:space="preserve">Procurement agents shall provide the Commission with guarantees and mitigation measures referred to in Article 10(6). Further information on the guarantees and mitigation measures shall be made available to the Commission upon request. The Commission shall inform the committee referred to in Article </w:t>
      </w:r>
      <w:r w:rsidR="00CF3DC8" w:rsidRPr="00744DCA">
        <w:rPr>
          <w:noProof/>
        </w:rPr>
        <w:t>5</w:t>
      </w:r>
      <w:r w:rsidR="00F01024" w:rsidRPr="00744DCA">
        <w:rPr>
          <w:noProof/>
        </w:rPr>
        <w:t>8</w:t>
      </w:r>
      <w:r w:rsidR="00CF3DC8" w:rsidRPr="00744DCA">
        <w:rPr>
          <w:noProof/>
        </w:rPr>
        <w:t xml:space="preserve"> </w:t>
      </w:r>
      <w:r w:rsidRPr="00744DCA">
        <w:rPr>
          <w:noProof/>
        </w:rPr>
        <w:t>of any notification provided in accordance with this paragraph.</w:t>
      </w:r>
    </w:p>
    <w:p w14:paraId="262C8749" w14:textId="77777777" w:rsidR="00CB5EDF" w:rsidRPr="00744DCA" w:rsidRDefault="00CB5EDF" w:rsidP="00CB5EDF">
      <w:pPr>
        <w:pStyle w:val="ManualNumPar1"/>
        <w:rPr>
          <w:noProof/>
        </w:rPr>
      </w:pPr>
      <w:r>
        <w:rPr>
          <w:noProof/>
        </w:rPr>
        <w:t>7.</w:t>
      </w:r>
      <w:r>
        <w:rPr>
          <w:noProof/>
        </w:rPr>
        <w:tab/>
      </w:r>
      <w:r w:rsidRPr="00744DCA">
        <w:rPr>
          <w:noProof/>
        </w:rPr>
        <w:t xml:space="preserve">The common procurement contract shall include provisions governing the purchase of additional quantities </w:t>
      </w:r>
      <w:r w:rsidR="00C9371D" w:rsidRPr="00744DCA">
        <w:rPr>
          <w:noProof/>
        </w:rPr>
        <w:t xml:space="preserve">of defence products </w:t>
      </w:r>
      <w:r w:rsidRPr="00744DCA">
        <w:rPr>
          <w:noProof/>
        </w:rPr>
        <w:t xml:space="preserve">for other Member States, associated countries or Ukraine. </w:t>
      </w:r>
    </w:p>
    <w:p w14:paraId="154ECC38" w14:textId="77777777" w:rsidR="00CB5EDF" w:rsidRPr="00744DCA" w:rsidRDefault="00CB5EDF" w:rsidP="00CB5EDF">
      <w:pPr>
        <w:pStyle w:val="Text1"/>
        <w:rPr>
          <w:noProof/>
        </w:rPr>
      </w:pPr>
      <w:r w:rsidRPr="00744DCA">
        <w:rPr>
          <w:noProof/>
        </w:rPr>
        <w:t>Such rules shall be without prejudice to applicable Union law and be in line with Member States’ national laws and regulations relating to the export of defence-related products.</w:t>
      </w:r>
      <w:r w:rsidRPr="00744DCA" w:rsidDel="00F53CEF">
        <w:rPr>
          <w:noProof/>
        </w:rPr>
        <w:t xml:space="preserve"> </w:t>
      </w:r>
    </w:p>
    <w:p w14:paraId="0AFD4BE0" w14:textId="77777777" w:rsidR="00CB5EDF" w:rsidRPr="00744DCA" w:rsidRDefault="00CB5EDF" w:rsidP="00CB5EDF">
      <w:pPr>
        <w:pStyle w:val="Titrearticle"/>
        <w:rPr>
          <w:noProof/>
        </w:rPr>
      </w:pPr>
      <w:r w:rsidRPr="00744DCA">
        <w:rPr>
          <w:noProof/>
        </w:rPr>
        <w:t>Article 13</w:t>
      </w:r>
    </w:p>
    <w:p w14:paraId="32548773" w14:textId="77777777" w:rsidR="00CB5EDF" w:rsidRPr="00744DCA" w:rsidRDefault="00CB5EDF" w:rsidP="00CB5EDF">
      <w:pPr>
        <w:pStyle w:val="Titrearticle"/>
        <w:rPr>
          <w:b/>
          <w:i w:val="0"/>
          <w:noProof/>
        </w:rPr>
      </w:pPr>
      <w:r w:rsidRPr="00744DCA">
        <w:rPr>
          <w:b/>
          <w:i w:val="0"/>
          <w:noProof/>
        </w:rPr>
        <w:t>Specific provisions applicable for industrial reinforcement actions</w:t>
      </w:r>
    </w:p>
    <w:p w14:paraId="6FDD0DA8" w14:textId="77777777" w:rsidR="00CB5EDF" w:rsidRPr="00744DCA" w:rsidRDefault="00CB5EDF" w:rsidP="00B2056B">
      <w:pPr>
        <w:pStyle w:val="ManualNumPar1"/>
        <w:rPr>
          <w:noProof/>
        </w:rPr>
      </w:pPr>
      <w:r>
        <w:rPr>
          <w:noProof/>
        </w:rPr>
        <w:t>1.</w:t>
      </w:r>
      <w:r>
        <w:rPr>
          <w:noProof/>
        </w:rPr>
        <w:tab/>
      </w:r>
      <w:r w:rsidRPr="00744DCA">
        <w:rPr>
          <w:noProof/>
        </w:rPr>
        <w:t xml:space="preserve">For activities referred to in Article 11(3), </w:t>
      </w:r>
      <w:r w:rsidR="00797B07" w:rsidRPr="00744DCA">
        <w:rPr>
          <w:noProof/>
        </w:rPr>
        <w:t>point (a), (b) and (c)</w:t>
      </w:r>
      <w:r w:rsidR="00590DD6" w:rsidRPr="00744DCA">
        <w:rPr>
          <w:noProof/>
        </w:rPr>
        <w:t xml:space="preserve">, </w:t>
      </w:r>
      <w:r w:rsidR="00480139" w:rsidRPr="00744DCA">
        <w:rPr>
          <w:noProof/>
        </w:rPr>
        <w:t xml:space="preserve">in order to be eligible for funding </w:t>
      </w:r>
      <w:r w:rsidRPr="00744DCA">
        <w:rPr>
          <w:noProof/>
        </w:rPr>
        <w:t xml:space="preserve">actions shall be exclusively related to the production capacities of defence products, including their components and raw materials insofar as they are intended or used wholly for the production of defence products. </w:t>
      </w:r>
    </w:p>
    <w:p w14:paraId="0E61DFCB" w14:textId="77777777" w:rsidR="004018FE" w:rsidRPr="00744DCA" w:rsidRDefault="19B73299" w:rsidP="004566AC">
      <w:pPr>
        <w:pStyle w:val="ManualNumPar1"/>
        <w:rPr>
          <w:noProof/>
        </w:rPr>
      </w:pPr>
      <w:r>
        <w:rPr>
          <w:noProof/>
        </w:rPr>
        <w:t>2.</w:t>
      </w:r>
      <w:r>
        <w:rPr>
          <w:noProof/>
        </w:rPr>
        <w:tab/>
      </w:r>
      <w:r w:rsidRPr="00744DCA">
        <w:rPr>
          <w:noProof/>
        </w:rPr>
        <w:t xml:space="preserve">These actions shall be without prejudice to Union competition rules, </w:t>
      </w:r>
      <w:r w:rsidR="74F29D91" w:rsidRPr="00744DCA">
        <w:rPr>
          <w:noProof/>
        </w:rPr>
        <w:t xml:space="preserve">and </w:t>
      </w:r>
      <w:r w:rsidRPr="00744DCA">
        <w:rPr>
          <w:noProof/>
        </w:rPr>
        <w:t xml:space="preserve">in particular Article 101 </w:t>
      </w:r>
      <w:r w:rsidR="008F4DA8" w:rsidRPr="00744DCA">
        <w:rPr>
          <w:noProof/>
        </w:rPr>
        <w:t>Treaty on the Functioning of the European Union (</w:t>
      </w:r>
      <w:r w:rsidR="74F29D91" w:rsidRPr="00744DCA">
        <w:rPr>
          <w:noProof/>
        </w:rPr>
        <w:t>TFEU</w:t>
      </w:r>
      <w:r w:rsidR="008F4DA8" w:rsidRPr="00744DCA">
        <w:rPr>
          <w:noProof/>
        </w:rPr>
        <w:t>)</w:t>
      </w:r>
      <w:r w:rsidR="74F29D91" w:rsidRPr="00744DCA">
        <w:rPr>
          <w:noProof/>
        </w:rPr>
        <w:t>.</w:t>
      </w:r>
    </w:p>
    <w:p w14:paraId="5BD328AA" w14:textId="77777777" w:rsidR="00CB5EDF" w:rsidRPr="00744DCA" w:rsidRDefault="00CB5EDF" w:rsidP="00CB5EDF">
      <w:pPr>
        <w:pStyle w:val="Titrearticle"/>
        <w:rPr>
          <w:noProof/>
          <w:lang w:val="en-IE"/>
        </w:rPr>
      </w:pPr>
      <w:r w:rsidRPr="00744DCA">
        <w:rPr>
          <w:noProof/>
          <w:lang w:val="en-IE"/>
        </w:rPr>
        <w:t>Article 14</w:t>
      </w:r>
    </w:p>
    <w:p w14:paraId="4ECBEB42" w14:textId="77777777" w:rsidR="00CB5EDF" w:rsidRPr="00744DCA" w:rsidRDefault="00CB5EDF" w:rsidP="00CB5EDF">
      <w:pPr>
        <w:pStyle w:val="Titrearticle"/>
        <w:rPr>
          <w:b/>
          <w:i w:val="0"/>
          <w:noProof/>
        </w:rPr>
      </w:pPr>
      <w:r w:rsidRPr="00744DCA">
        <w:rPr>
          <w:b/>
          <w:i w:val="0"/>
          <w:noProof/>
        </w:rPr>
        <w:t>Specific provisions applicable for activities contributing to a European Military Sales Mechanism</w:t>
      </w:r>
    </w:p>
    <w:p w14:paraId="000D133B" w14:textId="77777777" w:rsidR="00CB5EDF" w:rsidRPr="00744DCA" w:rsidRDefault="00CB5EDF" w:rsidP="00B2056B">
      <w:pPr>
        <w:pStyle w:val="ManualNumPar1"/>
        <w:rPr>
          <w:noProof/>
        </w:rPr>
      </w:pPr>
      <w:r>
        <w:rPr>
          <w:noProof/>
        </w:rPr>
        <w:t>1.</w:t>
      </w:r>
      <w:r>
        <w:rPr>
          <w:noProof/>
        </w:rPr>
        <w:tab/>
      </w:r>
      <w:r w:rsidRPr="00744DCA">
        <w:rPr>
          <w:noProof/>
        </w:rPr>
        <w:t xml:space="preserve">To ensure the availability of EU defence products in time and in volume thereby fostering the competitiveness of the </w:t>
      </w:r>
      <w:r w:rsidR="00E33331" w:rsidRPr="00744DCA">
        <w:rPr>
          <w:noProof/>
        </w:rPr>
        <w:t>EDTIB</w:t>
      </w:r>
      <w:r w:rsidR="00CA124B" w:rsidRPr="00744DCA">
        <w:rPr>
          <w:noProof/>
        </w:rPr>
        <w:t xml:space="preserve"> as well as</w:t>
      </w:r>
      <w:r w:rsidR="00E33331" w:rsidRPr="00744DCA">
        <w:rPr>
          <w:noProof/>
        </w:rPr>
        <w:t>, where relevant,</w:t>
      </w:r>
      <w:r w:rsidR="00CA124B" w:rsidRPr="00744DCA">
        <w:rPr>
          <w:noProof/>
        </w:rPr>
        <w:t xml:space="preserve"> of the Ukrainian</w:t>
      </w:r>
      <w:r w:rsidR="002A53F6" w:rsidRPr="00744DCA">
        <w:rPr>
          <w:noProof/>
        </w:rPr>
        <w:t xml:space="preserve"> </w:t>
      </w:r>
      <w:r w:rsidR="00E33331" w:rsidRPr="00744DCA">
        <w:rPr>
          <w:noProof/>
        </w:rPr>
        <w:t>DTIB</w:t>
      </w:r>
      <w:r w:rsidRPr="00744DCA">
        <w:rPr>
          <w:noProof/>
        </w:rPr>
        <w:t xml:space="preserve">, the Commission shall support the following set of measures (EU MSM): </w:t>
      </w:r>
    </w:p>
    <w:p w14:paraId="10A76028" w14:textId="77777777" w:rsidR="00CB5EDF" w:rsidRPr="00744DCA" w:rsidRDefault="00CB5EDF" w:rsidP="00B2056B">
      <w:pPr>
        <w:pStyle w:val="Point1"/>
        <w:rPr>
          <w:noProof/>
        </w:rPr>
      </w:pPr>
      <w:r>
        <w:rPr>
          <w:noProof/>
        </w:rPr>
        <w:t>(a)</w:t>
      </w:r>
      <w:r>
        <w:rPr>
          <w:noProof/>
        </w:rPr>
        <w:tab/>
      </w:r>
      <w:r w:rsidRPr="00744DCA">
        <w:rPr>
          <w:noProof/>
        </w:rPr>
        <w:t>the establishment of a single, centralised, up to date catalogue of defence products developed by the EDTIB;</w:t>
      </w:r>
    </w:p>
    <w:p w14:paraId="002087F9" w14:textId="77777777" w:rsidR="00CB5EDF" w:rsidRPr="00744DCA" w:rsidRDefault="299C41F4" w:rsidP="00CB5EDF">
      <w:pPr>
        <w:pStyle w:val="Point1"/>
        <w:rPr>
          <w:noProof/>
        </w:rPr>
      </w:pPr>
      <w:r>
        <w:rPr>
          <w:noProof/>
        </w:rPr>
        <w:t>(b)</w:t>
      </w:r>
      <w:r>
        <w:rPr>
          <w:noProof/>
        </w:rPr>
        <w:tab/>
      </w:r>
      <w:r w:rsidRPr="00744DCA">
        <w:rPr>
          <w:noProof/>
        </w:rPr>
        <w:t>the creation of a</w:t>
      </w:r>
      <w:r w:rsidRPr="00744DCA">
        <w:rPr>
          <w:b/>
          <w:bCs/>
          <w:noProof/>
        </w:rPr>
        <w:t xml:space="preserve"> </w:t>
      </w:r>
      <w:r w:rsidRPr="00744DCA">
        <w:rPr>
          <w:noProof/>
        </w:rPr>
        <w:t xml:space="preserve">defence industrial readiness pool, to increase availability and speed up delivery time of EU-made defence products, ensuring </w:t>
      </w:r>
      <w:r w:rsidR="4FBC4D8D" w:rsidRPr="00744DCA">
        <w:rPr>
          <w:noProof/>
        </w:rPr>
        <w:t xml:space="preserve">an </w:t>
      </w:r>
      <w:r w:rsidRPr="00744DCA">
        <w:rPr>
          <w:noProof/>
        </w:rPr>
        <w:t>immediate and preferential purchase or use/lease option for Member States, associated countries and Ukraine;</w:t>
      </w:r>
    </w:p>
    <w:p w14:paraId="7B0D0761" w14:textId="77777777" w:rsidR="00CB5EDF" w:rsidRPr="00744DCA" w:rsidRDefault="00CB5EDF" w:rsidP="00CB5EDF">
      <w:pPr>
        <w:pStyle w:val="Point1"/>
        <w:rPr>
          <w:noProof/>
        </w:rPr>
      </w:pPr>
      <w:r>
        <w:rPr>
          <w:noProof/>
        </w:rPr>
        <w:t>(c)</w:t>
      </w:r>
      <w:r>
        <w:rPr>
          <w:noProof/>
        </w:rPr>
        <w:tab/>
      </w:r>
      <w:r w:rsidRPr="00744DCA">
        <w:rPr>
          <w:noProof/>
        </w:rPr>
        <w:t>the facilitation and speeding up of procurement procedures in a spirit of solidarity;</w:t>
      </w:r>
    </w:p>
    <w:p w14:paraId="3DE11D87" w14:textId="77777777" w:rsidR="00CB5EDF" w:rsidRPr="00744DCA" w:rsidRDefault="00CB5EDF" w:rsidP="00CB5EDF">
      <w:pPr>
        <w:pStyle w:val="Point1"/>
        <w:rPr>
          <w:noProof/>
        </w:rPr>
      </w:pPr>
      <w:r>
        <w:rPr>
          <w:noProof/>
        </w:rPr>
        <w:t>(d)</w:t>
      </w:r>
      <w:r>
        <w:rPr>
          <w:noProof/>
        </w:rPr>
        <w:tab/>
      </w:r>
      <w:r w:rsidRPr="00744DCA">
        <w:rPr>
          <w:noProof/>
        </w:rPr>
        <w:t>the support to administrative capacity building related to public procurement of defence products, with the aim of facilitating joint procurement.</w:t>
      </w:r>
    </w:p>
    <w:p w14:paraId="00369B7D" w14:textId="77777777" w:rsidR="00CB5EDF" w:rsidRPr="00744DCA" w:rsidRDefault="0008103E" w:rsidP="00B2056B">
      <w:pPr>
        <w:pStyle w:val="ManualNumPar1"/>
        <w:rPr>
          <w:noProof/>
        </w:rPr>
      </w:pPr>
      <w:r>
        <w:rPr>
          <w:noProof/>
        </w:rPr>
        <w:t>2.</w:t>
      </w:r>
      <w:r>
        <w:rPr>
          <w:noProof/>
        </w:rPr>
        <w:tab/>
      </w:r>
      <w:r w:rsidRPr="00744DCA">
        <w:rPr>
          <w:noProof/>
        </w:rPr>
        <w:t xml:space="preserve">The </w:t>
      </w:r>
      <w:r w:rsidR="00CB5EDF" w:rsidRPr="00744DCA">
        <w:rPr>
          <w:noProof/>
        </w:rPr>
        <w:t>Commission shall draw up the technical specifications for and procure the corporate IT platform required to establish the catalogue referred to in paragraph 1</w:t>
      </w:r>
      <w:r w:rsidR="0042194D" w:rsidRPr="00744DCA">
        <w:rPr>
          <w:noProof/>
        </w:rPr>
        <w:t>, point (a) of this Article</w:t>
      </w:r>
      <w:r w:rsidR="00CB5EDF" w:rsidRPr="00744DCA">
        <w:rPr>
          <w:noProof/>
        </w:rPr>
        <w:t xml:space="preserve"> based on consultations with the Defence Industrial Readiness Board.</w:t>
      </w:r>
    </w:p>
    <w:p w14:paraId="49F7BCE9" w14:textId="77777777" w:rsidR="00CB5EDF" w:rsidRPr="00744DCA" w:rsidRDefault="299C41F4" w:rsidP="00B2056B">
      <w:pPr>
        <w:pStyle w:val="ManualNumPar1"/>
        <w:rPr>
          <w:noProof/>
        </w:rPr>
      </w:pPr>
      <w:r>
        <w:rPr>
          <w:noProof/>
        </w:rPr>
        <w:t>3.</w:t>
      </w:r>
      <w:r>
        <w:rPr>
          <w:noProof/>
        </w:rPr>
        <w:tab/>
      </w:r>
      <w:r w:rsidRPr="00744DCA">
        <w:rPr>
          <w:noProof/>
        </w:rPr>
        <w:t>Where Member States jointly procure additional quantities or contribute through in-kind contributions to build up a defence industrial readiness pool as referred to in paragraph 2</w:t>
      </w:r>
      <w:r w:rsidR="00826E1C" w:rsidRPr="00744DCA">
        <w:rPr>
          <w:noProof/>
        </w:rPr>
        <w:t xml:space="preserve">, point (b), </w:t>
      </w:r>
      <w:r w:rsidRPr="00744DCA">
        <w:rPr>
          <w:noProof/>
        </w:rPr>
        <w:t xml:space="preserve">in </w:t>
      </w:r>
      <w:r w:rsidR="3FCA227E" w:rsidRPr="00744DCA">
        <w:rPr>
          <w:noProof/>
        </w:rPr>
        <w:t xml:space="preserve">the </w:t>
      </w:r>
      <w:r w:rsidRPr="00744DCA">
        <w:rPr>
          <w:noProof/>
        </w:rPr>
        <w:t xml:space="preserve">context of a </w:t>
      </w:r>
      <w:r w:rsidR="451F97EC" w:rsidRPr="00744DCA">
        <w:rPr>
          <w:noProof/>
        </w:rPr>
        <w:t xml:space="preserve">Structure for </w:t>
      </w:r>
      <w:r w:rsidRPr="00744DCA">
        <w:rPr>
          <w:noProof/>
        </w:rPr>
        <w:t xml:space="preserve">European Armament Programme, the Commission shall financially support the initiative through: </w:t>
      </w:r>
    </w:p>
    <w:p w14:paraId="401720D2" w14:textId="77777777" w:rsidR="00CB5EDF" w:rsidRPr="00744DCA" w:rsidRDefault="00826E1C" w:rsidP="00B2056B">
      <w:pPr>
        <w:pStyle w:val="Point1"/>
        <w:rPr>
          <w:noProof/>
        </w:rPr>
      </w:pPr>
      <w:r>
        <w:rPr>
          <w:noProof/>
        </w:rPr>
        <w:t>(a)</w:t>
      </w:r>
      <w:r>
        <w:rPr>
          <w:noProof/>
        </w:rPr>
        <w:tab/>
      </w:r>
      <w:r w:rsidRPr="00744DCA">
        <w:rPr>
          <w:noProof/>
        </w:rPr>
        <w:t>s</w:t>
      </w:r>
      <w:r w:rsidR="00CB5EDF" w:rsidRPr="00744DCA">
        <w:rPr>
          <w:noProof/>
        </w:rPr>
        <w:t>upport to common procurement of additional quantities as referred to in Article 11(2);</w:t>
      </w:r>
    </w:p>
    <w:p w14:paraId="5252E8E9" w14:textId="77777777" w:rsidR="00CB5EDF" w:rsidRPr="00744DCA" w:rsidRDefault="00826E1C" w:rsidP="00B91A8D">
      <w:pPr>
        <w:pStyle w:val="Point1"/>
        <w:rPr>
          <w:noProof/>
        </w:rPr>
      </w:pPr>
      <w:r>
        <w:rPr>
          <w:noProof/>
        </w:rPr>
        <w:t>(b)</w:t>
      </w:r>
      <w:r>
        <w:rPr>
          <w:noProof/>
        </w:rPr>
        <w:tab/>
      </w:r>
      <w:r w:rsidRPr="00744DCA">
        <w:rPr>
          <w:noProof/>
        </w:rPr>
        <w:t>c</w:t>
      </w:r>
      <w:r w:rsidR="00CB5EDF" w:rsidRPr="00744DCA">
        <w:rPr>
          <w:noProof/>
        </w:rPr>
        <w:t>ontribution to the direct and indirect costs of managing and maintaining the Defence Industrial Readiness Pool as referred to in Article 11(5)</w:t>
      </w:r>
      <w:r w:rsidRPr="00744DCA">
        <w:rPr>
          <w:noProof/>
        </w:rPr>
        <w:t>, point (</w:t>
      </w:r>
      <w:r w:rsidR="008B3C6E" w:rsidRPr="00744DCA">
        <w:rPr>
          <w:noProof/>
        </w:rPr>
        <w:t>f</w:t>
      </w:r>
      <w:r w:rsidRPr="00744DCA">
        <w:rPr>
          <w:noProof/>
        </w:rPr>
        <w:t>)</w:t>
      </w:r>
      <w:r w:rsidR="00CB5EDF" w:rsidRPr="00744DCA">
        <w:rPr>
          <w:noProof/>
        </w:rPr>
        <w:t>;</w:t>
      </w:r>
    </w:p>
    <w:p w14:paraId="51BE1D91" w14:textId="77777777" w:rsidR="00CB5EDF" w:rsidRPr="00744DCA" w:rsidRDefault="00826E1C" w:rsidP="00B91A8D">
      <w:pPr>
        <w:pStyle w:val="Point1"/>
        <w:rPr>
          <w:noProof/>
        </w:rPr>
      </w:pPr>
      <w:r>
        <w:rPr>
          <w:noProof/>
        </w:rPr>
        <w:t>(c)</w:t>
      </w:r>
      <w:r>
        <w:rPr>
          <w:noProof/>
        </w:rPr>
        <w:tab/>
      </w:r>
      <w:r w:rsidRPr="00744DCA">
        <w:rPr>
          <w:noProof/>
        </w:rPr>
        <w:t>c</w:t>
      </w:r>
      <w:r w:rsidR="00CB5EDF" w:rsidRPr="00744DCA">
        <w:rPr>
          <w:noProof/>
        </w:rPr>
        <w:t>ontribution to administrative capacity building as referred to in Article 11(5).</w:t>
      </w:r>
    </w:p>
    <w:p w14:paraId="0581253C" w14:textId="77777777" w:rsidR="00CB5EDF" w:rsidRPr="00744DCA" w:rsidRDefault="00CB5EDF" w:rsidP="00B2056B">
      <w:pPr>
        <w:pStyle w:val="ManualNumPar1"/>
        <w:rPr>
          <w:noProof/>
        </w:rPr>
      </w:pPr>
      <w:r>
        <w:rPr>
          <w:noProof/>
        </w:rPr>
        <w:t>4.</w:t>
      </w:r>
      <w:r>
        <w:rPr>
          <w:noProof/>
        </w:rPr>
        <w:tab/>
      </w:r>
      <w:r w:rsidRPr="00744DCA">
        <w:rPr>
          <w:noProof/>
        </w:rPr>
        <w:t xml:space="preserve">For the purpose of Member States, associated countries or Ukraine buying from the defence industrial readiness pool managed by a </w:t>
      </w:r>
      <w:r w:rsidR="006911AB" w:rsidRPr="00744DCA">
        <w:rPr>
          <w:noProof/>
        </w:rPr>
        <w:t xml:space="preserve">Structure for </w:t>
      </w:r>
      <w:r w:rsidRPr="00744DCA">
        <w:rPr>
          <w:noProof/>
        </w:rPr>
        <w:t>European Armament Programme, th</w:t>
      </w:r>
      <w:r w:rsidR="006F7038" w:rsidRPr="00744DCA">
        <w:rPr>
          <w:noProof/>
        </w:rPr>
        <w:t>e</w:t>
      </w:r>
      <w:r w:rsidRPr="00744DCA">
        <w:rPr>
          <w:noProof/>
        </w:rPr>
        <w:t xml:space="preserve"> procurement shall be considered as a government-to-government contract as referred to in Article 13</w:t>
      </w:r>
      <w:r w:rsidR="006F7038" w:rsidRPr="00744DCA">
        <w:rPr>
          <w:noProof/>
        </w:rPr>
        <w:t>, point (f)</w:t>
      </w:r>
      <w:r w:rsidRPr="00744DCA">
        <w:rPr>
          <w:noProof/>
        </w:rPr>
        <w:t xml:space="preserve"> of Directive 2009/81/EC. </w:t>
      </w:r>
    </w:p>
    <w:p w14:paraId="467E354E" w14:textId="77777777" w:rsidR="00CB5EDF" w:rsidRPr="00744DCA" w:rsidRDefault="00CB5EDF" w:rsidP="00CB5EDF">
      <w:pPr>
        <w:pStyle w:val="Titrearticle"/>
        <w:rPr>
          <w:noProof/>
          <w:lang w:val="en-IE"/>
        </w:rPr>
      </w:pPr>
      <w:r w:rsidRPr="00744DCA">
        <w:rPr>
          <w:noProof/>
          <w:lang w:val="en-IE"/>
        </w:rPr>
        <w:t>Article 15</w:t>
      </w:r>
    </w:p>
    <w:p w14:paraId="72CFC840" w14:textId="77777777" w:rsidR="00CB5EDF" w:rsidRPr="00744DCA" w:rsidRDefault="00CB5EDF" w:rsidP="00CB5EDF">
      <w:pPr>
        <w:pStyle w:val="Titrearticle"/>
        <w:rPr>
          <w:b/>
          <w:noProof/>
          <w:lang w:val="en-IE"/>
        </w:rPr>
      </w:pPr>
      <w:r w:rsidRPr="00744DCA">
        <w:rPr>
          <w:b/>
          <w:i w:val="0"/>
          <w:noProof/>
          <w:lang w:val="en-IE"/>
        </w:rPr>
        <w:t>Specific provisions applicable for activities contributing to European Defence Projects of Common Interest</w:t>
      </w:r>
    </w:p>
    <w:p w14:paraId="28423411" w14:textId="77777777" w:rsidR="00CB5EDF" w:rsidRPr="00744DCA" w:rsidRDefault="00CB5EDF" w:rsidP="00B2056B">
      <w:pPr>
        <w:pStyle w:val="ManualNumPar1"/>
        <w:rPr>
          <w:noProof/>
        </w:rPr>
      </w:pPr>
      <w:r>
        <w:rPr>
          <w:noProof/>
        </w:rPr>
        <w:t>1.</w:t>
      </w:r>
      <w:r>
        <w:rPr>
          <w:noProof/>
        </w:rPr>
        <w:tab/>
      </w:r>
      <w:r w:rsidRPr="00744DCA">
        <w:rPr>
          <w:noProof/>
        </w:rPr>
        <w:t xml:space="preserve">The Commission may identify European Defence Projects of Common Interest </w:t>
      </w:r>
      <w:r w:rsidR="006C5688" w:rsidRPr="00744DCA">
        <w:rPr>
          <w:noProof/>
        </w:rPr>
        <w:t>for funding</w:t>
      </w:r>
      <w:r w:rsidR="0090240B" w:rsidRPr="00744DCA">
        <w:rPr>
          <w:noProof/>
        </w:rPr>
        <w:t xml:space="preserve"> </w:t>
      </w:r>
      <w:r w:rsidRPr="00744DCA">
        <w:rPr>
          <w:noProof/>
        </w:rPr>
        <w:t xml:space="preserve">in the </w:t>
      </w:r>
      <w:r w:rsidR="00370C8C" w:rsidRPr="00744DCA">
        <w:rPr>
          <w:noProof/>
        </w:rPr>
        <w:t>w</w:t>
      </w:r>
      <w:r w:rsidRPr="00744DCA">
        <w:rPr>
          <w:noProof/>
        </w:rPr>
        <w:t xml:space="preserve">ork </w:t>
      </w:r>
      <w:r w:rsidR="00370C8C" w:rsidRPr="00744DCA">
        <w:rPr>
          <w:noProof/>
        </w:rPr>
        <w:t>p</w:t>
      </w:r>
      <w:r w:rsidRPr="00744DCA">
        <w:rPr>
          <w:noProof/>
        </w:rPr>
        <w:t>rogramme referred to in Article 1</w:t>
      </w:r>
      <w:r w:rsidR="00F01024" w:rsidRPr="00744DCA">
        <w:rPr>
          <w:noProof/>
        </w:rPr>
        <w:t>8</w:t>
      </w:r>
      <w:r w:rsidRPr="00744DCA">
        <w:rPr>
          <w:noProof/>
        </w:rPr>
        <w:t>.</w:t>
      </w:r>
    </w:p>
    <w:p w14:paraId="0ED42A8C" w14:textId="77777777" w:rsidR="00CB5EDF" w:rsidRPr="00744DCA" w:rsidRDefault="00CB5EDF" w:rsidP="00B2056B">
      <w:pPr>
        <w:pStyle w:val="ManualNumPar1"/>
        <w:rPr>
          <w:noProof/>
        </w:rPr>
      </w:pPr>
      <w:r>
        <w:rPr>
          <w:noProof/>
        </w:rPr>
        <w:t>2.</w:t>
      </w:r>
      <w:r>
        <w:rPr>
          <w:noProof/>
        </w:rPr>
        <w:tab/>
      </w:r>
      <w:r w:rsidRPr="00744DCA">
        <w:rPr>
          <w:noProof/>
        </w:rPr>
        <w:t>The Commission shall, when identifying projects referred to in paragraph 1:</w:t>
      </w:r>
    </w:p>
    <w:p w14:paraId="7C710370" w14:textId="77777777" w:rsidR="00CB5EDF" w:rsidRPr="00744DCA" w:rsidRDefault="299C41F4" w:rsidP="00B2056B">
      <w:pPr>
        <w:pStyle w:val="Point1"/>
        <w:rPr>
          <w:noProof/>
        </w:rPr>
      </w:pPr>
      <w:r>
        <w:rPr>
          <w:noProof/>
        </w:rPr>
        <w:t>(a)</w:t>
      </w:r>
      <w:r>
        <w:rPr>
          <w:noProof/>
        </w:rPr>
        <w:tab/>
      </w:r>
      <w:r w:rsidRPr="00744DCA">
        <w:rPr>
          <w:noProof/>
        </w:rPr>
        <w:t xml:space="preserve">duly consider the guidance </w:t>
      </w:r>
      <w:r w:rsidR="329D471E" w:rsidRPr="00744DCA">
        <w:rPr>
          <w:noProof/>
        </w:rPr>
        <w:t xml:space="preserve">provided in the context </w:t>
      </w:r>
      <w:r w:rsidRPr="00744DCA">
        <w:rPr>
          <w:noProof/>
        </w:rPr>
        <w:t>of the Defence Industrial Readiness Board, in particular the contribution of the project to the capability priority identified in the context of the CFSP, notably of the Capability Development Plan</w:t>
      </w:r>
      <w:r w:rsidR="0611C167" w:rsidRPr="00744DCA">
        <w:rPr>
          <w:noProof/>
        </w:rPr>
        <w:t>, and the objectives of the Strategic Compass for security and defence</w:t>
      </w:r>
      <w:r w:rsidRPr="00744DCA">
        <w:rPr>
          <w:noProof/>
        </w:rPr>
        <w:t>;</w:t>
      </w:r>
    </w:p>
    <w:p w14:paraId="169DE3F0" w14:textId="77777777" w:rsidR="00CB5EDF" w:rsidRPr="00744DCA" w:rsidRDefault="00CB5EDF" w:rsidP="00B91A8D">
      <w:pPr>
        <w:pStyle w:val="Point1"/>
        <w:rPr>
          <w:noProof/>
        </w:rPr>
      </w:pPr>
      <w:r>
        <w:rPr>
          <w:noProof/>
        </w:rPr>
        <w:t>(b)</w:t>
      </w:r>
      <w:r>
        <w:rPr>
          <w:noProof/>
        </w:rPr>
        <w:tab/>
      </w:r>
      <w:r w:rsidRPr="00744DCA">
        <w:rPr>
          <w:noProof/>
        </w:rPr>
        <w:t>identify overall financing needs and potential impacts for the Union budget;</w:t>
      </w:r>
    </w:p>
    <w:p w14:paraId="423E3897" w14:textId="77777777" w:rsidR="00CB5EDF" w:rsidRPr="00744DCA" w:rsidRDefault="00CB5EDF" w:rsidP="00B91A8D">
      <w:pPr>
        <w:pStyle w:val="Point1"/>
        <w:rPr>
          <w:noProof/>
        </w:rPr>
      </w:pPr>
      <w:r>
        <w:rPr>
          <w:noProof/>
        </w:rPr>
        <w:t>(c)</w:t>
      </w:r>
      <w:r>
        <w:rPr>
          <w:noProof/>
        </w:rPr>
        <w:tab/>
      </w:r>
      <w:r w:rsidRPr="00744DCA">
        <w:rPr>
          <w:noProof/>
        </w:rPr>
        <w:t>take into account any views of Member States.</w:t>
      </w:r>
    </w:p>
    <w:p w14:paraId="680DE0DB" w14:textId="77777777" w:rsidR="00CB5EDF" w:rsidRPr="00744DCA" w:rsidRDefault="00CB5EDF" w:rsidP="00B2056B">
      <w:pPr>
        <w:pStyle w:val="ManualNumPar1"/>
        <w:rPr>
          <w:noProof/>
        </w:rPr>
      </w:pPr>
      <w:r>
        <w:rPr>
          <w:noProof/>
        </w:rPr>
        <w:t>3.</w:t>
      </w:r>
      <w:r>
        <w:rPr>
          <w:noProof/>
        </w:rPr>
        <w:tab/>
      </w:r>
      <w:r w:rsidRPr="00744DCA">
        <w:rPr>
          <w:noProof/>
        </w:rPr>
        <w:t>European Defence Projects of Common Interest shall meet the following general criteria:</w:t>
      </w:r>
    </w:p>
    <w:p w14:paraId="77780FE4" w14:textId="77777777" w:rsidR="00CB5EDF" w:rsidRPr="00744DCA" w:rsidRDefault="00CB5EDF" w:rsidP="00B2056B">
      <w:pPr>
        <w:pStyle w:val="Point1"/>
        <w:rPr>
          <w:noProof/>
        </w:rPr>
      </w:pPr>
      <w:r>
        <w:rPr>
          <w:noProof/>
        </w:rPr>
        <w:t>(a)</w:t>
      </w:r>
      <w:r>
        <w:rPr>
          <w:noProof/>
        </w:rPr>
        <w:tab/>
      </w:r>
      <w:r w:rsidRPr="00744DCA">
        <w:rPr>
          <w:noProof/>
        </w:rPr>
        <w:t>the project aim</w:t>
      </w:r>
      <w:r w:rsidR="00F445A7" w:rsidRPr="00744DCA">
        <w:rPr>
          <w:noProof/>
        </w:rPr>
        <w:t>s</w:t>
      </w:r>
      <w:r w:rsidRPr="00744DCA">
        <w:rPr>
          <w:noProof/>
        </w:rPr>
        <w:t xml:space="preserve"> at developing </w:t>
      </w:r>
      <w:r w:rsidR="00D17138" w:rsidRPr="00744DCA">
        <w:rPr>
          <w:noProof/>
        </w:rPr>
        <w:t>capabilities</w:t>
      </w:r>
      <w:r w:rsidRPr="00744DCA">
        <w:rPr>
          <w:noProof/>
        </w:rPr>
        <w:t xml:space="preserve">, </w:t>
      </w:r>
      <w:r w:rsidR="00CB1E34">
        <w:rPr>
          <w:noProof/>
        </w:rPr>
        <w:t xml:space="preserve">including those </w:t>
      </w:r>
      <w:r w:rsidRPr="00744DCA">
        <w:rPr>
          <w:noProof/>
        </w:rPr>
        <w:t xml:space="preserve">securing access to strategic domains and contested spaces, </w:t>
      </w:r>
      <w:r w:rsidR="00DA2559" w:rsidRPr="00744DCA">
        <w:rPr>
          <w:noProof/>
        </w:rPr>
        <w:t>strategic enablers</w:t>
      </w:r>
      <w:r w:rsidR="00CB1E34">
        <w:rPr>
          <w:noProof/>
        </w:rPr>
        <w:t>,</w:t>
      </w:r>
      <w:r w:rsidR="00DA2559" w:rsidRPr="00744DCA">
        <w:rPr>
          <w:noProof/>
        </w:rPr>
        <w:t xml:space="preserve"> </w:t>
      </w:r>
      <w:r w:rsidR="00CB1E34">
        <w:rPr>
          <w:noProof/>
        </w:rPr>
        <w:t xml:space="preserve">and, as </w:t>
      </w:r>
      <w:r w:rsidRPr="00744DCA">
        <w:rPr>
          <w:noProof/>
        </w:rPr>
        <w:t>appropriate</w:t>
      </w:r>
      <w:r w:rsidR="00CB1E34">
        <w:rPr>
          <w:noProof/>
        </w:rPr>
        <w:t>,</w:t>
      </w:r>
      <w:r w:rsidRPr="00744DCA">
        <w:rPr>
          <w:noProof/>
        </w:rPr>
        <w:t xml:space="preserve"> systems acting as European defence infrastructure of common interest and use;</w:t>
      </w:r>
    </w:p>
    <w:p w14:paraId="540691F7" w14:textId="77777777" w:rsidR="00CB5EDF" w:rsidRPr="00744DCA" w:rsidRDefault="00CB5EDF" w:rsidP="00B91A8D">
      <w:pPr>
        <w:pStyle w:val="Point1"/>
        <w:rPr>
          <w:noProof/>
        </w:rPr>
      </w:pPr>
      <w:r>
        <w:rPr>
          <w:noProof/>
        </w:rPr>
        <w:t>(b)</w:t>
      </w:r>
      <w:r>
        <w:rPr>
          <w:noProof/>
        </w:rPr>
        <w:tab/>
      </w:r>
      <w:r w:rsidRPr="00744DCA">
        <w:rPr>
          <w:noProof/>
        </w:rPr>
        <w:t>the potential overall benefits of the project outweigh its costs, including in the longer term.</w:t>
      </w:r>
    </w:p>
    <w:p w14:paraId="1B1A9F8D" w14:textId="77777777" w:rsidR="00CB5EDF" w:rsidRPr="00744DCA" w:rsidRDefault="00CB5EDF" w:rsidP="00B2056B">
      <w:pPr>
        <w:pStyle w:val="ManualNumPar1"/>
        <w:rPr>
          <w:noProof/>
        </w:rPr>
      </w:pPr>
      <w:r>
        <w:rPr>
          <w:noProof/>
        </w:rPr>
        <w:t>4.</w:t>
      </w:r>
      <w:r>
        <w:rPr>
          <w:noProof/>
        </w:rPr>
        <w:tab/>
      </w:r>
      <w:r w:rsidRPr="00744DCA">
        <w:rPr>
          <w:noProof/>
        </w:rPr>
        <w:t xml:space="preserve">A European Defence Project of Common Interest shall </w:t>
      </w:r>
      <w:r w:rsidR="004D036F" w:rsidRPr="00744DCA">
        <w:rPr>
          <w:noProof/>
        </w:rPr>
        <w:t xml:space="preserve">involve </w:t>
      </w:r>
      <w:r w:rsidRPr="00744DCA">
        <w:rPr>
          <w:noProof/>
        </w:rPr>
        <w:t xml:space="preserve">at least </w:t>
      </w:r>
      <w:r w:rsidR="00A63CA9" w:rsidRPr="00744DCA">
        <w:rPr>
          <w:noProof/>
        </w:rPr>
        <w:t xml:space="preserve">four </w:t>
      </w:r>
      <w:r w:rsidRPr="00744DCA">
        <w:rPr>
          <w:noProof/>
        </w:rPr>
        <w:t>Member States</w:t>
      </w:r>
      <w:r w:rsidR="004D036F" w:rsidRPr="00744DCA">
        <w:rPr>
          <w:noProof/>
        </w:rPr>
        <w:t>.</w:t>
      </w:r>
      <w:r w:rsidRPr="00744DCA">
        <w:rPr>
          <w:noProof/>
        </w:rPr>
        <w:t xml:space="preserve"> </w:t>
      </w:r>
      <w:r w:rsidR="004D036F" w:rsidRPr="00744DCA">
        <w:rPr>
          <w:noProof/>
        </w:rPr>
        <w:t>T</w:t>
      </w:r>
      <w:r w:rsidRPr="00744DCA">
        <w:rPr>
          <w:noProof/>
        </w:rPr>
        <w:t xml:space="preserve">he European Commission </w:t>
      </w:r>
      <w:r w:rsidR="004D036F" w:rsidRPr="00744DCA">
        <w:rPr>
          <w:noProof/>
        </w:rPr>
        <w:t xml:space="preserve">shall be able, where relevant, to participate in </w:t>
      </w:r>
      <w:r w:rsidRPr="00744DCA">
        <w:rPr>
          <w:noProof/>
        </w:rPr>
        <w:t xml:space="preserve">the </w:t>
      </w:r>
      <w:r w:rsidR="00F445A7" w:rsidRPr="00744DCA">
        <w:rPr>
          <w:noProof/>
        </w:rPr>
        <w:t>p</w:t>
      </w:r>
      <w:r w:rsidRPr="00744DCA">
        <w:rPr>
          <w:noProof/>
        </w:rPr>
        <w:t>roject.</w:t>
      </w:r>
    </w:p>
    <w:p w14:paraId="6767B07F" w14:textId="77777777" w:rsidR="00CB5EDF" w:rsidRPr="00744DCA" w:rsidRDefault="00CB5EDF" w:rsidP="00B2056B">
      <w:pPr>
        <w:pStyle w:val="ManualNumPar1"/>
        <w:rPr>
          <w:noProof/>
        </w:rPr>
      </w:pPr>
      <w:r>
        <w:rPr>
          <w:noProof/>
        </w:rPr>
        <w:t>5.</w:t>
      </w:r>
      <w:r>
        <w:rPr>
          <w:noProof/>
        </w:rPr>
        <w:tab/>
      </w:r>
      <w:r w:rsidRPr="00744DCA">
        <w:rPr>
          <w:noProof/>
        </w:rPr>
        <w:t xml:space="preserve">A European Defence Project of Common Interest shall be considered to contribute to the defence capabilities critical for the security and defence interests of the Union and its Member States and therefore to be in the public interest. They may be established in the framework of </w:t>
      </w:r>
      <w:r w:rsidR="006911AB" w:rsidRPr="00744DCA">
        <w:rPr>
          <w:noProof/>
        </w:rPr>
        <w:t xml:space="preserve">Structures for </w:t>
      </w:r>
      <w:r w:rsidRPr="00744DCA">
        <w:rPr>
          <w:noProof/>
        </w:rPr>
        <w:t>European Armament Programme</w:t>
      </w:r>
      <w:r w:rsidR="0020587D" w:rsidRPr="00744DCA">
        <w:rPr>
          <w:noProof/>
        </w:rPr>
        <w:t>s</w:t>
      </w:r>
      <w:r w:rsidRPr="00744DCA">
        <w:rPr>
          <w:noProof/>
        </w:rPr>
        <w:t xml:space="preserve"> referred to in Chapter 3.</w:t>
      </w:r>
    </w:p>
    <w:p w14:paraId="0FEAF4E5" w14:textId="77777777" w:rsidR="00CB5EDF" w:rsidRPr="00744DCA" w:rsidRDefault="00CB5EDF" w:rsidP="00B2056B">
      <w:pPr>
        <w:pStyle w:val="ManualNumPar1"/>
        <w:rPr>
          <w:noProof/>
        </w:rPr>
      </w:pPr>
      <w:r>
        <w:rPr>
          <w:noProof/>
        </w:rPr>
        <w:t>6.</w:t>
      </w:r>
      <w:r>
        <w:rPr>
          <w:noProof/>
        </w:rPr>
        <w:tab/>
      </w:r>
      <w:r w:rsidRPr="00744DCA">
        <w:rPr>
          <w:noProof/>
        </w:rPr>
        <w:t xml:space="preserve">Member States may, without prejudice to Articles 107 and 108 </w:t>
      </w:r>
      <w:r w:rsidR="00B579F4" w:rsidRPr="00744DCA">
        <w:rPr>
          <w:noProof/>
        </w:rPr>
        <w:t>TFEU</w:t>
      </w:r>
      <w:r w:rsidRPr="00744DCA">
        <w:rPr>
          <w:noProof/>
        </w:rPr>
        <w:t>, apply support schemes and provide for administrative support to European Defence Project</w:t>
      </w:r>
      <w:r w:rsidR="006C529C" w:rsidRPr="00744DCA">
        <w:rPr>
          <w:noProof/>
        </w:rPr>
        <w:t>s</w:t>
      </w:r>
      <w:r w:rsidRPr="00744DCA">
        <w:rPr>
          <w:noProof/>
        </w:rPr>
        <w:t xml:space="preserve"> of Common Interest.</w:t>
      </w:r>
    </w:p>
    <w:p w14:paraId="43C1B93A" w14:textId="77777777" w:rsidR="001F037B" w:rsidRPr="00744DCA" w:rsidRDefault="001F037B" w:rsidP="00B2056B">
      <w:pPr>
        <w:pStyle w:val="ManualNumPar1"/>
        <w:rPr>
          <w:noProof/>
        </w:rPr>
      </w:pPr>
      <w:r>
        <w:rPr>
          <w:noProof/>
        </w:rPr>
        <w:t>7.</w:t>
      </w:r>
      <w:r>
        <w:rPr>
          <w:noProof/>
        </w:rPr>
        <w:tab/>
      </w:r>
      <w:r w:rsidRPr="00744DCA">
        <w:rPr>
          <w:noProof/>
        </w:rPr>
        <w:t xml:space="preserve">The Union financial contribution </w:t>
      </w:r>
      <w:r w:rsidR="00FB2234" w:rsidRPr="00744DCA">
        <w:rPr>
          <w:noProof/>
        </w:rPr>
        <w:t>referred to in Article 17</w:t>
      </w:r>
      <w:r w:rsidR="00ED517D" w:rsidRPr="00744DCA">
        <w:rPr>
          <w:noProof/>
        </w:rPr>
        <w:t xml:space="preserve"> </w:t>
      </w:r>
      <w:r w:rsidRPr="00744DCA">
        <w:rPr>
          <w:noProof/>
        </w:rPr>
        <w:t>shall not exceed 25% of the amount referred to in Article 5(1).</w:t>
      </w:r>
    </w:p>
    <w:p w14:paraId="79EBBD35" w14:textId="77777777" w:rsidR="00CB5EDF" w:rsidRPr="00744DCA" w:rsidRDefault="00351C00" w:rsidP="00CB5EDF">
      <w:pPr>
        <w:pStyle w:val="ManualNumPar1"/>
        <w:rPr>
          <w:noProof/>
        </w:rPr>
      </w:pPr>
      <w:r>
        <w:rPr>
          <w:noProof/>
        </w:rPr>
        <w:t>8.</w:t>
      </w:r>
      <w:r>
        <w:rPr>
          <w:noProof/>
        </w:rPr>
        <w:tab/>
      </w:r>
      <w:r w:rsidRPr="00744DCA">
        <w:rPr>
          <w:noProof/>
        </w:rPr>
        <w:t xml:space="preserve">The </w:t>
      </w:r>
      <w:r w:rsidR="00311B66" w:rsidRPr="00744DCA">
        <w:rPr>
          <w:noProof/>
        </w:rPr>
        <w:t xml:space="preserve">deployment of European Defence Projects of Common Interest </w:t>
      </w:r>
      <w:r w:rsidRPr="00744DCA">
        <w:rPr>
          <w:noProof/>
        </w:rPr>
        <w:t>may be considered an imperative reason of overriding public interest within the meaning of Article 6(4) and Article 16(1)</w:t>
      </w:r>
      <w:r w:rsidR="008A1DBD" w:rsidRPr="00744DCA">
        <w:rPr>
          <w:noProof/>
        </w:rPr>
        <w:t xml:space="preserve">, point </w:t>
      </w:r>
      <w:r w:rsidRPr="00744DCA">
        <w:rPr>
          <w:noProof/>
        </w:rPr>
        <w:t>(c)</w:t>
      </w:r>
      <w:r w:rsidR="008A1DBD" w:rsidRPr="00744DCA">
        <w:rPr>
          <w:noProof/>
        </w:rPr>
        <w:t>,</w:t>
      </w:r>
      <w:r w:rsidRPr="00744DCA">
        <w:rPr>
          <w:noProof/>
        </w:rPr>
        <w:t xml:space="preserve"> of Directive 92/43/EEC and of overriding public interest within the meaning of Article 4(7) of Directive 2000/60. Therefore, the planning, construction and operation of related production facilities may be considered of overriding public interest, provided that the remaining other conditions set out in these provisions are fulfilled.</w:t>
      </w:r>
    </w:p>
    <w:p w14:paraId="63C6A3F8" w14:textId="77777777" w:rsidR="00CB5EDF" w:rsidRPr="00744DCA" w:rsidRDefault="00CB5EDF" w:rsidP="00CB5EDF">
      <w:pPr>
        <w:pStyle w:val="Titrearticle"/>
        <w:rPr>
          <w:noProof/>
        </w:rPr>
      </w:pPr>
      <w:r w:rsidRPr="00744DCA">
        <w:rPr>
          <w:noProof/>
        </w:rPr>
        <w:t xml:space="preserve">Article </w:t>
      </w:r>
      <w:r w:rsidRPr="00744DCA" w:rsidDel="00484591">
        <w:rPr>
          <w:noProof/>
        </w:rPr>
        <w:t>16</w:t>
      </w:r>
    </w:p>
    <w:p w14:paraId="568D5BE6" w14:textId="77777777" w:rsidR="00CB5EDF" w:rsidRPr="00744DCA" w:rsidRDefault="00CB5EDF" w:rsidP="00CB5EDF">
      <w:pPr>
        <w:pStyle w:val="Titrearticle"/>
        <w:rPr>
          <w:b/>
          <w:i w:val="0"/>
          <w:noProof/>
        </w:rPr>
      </w:pPr>
      <w:r w:rsidRPr="00744DCA">
        <w:rPr>
          <w:b/>
          <w:i w:val="0"/>
          <w:noProof/>
        </w:rPr>
        <w:t>Award criteria</w:t>
      </w:r>
    </w:p>
    <w:p w14:paraId="080B7B99" w14:textId="77777777" w:rsidR="00CB5EDF" w:rsidRPr="00744DCA" w:rsidRDefault="00CB5EDF" w:rsidP="00B2056B">
      <w:pPr>
        <w:pStyle w:val="ManualNumPar1"/>
        <w:rPr>
          <w:noProof/>
        </w:rPr>
      </w:pPr>
      <w:r>
        <w:rPr>
          <w:noProof/>
        </w:rPr>
        <w:t>1.</w:t>
      </w:r>
      <w:r>
        <w:rPr>
          <w:noProof/>
        </w:rPr>
        <w:tab/>
      </w:r>
      <w:r w:rsidRPr="00744DCA">
        <w:rPr>
          <w:noProof/>
        </w:rPr>
        <w:t>Each proposal shall be assessed on the basis of the following criteria:</w:t>
      </w:r>
    </w:p>
    <w:p w14:paraId="3B91456B" w14:textId="68D4C5CD" w:rsidR="00CB5EDF" w:rsidRPr="00744DCA" w:rsidRDefault="00CB5EDF" w:rsidP="00B2056B">
      <w:pPr>
        <w:pStyle w:val="Point1"/>
        <w:rPr>
          <w:noProof/>
        </w:rPr>
      </w:pPr>
      <w:r>
        <w:rPr>
          <w:noProof/>
        </w:rPr>
        <w:t>(a)</w:t>
      </w:r>
      <w:r>
        <w:rPr>
          <w:noProof/>
        </w:rPr>
        <w:tab/>
      </w:r>
      <w:r w:rsidRPr="00744DCA">
        <w:rPr>
          <w:noProof/>
        </w:rPr>
        <w:t>defence industrial readiness: contribution to competitiveness, increase production capacities, reduce lead times, eliminate bottlenecks thereby increasing interoperability and interchangeability;</w:t>
      </w:r>
    </w:p>
    <w:p w14:paraId="3F42E65B" w14:textId="455B3B26" w:rsidR="004A0695" w:rsidRDefault="007E15F9" w:rsidP="00CB5EDF">
      <w:pPr>
        <w:pStyle w:val="Point1"/>
        <w:rPr>
          <w:noProof/>
        </w:rPr>
      </w:pPr>
      <w:r>
        <w:rPr>
          <w:noProof/>
        </w:rPr>
        <w:t>(b)</w:t>
      </w:r>
      <w:r>
        <w:rPr>
          <w:noProof/>
        </w:rPr>
        <w:tab/>
        <w:t xml:space="preserve">defence industrial resilience: </w:t>
      </w:r>
      <w:r>
        <w:rPr>
          <w:noProof/>
          <w:lang w:val="en-IE"/>
        </w:rPr>
        <w:t>contribution to resilience, increase timely availability and supply to all locations, strengthening security of supply throughout the Union in response to identified risks, including in particular high exposure to the risk of materialisation of conventional military threats, and</w:t>
      </w:r>
      <w:r>
        <w:rPr>
          <w:noProof/>
        </w:rPr>
        <w:t xml:space="preserve"> the non-dependency on non-associated third country sources.</w:t>
      </w:r>
    </w:p>
    <w:p w14:paraId="4F20F37C" w14:textId="2933B210" w:rsidR="00CB5EDF" w:rsidRPr="00744DCA" w:rsidRDefault="00CB5EDF" w:rsidP="00CB5EDF">
      <w:pPr>
        <w:pStyle w:val="Point1"/>
        <w:rPr>
          <w:noProof/>
        </w:rPr>
      </w:pPr>
      <w:r>
        <w:rPr>
          <w:noProof/>
        </w:rPr>
        <w:t>(c)</w:t>
      </w:r>
      <w:r>
        <w:rPr>
          <w:noProof/>
        </w:rPr>
        <w:tab/>
      </w:r>
      <w:r w:rsidRPr="00744DCA">
        <w:rPr>
          <w:noProof/>
        </w:rPr>
        <w:t>defence industrial cooperation: fostering genuine armament cooperation among Member States</w:t>
      </w:r>
      <w:r w:rsidR="00CA1FBA" w:rsidRPr="00744DCA">
        <w:rPr>
          <w:noProof/>
        </w:rPr>
        <w:t xml:space="preserve">, </w:t>
      </w:r>
      <w:r w:rsidRPr="00744DCA">
        <w:rPr>
          <w:noProof/>
        </w:rPr>
        <w:t>associated countries</w:t>
      </w:r>
      <w:r w:rsidR="00CA1FBA" w:rsidRPr="00744DCA">
        <w:rPr>
          <w:noProof/>
        </w:rPr>
        <w:t xml:space="preserve"> or Ukraine</w:t>
      </w:r>
      <w:r w:rsidRPr="00744DCA">
        <w:rPr>
          <w:noProof/>
        </w:rPr>
        <w:t xml:space="preserve"> and development and operationalisation of cross-border cooperation between undertakings established in different Member States</w:t>
      </w:r>
      <w:r w:rsidR="00CA1FBA" w:rsidRPr="00744DCA">
        <w:rPr>
          <w:noProof/>
        </w:rPr>
        <w:t xml:space="preserve">, </w:t>
      </w:r>
      <w:r w:rsidRPr="00744DCA">
        <w:rPr>
          <w:noProof/>
        </w:rPr>
        <w:t>associated countries</w:t>
      </w:r>
      <w:r w:rsidR="00CA1FBA" w:rsidRPr="00744DCA">
        <w:rPr>
          <w:noProof/>
        </w:rPr>
        <w:t xml:space="preserve"> or Ukraine</w:t>
      </w:r>
      <w:r w:rsidRPr="00744DCA">
        <w:rPr>
          <w:noProof/>
        </w:rPr>
        <w:t>, involving in particular, to a significant extent, SMEs</w:t>
      </w:r>
      <w:r w:rsidR="00D43A43" w:rsidRPr="00744DCA">
        <w:rPr>
          <w:noProof/>
        </w:rPr>
        <w:t xml:space="preserve">, </w:t>
      </w:r>
      <w:r w:rsidRPr="00744DCA">
        <w:rPr>
          <w:noProof/>
        </w:rPr>
        <w:t xml:space="preserve">small mid-caps </w:t>
      </w:r>
      <w:r w:rsidR="00D43A43" w:rsidRPr="00744DCA">
        <w:rPr>
          <w:noProof/>
        </w:rPr>
        <w:t xml:space="preserve">and other mid-caps </w:t>
      </w:r>
      <w:r w:rsidRPr="00744DCA">
        <w:rPr>
          <w:noProof/>
        </w:rPr>
        <w:t>as recipients, as subcontractors or as other undertakings in the supply chain;</w:t>
      </w:r>
    </w:p>
    <w:p w14:paraId="3E29BF2D" w14:textId="77777777" w:rsidR="00CB5EDF" w:rsidRPr="00744DCA" w:rsidRDefault="00CB5EDF" w:rsidP="00CB5EDF">
      <w:pPr>
        <w:pStyle w:val="Point1"/>
        <w:rPr>
          <w:noProof/>
        </w:rPr>
      </w:pPr>
      <w:r>
        <w:rPr>
          <w:noProof/>
        </w:rPr>
        <w:t>(d)</w:t>
      </w:r>
      <w:r>
        <w:rPr>
          <w:noProof/>
        </w:rPr>
        <w:tab/>
      </w:r>
      <w:r w:rsidRPr="00744DCA">
        <w:rPr>
          <w:noProof/>
        </w:rPr>
        <w:t>the quality of the implementation plan of the action, in particular measures to respect delivery lead times, including in terms of its processes and monitoring.</w:t>
      </w:r>
    </w:p>
    <w:p w14:paraId="62980719" w14:textId="77777777" w:rsidR="00CB5EDF" w:rsidRPr="00744DCA" w:rsidRDefault="00CB5EDF">
      <w:pPr>
        <w:pStyle w:val="ManualNumPar1"/>
        <w:rPr>
          <w:noProof/>
        </w:rPr>
      </w:pPr>
      <w:r>
        <w:rPr>
          <w:noProof/>
        </w:rPr>
        <w:t>2.</w:t>
      </w:r>
      <w:r>
        <w:rPr>
          <w:noProof/>
        </w:rPr>
        <w:tab/>
      </w:r>
      <w:r w:rsidRPr="00744DCA">
        <w:rPr>
          <w:noProof/>
        </w:rPr>
        <w:t>The work programme shall lay down further details concerning the application of the award criteria laid down in paragraph 1, including any weighting to be applied. The work programme shall not set individual thresholds.</w:t>
      </w:r>
    </w:p>
    <w:p w14:paraId="7D553D8B" w14:textId="77777777" w:rsidR="00CB5EDF" w:rsidRPr="00744DCA" w:rsidRDefault="00CB5EDF" w:rsidP="00CB5EDF">
      <w:pPr>
        <w:pStyle w:val="Titrearticle"/>
        <w:rPr>
          <w:noProof/>
          <w:lang w:val="fr-BE"/>
        </w:rPr>
      </w:pPr>
      <w:r w:rsidRPr="00744DCA">
        <w:rPr>
          <w:noProof/>
          <w:lang w:val="fr-BE"/>
        </w:rPr>
        <w:t xml:space="preserve">Article </w:t>
      </w:r>
      <w:r w:rsidRPr="00744DCA" w:rsidDel="00484591">
        <w:rPr>
          <w:noProof/>
          <w:lang w:val="fr-BE"/>
        </w:rPr>
        <w:t>17</w:t>
      </w:r>
    </w:p>
    <w:p w14:paraId="4A26FA2D" w14:textId="77777777" w:rsidR="00CB5EDF" w:rsidRPr="00744DCA" w:rsidRDefault="00CB5EDF" w:rsidP="00CB5EDF">
      <w:pPr>
        <w:pStyle w:val="Titrearticle"/>
        <w:rPr>
          <w:b/>
          <w:i w:val="0"/>
          <w:noProof/>
          <w:lang w:val="fr-BE"/>
        </w:rPr>
      </w:pPr>
      <w:r w:rsidRPr="00744DCA">
        <w:rPr>
          <w:b/>
          <w:i w:val="0"/>
          <w:noProof/>
          <w:lang w:val="fr-BE"/>
        </w:rPr>
        <w:t>Union financial contribution</w:t>
      </w:r>
    </w:p>
    <w:p w14:paraId="545873C7" w14:textId="6672E9C5" w:rsidR="00CB5EDF" w:rsidRPr="00744DCA" w:rsidRDefault="00CB5EDF" w:rsidP="00FA1F34">
      <w:pPr>
        <w:pStyle w:val="ManualNumPar1"/>
        <w:rPr>
          <w:noProof/>
        </w:rPr>
      </w:pPr>
      <w:r>
        <w:rPr>
          <w:noProof/>
        </w:rPr>
        <w:t>1.</w:t>
      </w:r>
      <w:r>
        <w:rPr>
          <w:noProof/>
        </w:rPr>
        <w:tab/>
      </w:r>
      <w:r w:rsidRPr="00744DCA">
        <w:rPr>
          <w:noProof/>
        </w:rPr>
        <w:t xml:space="preserve">By way of derogation from Article 190 of the </w:t>
      </w:r>
      <w:r>
        <w:rPr>
          <w:noProof/>
        </w:rPr>
        <w:t>Regulation (EU, Euratom) No 2018/1046</w:t>
      </w:r>
      <w:r w:rsidRPr="00744DCA">
        <w:rPr>
          <w:noProof/>
        </w:rPr>
        <w:t xml:space="preserve">, the Programme </w:t>
      </w:r>
      <w:r w:rsidR="0013520A" w:rsidRPr="00744DCA">
        <w:rPr>
          <w:noProof/>
        </w:rPr>
        <w:t xml:space="preserve">may </w:t>
      </w:r>
      <w:r w:rsidRPr="00744DCA">
        <w:rPr>
          <w:noProof/>
        </w:rPr>
        <w:t>finance up to 100 % of the eligible costs.</w:t>
      </w:r>
      <w:r w:rsidR="007E4DAC" w:rsidRPr="00744DCA">
        <w:rPr>
          <w:noProof/>
        </w:rPr>
        <w:t xml:space="preserve"> However, </w:t>
      </w:r>
      <w:r w:rsidRPr="00744DCA">
        <w:rPr>
          <w:noProof/>
        </w:rPr>
        <w:t>for activities referred to in Article 11(3) the support from the Programme shall not exceed 35 % of the eligible costs.</w:t>
      </w:r>
    </w:p>
    <w:p w14:paraId="605E748E" w14:textId="77777777" w:rsidR="00CB5EDF" w:rsidRPr="00744DCA" w:rsidRDefault="00CB5EDF">
      <w:pPr>
        <w:pStyle w:val="ManualNumPar1"/>
        <w:rPr>
          <w:noProof/>
        </w:rPr>
      </w:pPr>
      <w:r>
        <w:rPr>
          <w:noProof/>
        </w:rPr>
        <w:t>2.</w:t>
      </w:r>
      <w:r>
        <w:rPr>
          <w:noProof/>
        </w:rPr>
        <w:tab/>
      </w:r>
      <w:r w:rsidRPr="00744DCA">
        <w:rPr>
          <w:noProof/>
        </w:rPr>
        <w:t xml:space="preserve">An action shall be eligible for an increased funding rate where it fulfils one </w:t>
      </w:r>
      <w:r w:rsidR="009A4C19" w:rsidRPr="00744DCA">
        <w:rPr>
          <w:noProof/>
        </w:rPr>
        <w:t xml:space="preserve">or more </w:t>
      </w:r>
      <w:r w:rsidRPr="00744DCA">
        <w:rPr>
          <w:noProof/>
        </w:rPr>
        <w:t>of the following criteria:</w:t>
      </w:r>
    </w:p>
    <w:p w14:paraId="22AA4E91" w14:textId="20009358" w:rsidR="00105C00" w:rsidRPr="00FA1F34" w:rsidRDefault="00CB5EDF" w:rsidP="00B2056B">
      <w:pPr>
        <w:pStyle w:val="Point1"/>
        <w:rPr>
          <w:noProof/>
          <w:lang w:val="en-IE"/>
        </w:rPr>
      </w:pPr>
      <w:r>
        <w:rPr>
          <w:noProof/>
        </w:rPr>
        <w:t>(a)</w:t>
      </w:r>
      <w:r>
        <w:rPr>
          <w:noProof/>
        </w:rPr>
        <w:tab/>
      </w:r>
      <w:r w:rsidRPr="00744DCA">
        <w:rPr>
          <w:noProof/>
        </w:rPr>
        <w:t xml:space="preserve">the action is developed in the context of a </w:t>
      </w:r>
      <w:r w:rsidR="00EA2519" w:rsidRPr="00744DCA">
        <w:rPr>
          <w:noProof/>
        </w:rPr>
        <w:t xml:space="preserve">Structure for </w:t>
      </w:r>
      <w:r w:rsidRPr="00744DCA">
        <w:rPr>
          <w:noProof/>
        </w:rPr>
        <w:t xml:space="preserve">European Armament Programme </w:t>
      </w:r>
      <w:r w:rsidR="000D6305" w:rsidRPr="00744DCA">
        <w:rPr>
          <w:noProof/>
        </w:rPr>
        <w:t>SEAP</w:t>
      </w:r>
      <w:r w:rsidRPr="00744DCA">
        <w:rPr>
          <w:noProof/>
        </w:rPr>
        <w:t>, as referred to in Chapter I</w:t>
      </w:r>
      <w:r>
        <w:rPr>
          <w:noProof/>
        </w:rPr>
        <w:t>II</w:t>
      </w:r>
      <w:r w:rsidRPr="00744DCA">
        <w:rPr>
          <w:noProof/>
        </w:rPr>
        <w:t xml:space="preserve"> of this Regulation</w:t>
      </w:r>
      <w:r w:rsidR="009665F1" w:rsidRPr="00744DCA">
        <w:rPr>
          <w:rFonts w:asciiTheme="minorHAnsi" w:hAnsiTheme="minorHAnsi" w:cstheme="minorBidi"/>
          <w:noProof/>
          <w:kern w:val="2"/>
          <w:sz w:val="22"/>
          <w14:ligatures w14:val="standardContextual"/>
        </w:rPr>
        <w:t xml:space="preserve"> </w:t>
      </w:r>
      <w:r w:rsidR="009665F1" w:rsidRPr="009665F1">
        <w:rPr>
          <w:noProof/>
          <w:lang w:val="en-IE"/>
        </w:rPr>
        <w:t xml:space="preserve">or in the context of a project of PESCO, provided that this project complies with obligations </w:t>
      </w:r>
      <w:r w:rsidR="002E2E91" w:rsidRPr="00744DCA">
        <w:rPr>
          <w:noProof/>
          <w:lang w:val="en-IE"/>
        </w:rPr>
        <w:t xml:space="preserve">comparable to those </w:t>
      </w:r>
      <w:r w:rsidR="009665F1" w:rsidRPr="009665F1">
        <w:rPr>
          <w:noProof/>
          <w:lang w:val="en-IE"/>
        </w:rPr>
        <w:t>under Article 2</w:t>
      </w:r>
      <w:r w:rsidR="00F01024" w:rsidRPr="00744DCA">
        <w:rPr>
          <w:noProof/>
          <w:lang w:val="en-IE"/>
        </w:rPr>
        <w:t>2</w:t>
      </w:r>
      <w:r w:rsidR="009665F1" w:rsidRPr="009665F1">
        <w:rPr>
          <w:noProof/>
          <w:lang w:val="en-IE"/>
        </w:rPr>
        <w:t>(1), 2</w:t>
      </w:r>
      <w:r w:rsidR="00F01024" w:rsidRPr="00744DCA">
        <w:rPr>
          <w:noProof/>
          <w:lang w:val="en-IE"/>
        </w:rPr>
        <w:t>3</w:t>
      </w:r>
      <w:r w:rsidR="009665F1" w:rsidRPr="009665F1">
        <w:rPr>
          <w:noProof/>
          <w:lang w:val="en-IE"/>
        </w:rPr>
        <w:t>(1), 2</w:t>
      </w:r>
      <w:r w:rsidR="00F01024" w:rsidRPr="00744DCA">
        <w:rPr>
          <w:noProof/>
          <w:lang w:val="en-IE"/>
        </w:rPr>
        <w:t>5</w:t>
      </w:r>
      <w:r w:rsidR="009665F1" w:rsidRPr="009665F1">
        <w:rPr>
          <w:noProof/>
          <w:lang w:val="en-IE"/>
        </w:rPr>
        <w:t xml:space="preserve"> and 2</w:t>
      </w:r>
      <w:r w:rsidR="00F01024" w:rsidRPr="00744DCA">
        <w:rPr>
          <w:noProof/>
          <w:lang w:val="en-IE"/>
        </w:rPr>
        <w:t>6</w:t>
      </w:r>
      <w:r w:rsidR="009665F1" w:rsidRPr="009665F1">
        <w:rPr>
          <w:noProof/>
          <w:lang w:val="en-IE"/>
        </w:rPr>
        <w:t xml:space="preserve"> of this Regulation and that it did not benefit from a comparable increased funding rate in another EU funding programme</w:t>
      </w:r>
      <w:r w:rsidR="00D515E2" w:rsidRPr="00744DCA">
        <w:rPr>
          <w:noProof/>
        </w:rPr>
        <w:t>;</w:t>
      </w:r>
      <w:r w:rsidR="00BA5D19" w:rsidRPr="00744DCA">
        <w:rPr>
          <w:noProof/>
        </w:rPr>
        <w:t xml:space="preserve"> </w:t>
      </w:r>
    </w:p>
    <w:p w14:paraId="7A94E87D" w14:textId="77777777" w:rsidR="00CB5EDF" w:rsidRPr="00744DCA" w:rsidRDefault="00CB5EDF" w:rsidP="00CB5EDF">
      <w:pPr>
        <w:pStyle w:val="Point1"/>
        <w:rPr>
          <w:noProof/>
        </w:rPr>
      </w:pPr>
      <w:r>
        <w:rPr>
          <w:noProof/>
        </w:rPr>
        <w:t>(b)</w:t>
      </w:r>
      <w:r>
        <w:rPr>
          <w:noProof/>
        </w:rPr>
        <w:tab/>
      </w:r>
      <w:r w:rsidRPr="00744DCA">
        <w:rPr>
          <w:noProof/>
        </w:rPr>
        <w:t xml:space="preserve">Ukraine is the recipient of defence products produced or procured under the Programme and </w:t>
      </w:r>
      <w:r w:rsidR="00460EB4" w:rsidRPr="00744DCA">
        <w:rPr>
          <w:noProof/>
        </w:rPr>
        <w:t xml:space="preserve">those </w:t>
      </w:r>
      <w:r w:rsidRPr="00744DCA">
        <w:rPr>
          <w:noProof/>
        </w:rPr>
        <w:t>products are subject to financial support under the European Peace Facility;</w:t>
      </w:r>
    </w:p>
    <w:p w14:paraId="3DA7FF1E" w14:textId="77777777" w:rsidR="00CB5EDF" w:rsidRPr="00744DCA" w:rsidRDefault="00CB5EDF" w:rsidP="00CB5EDF">
      <w:pPr>
        <w:pStyle w:val="Point1"/>
        <w:rPr>
          <w:noProof/>
        </w:rPr>
      </w:pPr>
      <w:r>
        <w:rPr>
          <w:noProof/>
        </w:rPr>
        <w:t>(c)</w:t>
      </w:r>
      <w:r>
        <w:rPr>
          <w:noProof/>
        </w:rPr>
        <w:tab/>
      </w:r>
      <w:r w:rsidRPr="00744DCA">
        <w:rPr>
          <w:noProof/>
        </w:rPr>
        <w:t xml:space="preserve">Member States agree on a common approach to exports for defence products developed and procured in the context of a </w:t>
      </w:r>
      <w:r w:rsidR="00EA2519" w:rsidRPr="00744DCA">
        <w:rPr>
          <w:noProof/>
        </w:rPr>
        <w:t xml:space="preserve">Structure for </w:t>
      </w:r>
      <w:r w:rsidRPr="00744DCA">
        <w:rPr>
          <w:noProof/>
        </w:rPr>
        <w:t xml:space="preserve">European Armament Programme </w:t>
      </w:r>
      <w:r w:rsidR="00363EC5" w:rsidRPr="00744DCA">
        <w:rPr>
          <w:noProof/>
        </w:rPr>
        <w:t>(</w:t>
      </w:r>
      <w:r w:rsidR="000D6305" w:rsidRPr="00744DCA">
        <w:rPr>
          <w:noProof/>
        </w:rPr>
        <w:t>SEAP</w:t>
      </w:r>
      <w:r w:rsidR="00363EC5" w:rsidRPr="00744DCA">
        <w:rPr>
          <w:noProof/>
        </w:rPr>
        <w:t>)</w:t>
      </w:r>
      <w:r w:rsidRPr="00744DCA">
        <w:rPr>
          <w:noProof/>
        </w:rPr>
        <w:t xml:space="preserve">; </w:t>
      </w:r>
    </w:p>
    <w:p w14:paraId="70F2F78A" w14:textId="77777777" w:rsidR="00CB5EDF" w:rsidRPr="00744DCA" w:rsidRDefault="00CB5EDF" w:rsidP="00CB5EDF">
      <w:pPr>
        <w:pStyle w:val="Point1"/>
        <w:rPr>
          <w:noProof/>
        </w:rPr>
      </w:pPr>
      <w:r>
        <w:rPr>
          <w:noProof/>
        </w:rPr>
        <w:t>(d)</w:t>
      </w:r>
      <w:r>
        <w:rPr>
          <w:noProof/>
        </w:rPr>
        <w:tab/>
      </w:r>
      <w:r w:rsidRPr="00744DCA">
        <w:rPr>
          <w:noProof/>
        </w:rPr>
        <w:t>the beneficiary is an SME or small mid-cap or the majority of beneficiaries participating in a consortium are SMEs</w:t>
      </w:r>
      <w:r w:rsidR="00421983" w:rsidRPr="00744DCA">
        <w:rPr>
          <w:noProof/>
        </w:rPr>
        <w:t xml:space="preserve"> or</w:t>
      </w:r>
      <w:r w:rsidRPr="00744DCA">
        <w:rPr>
          <w:noProof/>
        </w:rPr>
        <w:t xml:space="preserve"> small mid-caps.</w:t>
      </w:r>
    </w:p>
    <w:p w14:paraId="340F5A93" w14:textId="77777777" w:rsidR="00CB5EDF" w:rsidRPr="00744DCA" w:rsidRDefault="00CB5EDF">
      <w:pPr>
        <w:pStyle w:val="ManualNumPar1"/>
        <w:rPr>
          <w:noProof/>
        </w:rPr>
      </w:pPr>
      <w:r>
        <w:rPr>
          <w:noProof/>
        </w:rPr>
        <w:t>3.</w:t>
      </w:r>
      <w:r>
        <w:rPr>
          <w:noProof/>
        </w:rPr>
        <w:tab/>
      </w:r>
      <w:r w:rsidRPr="00744DCA">
        <w:rPr>
          <w:noProof/>
        </w:rPr>
        <w:t>The work programme shall lay down further details</w:t>
      </w:r>
      <w:r w:rsidR="00AF4376" w:rsidRPr="00744DCA">
        <w:rPr>
          <w:noProof/>
        </w:rPr>
        <w:t xml:space="preserve">, </w:t>
      </w:r>
      <w:r w:rsidR="00EA1976" w:rsidRPr="00744DCA">
        <w:rPr>
          <w:noProof/>
        </w:rPr>
        <w:t>including</w:t>
      </w:r>
      <w:r w:rsidR="0069517A" w:rsidRPr="00744DCA">
        <w:rPr>
          <w:noProof/>
        </w:rPr>
        <w:t>, where relevant,</w:t>
      </w:r>
      <w:r w:rsidR="00C1574C" w:rsidRPr="00744DCA">
        <w:rPr>
          <w:noProof/>
        </w:rPr>
        <w:t xml:space="preserve"> the </w:t>
      </w:r>
      <w:r w:rsidR="0069517A" w:rsidRPr="00744DCA">
        <w:rPr>
          <w:noProof/>
        </w:rPr>
        <w:t>increased funding rate</w:t>
      </w:r>
      <w:r w:rsidR="00872A79" w:rsidRPr="00744DCA">
        <w:rPr>
          <w:noProof/>
        </w:rPr>
        <w:t>s</w:t>
      </w:r>
      <w:r w:rsidR="0069517A" w:rsidRPr="00744DCA">
        <w:rPr>
          <w:noProof/>
        </w:rPr>
        <w:t xml:space="preserve"> </w:t>
      </w:r>
      <w:r w:rsidR="00872A79" w:rsidRPr="00744DCA">
        <w:rPr>
          <w:noProof/>
        </w:rPr>
        <w:t>referred to in paragraph 3</w:t>
      </w:r>
      <w:r w:rsidRPr="00744DCA">
        <w:rPr>
          <w:noProof/>
        </w:rPr>
        <w:t>.</w:t>
      </w:r>
    </w:p>
    <w:p w14:paraId="4C12938A" w14:textId="77777777" w:rsidR="00CB5EDF" w:rsidRPr="00744DCA" w:rsidRDefault="00CB5EDF" w:rsidP="00CB5EDF">
      <w:pPr>
        <w:pStyle w:val="Titrearticle"/>
        <w:rPr>
          <w:noProof/>
        </w:rPr>
      </w:pPr>
      <w:r w:rsidRPr="00744DCA">
        <w:rPr>
          <w:noProof/>
        </w:rPr>
        <w:t xml:space="preserve">Article </w:t>
      </w:r>
      <w:r w:rsidRPr="00744DCA" w:rsidDel="00484591">
        <w:rPr>
          <w:noProof/>
        </w:rPr>
        <w:t>18</w:t>
      </w:r>
    </w:p>
    <w:p w14:paraId="7FB302AD" w14:textId="77777777" w:rsidR="00CB5EDF" w:rsidRPr="00744DCA" w:rsidRDefault="00CB5EDF" w:rsidP="00CB5EDF">
      <w:pPr>
        <w:pStyle w:val="Titrearticle"/>
        <w:rPr>
          <w:b/>
          <w:i w:val="0"/>
          <w:noProof/>
        </w:rPr>
      </w:pPr>
      <w:r w:rsidRPr="00744DCA">
        <w:rPr>
          <w:b/>
          <w:i w:val="0"/>
          <w:noProof/>
        </w:rPr>
        <w:t xml:space="preserve">Work </w:t>
      </w:r>
      <w:r w:rsidR="00DC3341" w:rsidRPr="00744DCA">
        <w:rPr>
          <w:b/>
          <w:i w:val="0"/>
          <w:noProof/>
        </w:rPr>
        <w:t>p</w:t>
      </w:r>
      <w:r w:rsidRPr="00744DCA">
        <w:rPr>
          <w:b/>
          <w:i w:val="0"/>
          <w:noProof/>
        </w:rPr>
        <w:t>rogramme</w:t>
      </w:r>
      <w:r w:rsidR="00DC3341" w:rsidRPr="00744DCA">
        <w:rPr>
          <w:b/>
          <w:i w:val="0"/>
          <w:noProof/>
        </w:rPr>
        <w:t>s</w:t>
      </w:r>
    </w:p>
    <w:p w14:paraId="117A961F" w14:textId="0DF447F1" w:rsidR="00CB5EDF" w:rsidRPr="00744DCA" w:rsidRDefault="00CB5EDF" w:rsidP="00B2056B">
      <w:pPr>
        <w:pStyle w:val="ManualNumPar1"/>
        <w:rPr>
          <w:noProof/>
        </w:rPr>
      </w:pPr>
      <w:r>
        <w:rPr>
          <w:noProof/>
        </w:rPr>
        <w:t>1.</w:t>
      </w:r>
      <w:r>
        <w:rPr>
          <w:noProof/>
        </w:rPr>
        <w:tab/>
      </w:r>
      <w:r w:rsidRPr="00744DCA">
        <w:rPr>
          <w:noProof/>
        </w:rPr>
        <w:t xml:space="preserve">The Programme shall be implemented by work programmes </w:t>
      </w:r>
      <w:r w:rsidR="006E46CE" w:rsidRPr="00744DCA">
        <w:rPr>
          <w:noProof/>
        </w:rPr>
        <w:t xml:space="preserve">as </w:t>
      </w:r>
      <w:r w:rsidRPr="00744DCA">
        <w:rPr>
          <w:noProof/>
        </w:rPr>
        <w:t xml:space="preserve">referred to in Article 110 of the </w:t>
      </w:r>
      <w:r>
        <w:rPr>
          <w:noProof/>
        </w:rPr>
        <w:t>Regulation (EU, Euratom) No 2018/1046</w:t>
      </w:r>
      <w:r w:rsidRPr="00744DCA">
        <w:rPr>
          <w:noProof/>
        </w:rPr>
        <w:t>. Work programmes shall set out the actions and associated budget required to meet the objectives of the Programme and, where applicable, the overall amount reserved for blending operations.</w:t>
      </w:r>
    </w:p>
    <w:p w14:paraId="26DDCCB3" w14:textId="77777777" w:rsidR="00CB5EDF" w:rsidRPr="00744DCA" w:rsidRDefault="00CB5EDF" w:rsidP="00CB5EDF">
      <w:pPr>
        <w:pStyle w:val="ManualNumPar1"/>
        <w:rPr>
          <w:noProof/>
        </w:rPr>
      </w:pPr>
      <w:r>
        <w:rPr>
          <w:noProof/>
        </w:rPr>
        <w:t>2.</w:t>
      </w:r>
      <w:r>
        <w:rPr>
          <w:noProof/>
        </w:rPr>
        <w:tab/>
      </w:r>
      <w:r w:rsidRPr="00744DCA">
        <w:rPr>
          <w:noProof/>
        </w:rPr>
        <w:t xml:space="preserve">The Commission shall adopt work programmes by means of implementing acts. Those implementing acts shall be adopted in accordance with the examination procedure referred to in Article </w:t>
      </w:r>
      <w:r w:rsidR="00D80E60" w:rsidRPr="00744DCA">
        <w:rPr>
          <w:noProof/>
        </w:rPr>
        <w:t>5</w:t>
      </w:r>
      <w:r w:rsidR="00F01024" w:rsidRPr="00744DCA">
        <w:rPr>
          <w:noProof/>
        </w:rPr>
        <w:t>8</w:t>
      </w:r>
      <w:r w:rsidRPr="00744DCA">
        <w:rPr>
          <w:noProof/>
        </w:rPr>
        <w:t>(3).</w:t>
      </w:r>
    </w:p>
    <w:p w14:paraId="2602B3AA" w14:textId="77777777" w:rsidR="00CB5EDF" w:rsidRPr="00744DCA" w:rsidRDefault="00CB5EDF" w:rsidP="00CB5EDF">
      <w:pPr>
        <w:pStyle w:val="Titrearticle"/>
        <w:rPr>
          <w:noProof/>
        </w:rPr>
      </w:pPr>
      <w:bookmarkStart w:id="4" w:name="_Hlk159235236"/>
      <w:r w:rsidRPr="00744DCA">
        <w:rPr>
          <w:noProof/>
        </w:rPr>
        <w:t xml:space="preserve">Article </w:t>
      </w:r>
      <w:r w:rsidRPr="00744DCA" w:rsidDel="00484591">
        <w:rPr>
          <w:noProof/>
        </w:rPr>
        <w:t>19</w:t>
      </w:r>
    </w:p>
    <w:p w14:paraId="50B342EB" w14:textId="77777777" w:rsidR="00CB5EDF" w:rsidRPr="00744DCA" w:rsidRDefault="00CB5EDF" w:rsidP="00CB5EDF">
      <w:pPr>
        <w:pStyle w:val="Titrearticle"/>
        <w:rPr>
          <w:b/>
          <w:i w:val="0"/>
          <w:noProof/>
        </w:rPr>
      </w:pPr>
      <w:r w:rsidRPr="00744DCA">
        <w:rPr>
          <w:b/>
          <w:i w:val="0"/>
          <w:noProof/>
        </w:rPr>
        <w:t>Fund to Accelerate defence Supply chains Transformation (FAST)</w:t>
      </w:r>
    </w:p>
    <w:p w14:paraId="081B1A20" w14:textId="73BE556E" w:rsidR="00CB5EDF" w:rsidRPr="00744DCA" w:rsidRDefault="00CB5EDF" w:rsidP="00B2056B">
      <w:pPr>
        <w:pStyle w:val="ManualNumPar1"/>
        <w:rPr>
          <w:noProof/>
        </w:rPr>
      </w:pPr>
      <w:r>
        <w:rPr>
          <w:noProof/>
        </w:rPr>
        <w:t>1.</w:t>
      </w:r>
      <w:r>
        <w:rPr>
          <w:noProof/>
        </w:rPr>
        <w:tab/>
      </w:r>
      <w:r w:rsidRPr="00744DCA">
        <w:rPr>
          <w:noProof/>
          <w:lang w:val="en-IE"/>
        </w:rPr>
        <w:t xml:space="preserve">In order to leverage, de-risk and speed-up investments needed to increase the defence manufacturing capacities of SMEs and small mid-caps, a blending operation offering debt and/or equity </w:t>
      </w:r>
      <w:r w:rsidR="009338E9" w:rsidRPr="00744DCA">
        <w:rPr>
          <w:noProof/>
          <w:lang w:val="en-IE"/>
        </w:rPr>
        <w:t xml:space="preserve">support </w:t>
      </w:r>
      <w:r w:rsidRPr="00744DCA">
        <w:rPr>
          <w:noProof/>
          <w:lang w:val="en-IE"/>
        </w:rPr>
        <w:t xml:space="preserve">may be established (Fund to Accelerate </w:t>
      </w:r>
      <w:r w:rsidR="00D53B7E" w:rsidRPr="00744DCA">
        <w:rPr>
          <w:noProof/>
          <w:lang w:val="en-IE"/>
        </w:rPr>
        <w:t xml:space="preserve">defence </w:t>
      </w:r>
      <w:r w:rsidRPr="00744DCA">
        <w:rPr>
          <w:noProof/>
          <w:lang w:val="en-IE"/>
        </w:rPr>
        <w:t>Supply-chains’ Transformation (FAST)</w:t>
      </w:r>
      <w:r w:rsidR="00E96F68" w:rsidRPr="00744DCA">
        <w:rPr>
          <w:noProof/>
          <w:lang w:val="en-IE"/>
        </w:rPr>
        <w:t>.</w:t>
      </w:r>
      <w:r w:rsidRPr="00744DCA">
        <w:rPr>
          <w:noProof/>
          <w:lang w:val="en-IE"/>
        </w:rPr>
        <w:t xml:space="preserve"> </w:t>
      </w:r>
      <w:r w:rsidR="00E96F68" w:rsidRPr="00744DCA">
        <w:rPr>
          <w:noProof/>
          <w:lang w:val="en-IE"/>
        </w:rPr>
        <w:t xml:space="preserve">It shall be implemented </w:t>
      </w:r>
      <w:r w:rsidRPr="00744DCA">
        <w:rPr>
          <w:noProof/>
          <w:lang w:val="en-IE"/>
        </w:rPr>
        <w:t xml:space="preserve">in accordance with Title X of the </w:t>
      </w:r>
      <w:r>
        <w:rPr>
          <w:noProof/>
        </w:rPr>
        <w:t>Regulation (EU, Euratom) No 2018/1046</w:t>
      </w:r>
      <w:r w:rsidRPr="00744DCA">
        <w:rPr>
          <w:noProof/>
          <w:lang w:val="en-IE"/>
        </w:rPr>
        <w:t xml:space="preserve"> and Regulation (EU) 2021/523</w:t>
      </w:r>
      <w:r w:rsidR="00C13CEB" w:rsidRPr="00744DCA">
        <w:rPr>
          <w:rStyle w:val="FootnoteReference"/>
          <w:noProof/>
          <w:lang w:val="en-IE"/>
        </w:rPr>
        <w:footnoteReference w:id="8"/>
      </w:r>
      <w:r w:rsidRPr="00744DCA">
        <w:rPr>
          <w:noProof/>
        </w:rPr>
        <w:t xml:space="preserve">. </w:t>
      </w:r>
    </w:p>
    <w:p w14:paraId="12C5EE8E" w14:textId="77777777" w:rsidR="00CB5EDF" w:rsidRPr="00744DCA" w:rsidRDefault="00CB5EDF" w:rsidP="00B2056B">
      <w:pPr>
        <w:pStyle w:val="ManualNumPar1"/>
        <w:rPr>
          <w:iCs/>
          <w:noProof/>
        </w:rPr>
      </w:pPr>
      <w:r>
        <w:rPr>
          <w:noProof/>
        </w:rPr>
        <w:t>2.</w:t>
      </w:r>
      <w:r>
        <w:rPr>
          <w:noProof/>
        </w:rPr>
        <w:tab/>
      </w:r>
      <w:r w:rsidRPr="00744DCA">
        <w:rPr>
          <w:noProof/>
          <w:lang w:val="en-IE"/>
        </w:rPr>
        <w:t xml:space="preserve">The specific objectives pursued by </w:t>
      </w:r>
      <w:r w:rsidR="00CA3871" w:rsidRPr="00744DCA">
        <w:rPr>
          <w:noProof/>
          <w:lang w:val="en-IE"/>
        </w:rPr>
        <w:t xml:space="preserve">the </w:t>
      </w:r>
      <w:r w:rsidR="004D37D3">
        <w:rPr>
          <w:noProof/>
          <w:lang w:val="en-IE"/>
        </w:rPr>
        <w:t>FAST</w:t>
      </w:r>
      <w:r w:rsidR="004D37D3" w:rsidRPr="00744DCA">
        <w:rPr>
          <w:noProof/>
          <w:lang w:val="en-IE"/>
        </w:rPr>
        <w:t xml:space="preserve"> </w:t>
      </w:r>
      <w:r w:rsidRPr="00744DCA">
        <w:rPr>
          <w:noProof/>
          <w:lang w:val="en-IE"/>
        </w:rPr>
        <w:t>shall be the following</w:t>
      </w:r>
      <w:r w:rsidRPr="00744DCA">
        <w:rPr>
          <w:noProof/>
        </w:rPr>
        <w:t xml:space="preserve">: </w:t>
      </w:r>
    </w:p>
    <w:p w14:paraId="4E5D8884" w14:textId="77777777" w:rsidR="00CB5EDF" w:rsidRPr="00744DCA" w:rsidRDefault="00CA3871" w:rsidP="00B2056B">
      <w:pPr>
        <w:pStyle w:val="Point1"/>
        <w:rPr>
          <w:noProof/>
        </w:rPr>
      </w:pPr>
      <w:r>
        <w:rPr>
          <w:noProof/>
        </w:rPr>
        <w:t>(a)</w:t>
      </w:r>
      <w:r>
        <w:rPr>
          <w:noProof/>
        </w:rPr>
        <w:tab/>
      </w:r>
      <w:r w:rsidRPr="00744DCA">
        <w:rPr>
          <w:noProof/>
        </w:rPr>
        <w:t xml:space="preserve">achieve </w:t>
      </w:r>
      <w:r w:rsidR="299C41F4" w:rsidRPr="00744DCA">
        <w:rPr>
          <w:noProof/>
        </w:rPr>
        <w:t xml:space="preserve">a </w:t>
      </w:r>
      <w:r w:rsidR="04B8299B" w:rsidRPr="00744DCA">
        <w:rPr>
          <w:noProof/>
        </w:rPr>
        <w:t xml:space="preserve">satisfactory </w:t>
      </w:r>
      <w:r w:rsidR="299C41F4" w:rsidRPr="00744DCA">
        <w:rPr>
          <w:noProof/>
        </w:rPr>
        <w:t xml:space="preserve">multiplier effect in </w:t>
      </w:r>
      <w:r w:rsidR="65ED9651" w:rsidRPr="00744DCA">
        <w:rPr>
          <w:noProof/>
        </w:rPr>
        <w:t>line with the debt and equity mix and contribut</w:t>
      </w:r>
      <w:r w:rsidR="0AF3AE47" w:rsidRPr="00744DCA">
        <w:rPr>
          <w:noProof/>
        </w:rPr>
        <w:t>ing</w:t>
      </w:r>
      <w:r w:rsidR="65ED9651" w:rsidRPr="00744DCA">
        <w:rPr>
          <w:noProof/>
        </w:rPr>
        <w:t xml:space="preserve"> to </w:t>
      </w:r>
      <w:r w:rsidR="299C41F4" w:rsidRPr="00744DCA">
        <w:rPr>
          <w:noProof/>
        </w:rPr>
        <w:t>attracting both public and private-sector financing;</w:t>
      </w:r>
    </w:p>
    <w:p w14:paraId="754AFC01" w14:textId="77777777" w:rsidR="00C14ECE" w:rsidRPr="00744DCA" w:rsidRDefault="00CA3871" w:rsidP="00B2056B">
      <w:pPr>
        <w:pStyle w:val="Point1"/>
        <w:rPr>
          <w:noProof/>
        </w:rPr>
      </w:pPr>
      <w:r>
        <w:rPr>
          <w:noProof/>
        </w:rPr>
        <w:t>(b)</w:t>
      </w:r>
      <w:r>
        <w:rPr>
          <w:noProof/>
        </w:rPr>
        <w:tab/>
      </w:r>
      <w:r w:rsidRPr="00744DCA">
        <w:rPr>
          <w:noProof/>
        </w:rPr>
        <w:t xml:space="preserve">provide </w:t>
      </w:r>
      <w:r w:rsidR="299C41F4" w:rsidRPr="00744DCA">
        <w:rPr>
          <w:noProof/>
        </w:rPr>
        <w:t>support to SMEs (including start-ups and scale</w:t>
      </w:r>
      <w:r w:rsidR="7806D968" w:rsidRPr="00744DCA">
        <w:rPr>
          <w:noProof/>
        </w:rPr>
        <w:t>-</w:t>
      </w:r>
      <w:r w:rsidR="299C41F4" w:rsidRPr="00744DCA">
        <w:rPr>
          <w:noProof/>
        </w:rPr>
        <w:t xml:space="preserve">ups) and small midcaps across the </w:t>
      </w:r>
      <w:r w:rsidR="007766F5" w:rsidRPr="00744DCA">
        <w:rPr>
          <w:noProof/>
        </w:rPr>
        <w:t>Union</w:t>
      </w:r>
      <w:r w:rsidR="299C41F4" w:rsidRPr="00744DCA">
        <w:rPr>
          <w:noProof/>
        </w:rPr>
        <w:t>,</w:t>
      </w:r>
      <w:r w:rsidR="3173B3F0" w:rsidRPr="00744DCA">
        <w:rPr>
          <w:noProof/>
          <w:lang w:val="en-IE"/>
        </w:rPr>
        <w:t xml:space="preserve"> </w:t>
      </w:r>
      <w:r w:rsidR="00846635" w:rsidRPr="00744DCA">
        <w:rPr>
          <w:noProof/>
          <w:lang w:val="en-IE"/>
        </w:rPr>
        <w:t xml:space="preserve">which are </w:t>
      </w:r>
      <w:r w:rsidR="3173B3F0" w:rsidRPr="00744DCA">
        <w:rPr>
          <w:noProof/>
          <w:lang w:val="en-IE"/>
        </w:rPr>
        <w:t>facing difficulties in accessing finance</w:t>
      </w:r>
      <w:r w:rsidR="00846635" w:rsidRPr="00744DCA">
        <w:rPr>
          <w:noProof/>
          <w:lang w:val="en-IE"/>
        </w:rPr>
        <w:t xml:space="preserve"> and</w:t>
      </w:r>
      <w:r w:rsidR="3173B3F0" w:rsidRPr="00744DCA">
        <w:rPr>
          <w:noProof/>
          <w:lang w:val="en-IE"/>
        </w:rPr>
        <w:t xml:space="preserve"> which:</w:t>
      </w:r>
      <w:r w:rsidR="299C41F4" w:rsidRPr="00744DCA">
        <w:rPr>
          <w:noProof/>
        </w:rPr>
        <w:t xml:space="preserve"> </w:t>
      </w:r>
    </w:p>
    <w:p w14:paraId="58B29A36" w14:textId="77777777" w:rsidR="00935058" w:rsidRPr="00744DCA" w:rsidRDefault="003F60D6" w:rsidP="00FA1F34">
      <w:pPr>
        <w:pStyle w:val="Point2"/>
        <w:rPr>
          <w:noProof/>
        </w:rPr>
      </w:pPr>
      <w:r w:rsidRPr="00744DCA">
        <w:rPr>
          <w:noProof/>
        </w:rPr>
        <w:t xml:space="preserve">(i) </w:t>
      </w:r>
      <w:r w:rsidR="00955B82" w:rsidRPr="00744DCA">
        <w:rPr>
          <w:noProof/>
        </w:rPr>
        <w:t xml:space="preserve">industrialise </w:t>
      </w:r>
      <w:r w:rsidR="00CB5EDF" w:rsidRPr="00744DCA">
        <w:rPr>
          <w:noProof/>
        </w:rPr>
        <w:t>defence technologies and</w:t>
      </w:r>
      <w:r w:rsidR="00FD1394" w:rsidRPr="00744DCA">
        <w:rPr>
          <w:noProof/>
        </w:rPr>
        <w:t>/or</w:t>
      </w:r>
      <w:r w:rsidR="00CB5EDF" w:rsidRPr="00744DCA">
        <w:rPr>
          <w:noProof/>
        </w:rPr>
        <w:t xml:space="preserve"> </w:t>
      </w:r>
      <w:r w:rsidR="00955B82" w:rsidRPr="00744DCA">
        <w:rPr>
          <w:noProof/>
        </w:rPr>
        <w:t xml:space="preserve">manufacture defence </w:t>
      </w:r>
      <w:r w:rsidR="00CB5EDF" w:rsidRPr="00744DCA">
        <w:rPr>
          <w:noProof/>
        </w:rPr>
        <w:t>products</w:t>
      </w:r>
      <w:r w:rsidR="00921D5E" w:rsidRPr="00744DCA">
        <w:rPr>
          <w:noProof/>
        </w:rPr>
        <w:t xml:space="preserve"> or</w:t>
      </w:r>
      <w:r w:rsidR="00FF2BD5" w:rsidRPr="00744DCA">
        <w:rPr>
          <w:noProof/>
        </w:rPr>
        <w:t xml:space="preserve"> </w:t>
      </w:r>
      <w:r w:rsidR="00CF3D74" w:rsidRPr="00FA1F34">
        <w:rPr>
          <w:noProof/>
        </w:rPr>
        <w:t>have imminent plans to</w:t>
      </w:r>
      <w:r w:rsidR="00FF2BD5" w:rsidRPr="00FA1F34">
        <w:rPr>
          <w:noProof/>
        </w:rPr>
        <w:t xml:space="preserve"> </w:t>
      </w:r>
      <w:r w:rsidR="00FF2BD5" w:rsidRPr="00744DCA">
        <w:rPr>
          <w:noProof/>
        </w:rPr>
        <w:t>so</w:t>
      </w:r>
      <w:r w:rsidR="00FF2BD5" w:rsidRPr="00FA1F34">
        <w:rPr>
          <w:noProof/>
        </w:rPr>
        <w:t>; or</w:t>
      </w:r>
    </w:p>
    <w:p w14:paraId="56D30087" w14:textId="77777777" w:rsidR="00752875" w:rsidRPr="00744DCA" w:rsidRDefault="004C5F5F" w:rsidP="00FA1F34">
      <w:pPr>
        <w:pStyle w:val="Point2"/>
        <w:rPr>
          <w:noProof/>
        </w:rPr>
      </w:pPr>
      <w:r w:rsidRPr="00744DCA">
        <w:rPr>
          <w:noProof/>
        </w:rPr>
        <w:t>(i</w:t>
      </w:r>
      <w:r w:rsidR="00FF2BD5" w:rsidRPr="00744DCA">
        <w:rPr>
          <w:noProof/>
        </w:rPr>
        <w:t>i</w:t>
      </w:r>
      <w:r w:rsidRPr="00744DCA">
        <w:rPr>
          <w:noProof/>
        </w:rPr>
        <w:t xml:space="preserve">) </w:t>
      </w:r>
      <w:r w:rsidR="00752875" w:rsidRPr="00744DCA">
        <w:rPr>
          <w:noProof/>
        </w:rPr>
        <w:t xml:space="preserve">are </w:t>
      </w:r>
      <w:r w:rsidR="00CB5EDF" w:rsidRPr="00744DCA">
        <w:rPr>
          <w:noProof/>
        </w:rPr>
        <w:t>part of the defence industry’s supply chain</w:t>
      </w:r>
      <w:r w:rsidR="00FF2BD5" w:rsidRPr="00744DCA">
        <w:rPr>
          <w:noProof/>
        </w:rPr>
        <w:t xml:space="preserve"> or </w:t>
      </w:r>
      <w:r w:rsidR="00C57016" w:rsidRPr="00FA1F34">
        <w:rPr>
          <w:noProof/>
        </w:rPr>
        <w:t xml:space="preserve">have imminent plans to become part </w:t>
      </w:r>
      <w:r w:rsidRPr="00744DCA">
        <w:rPr>
          <w:noProof/>
        </w:rPr>
        <w:t xml:space="preserve">it. </w:t>
      </w:r>
    </w:p>
    <w:p w14:paraId="77C81EFF" w14:textId="77777777" w:rsidR="00CB5EDF" w:rsidRPr="00744DCA" w:rsidRDefault="00934D4C" w:rsidP="00B2056B">
      <w:pPr>
        <w:pStyle w:val="Point1"/>
        <w:rPr>
          <w:noProof/>
        </w:rPr>
      </w:pPr>
      <w:r>
        <w:rPr>
          <w:noProof/>
        </w:rPr>
        <w:t>(c)</w:t>
      </w:r>
      <w:r>
        <w:rPr>
          <w:noProof/>
        </w:rPr>
        <w:tab/>
      </w:r>
      <w:r w:rsidRPr="00744DCA">
        <w:rPr>
          <w:noProof/>
        </w:rPr>
        <w:t xml:space="preserve">accelerate </w:t>
      </w:r>
      <w:r w:rsidR="00CB5EDF" w:rsidRPr="00744DCA">
        <w:rPr>
          <w:noProof/>
        </w:rPr>
        <w:t>investment in the field of manufacturing defence technologies and products, and therefore strengthen the security of supply of the Union’s defence industry value chains.</w:t>
      </w:r>
    </w:p>
    <w:bookmarkEnd w:id="4"/>
    <w:p w14:paraId="535A0250" w14:textId="77777777" w:rsidR="00B77F9D" w:rsidRPr="00744DCA" w:rsidRDefault="000268B4" w:rsidP="00B77F9D">
      <w:pPr>
        <w:pStyle w:val="ChapterTitle"/>
        <w:rPr>
          <w:noProof/>
          <w:sz w:val="28"/>
          <w:lang w:val="en-IE"/>
        </w:rPr>
      </w:pPr>
      <w:r w:rsidRPr="00744DCA">
        <w:rPr>
          <w:noProof/>
          <w:lang w:val="en-IE"/>
        </w:rPr>
        <w:t>Section 3</w:t>
      </w:r>
      <w:r w:rsidR="00441C07" w:rsidRPr="00744DCA">
        <w:rPr>
          <w:noProof/>
          <w:lang w:val="en-IE"/>
        </w:rPr>
        <w:t xml:space="preserve">: The </w:t>
      </w:r>
      <w:r w:rsidR="00B77F9D" w:rsidRPr="00744DCA">
        <w:rPr>
          <w:noProof/>
          <w:sz w:val="28"/>
          <w:lang w:val="en-IE"/>
        </w:rPr>
        <w:t xml:space="preserve">Ukraine </w:t>
      </w:r>
      <w:r w:rsidRPr="00744DCA">
        <w:rPr>
          <w:noProof/>
          <w:sz w:val="28"/>
          <w:lang w:val="en-IE"/>
        </w:rPr>
        <w:t>S</w:t>
      </w:r>
      <w:r w:rsidR="00B77F9D" w:rsidRPr="00744DCA">
        <w:rPr>
          <w:noProof/>
          <w:sz w:val="28"/>
          <w:lang w:val="en-IE"/>
        </w:rPr>
        <w:t xml:space="preserve">upport </w:t>
      </w:r>
      <w:r w:rsidRPr="00744DCA">
        <w:rPr>
          <w:noProof/>
          <w:sz w:val="28"/>
          <w:lang w:val="en-IE"/>
        </w:rPr>
        <w:t>I</w:t>
      </w:r>
      <w:r w:rsidR="00B77F9D" w:rsidRPr="00744DCA">
        <w:rPr>
          <w:noProof/>
          <w:sz w:val="28"/>
          <w:lang w:val="en-IE"/>
        </w:rPr>
        <w:t>nstrument</w:t>
      </w:r>
    </w:p>
    <w:p w14:paraId="3F17A3A2" w14:textId="77777777" w:rsidR="00BA3598" w:rsidRPr="00744DCA" w:rsidRDefault="00BA3598" w:rsidP="00BA3598">
      <w:pPr>
        <w:pStyle w:val="Titrearticle"/>
        <w:rPr>
          <w:noProof/>
          <w:lang w:val="en-IE"/>
        </w:rPr>
      </w:pPr>
      <w:r w:rsidRPr="00744DCA">
        <w:rPr>
          <w:noProof/>
          <w:lang w:val="en-IE"/>
        </w:rPr>
        <w:t>Article 20</w:t>
      </w:r>
    </w:p>
    <w:p w14:paraId="08ED5F43" w14:textId="77777777" w:rsidR="00BA3598" w:rsidRPr="00744DCA" w:rsidRDefault="00BA3598" w:rsidP="00BA3598">
      <w:pPr>
        <w:pStyle w:val="Titrearticle"/>
        <w:rPr>
          <w:b/>
          <w:i w:val="0"/>
          <w:noProof/>
        </w:rPr>
      </w:pPr>
      <w:r w:rsidRPr="00744DCA">
        <w:rPr>
          <w:b/>
          <w:i w:val="0"/>
          <w:noProof/>
        </w:rPr>
        <w:t xml:space="preserve">Specific </w:t>
      </w:r>
      <w:r w:rsidR="00B77F9D" w:rsidRPr="00744DCA">
        <w:rPr>
          <w:b/>
          <w:i w:val="0"/>
          <w:noProof/>
        </w:rPr>
        <w:t>provisions</w:t>
      </w:r>
      <w:r w:rsidRPr="00744DCA">
        <w:rPr>
          <w:b/>
          <w:i w:val="0"/>
          <w:noProof/>
        </w:rPr>
        <w:t xml:space="preserve"> </w:t>
      </w:r>
      <w:r w:rsidR="000268B4" w:rsidRPr="00744DCA">
        <w:rPr>
          <w:b/>
          <w:i w:val="0"/>
          <w:noProof/>
        </w:rPr>
        <w:t>applicable to</w:t>
      </w:r>
      <w:r w:rsidRPr="00744DCA">
        <w:rPr>
          <w:b/>
          <w:i w:val="0"/>
          <w:noProof/>
        </w:rPr>
        <w:t xml:space="preserve"> the Ukrain</w:t>
      </w:r>
      <w:r w:rsidR="000B3B5D" w:rsidRPr="00744DCA">
        <w:rPr>
          <w:b/>
          <w:i w:val="0"/>
          <w:noProof/>
        </w:rPr>
        <w:t>e</w:t>
      </w:r>
      <w:r w:rsidR="000268B4" w:rsidRPr="00744DCA">
        <w:rPr>
          <w:b/>
          <w:i w:val="0"/>
          <w:noProof/>
        </w:rPr>
        <w:t xml:space="preserve"> Support Instrument</w:t>
      </w:r>
    </w:p>
    <w:p w14:paraId="156C45EA" w14:textId="147EE901" w:rsidR="008F2647" w:rsidRPr="00744DCA" w:rsidRDefault="00290526" w:rsidP="00B2056B">
      <w:pPr>
        <w:pStyle w:val="ManualNumPar1"/>
        <w:rPr>
          <w:noProof/>
        </w:rPr>
      </w:pPr>
      <w:r>
        <w:rPr>
          <w:noProof/>
        </w:rPr>
        <w:t>1.</w:t>
      </w:r>
      <w:r>
        <w:rPr>
          <w:noProof/>
        </w:rPr>
        <w:tab/>
      </w:r>
      <w:r w:rsidRPr="00744DCA">
        <w:rPr>
          <w:noProof/>
        </w:rPr>
        <w:t xml:space="preserve">Article 13 shall apply to </w:t>
      </w:r>
      <w:r w:rsidR="00EB4FBC" w:rsidRPr="00744DCA">
        <w:rPr>
          <w:noProof/>
        </w:rPr>
        <w:t xml:space="preserve">actions </w:t>
      </w:r>
      <w:r w:rsidR="008F2647" w:rsidRPr="00744DCA">
        <w:rPr>
          <w:noProof/>
        </w:rPr>
        <w:t xml:space="preserve">under </w:t>
      </w:r>
      <w:r w:rsidRPr="00744DCA">
        <w:rPr>
          <w:noProof/>
        </w:rPr>
        <w:t xml:space="preserve">the </w:t>
      </w:r>
      <w:r w:rsidR="00EB4FBC" w:rsidRPr="00744DCA">
        <w:rPr>
          <w:noProof/>
        </w:rPr>
        <w:t>Ukraine Support Instrument</w:t>
      </w:r>
      <w:r w:rsidR="008F2647" w:rsidRPr="00744DCA">
        <w:rPr>
          <w:noProof/>
        </w:rPr>
        <w:t>.</w:t>
      </w:r>
      <w:r w:rsidR="002D6506" w:rsidRPr="00744DCA">
        <w:rPr>
          <w:noProof/>
        </w:rPr>
        <w:t xml:space="preserve"> </w:t>
      </w:r>
      <w:r w:rsidR="008F2647" w:rsidRPr="00744DCA">
        <w:rPr>
          <w:noProof/>
        </w:rPr>
        <w:t xml:space="preserve">Articles </w:t>
      </w:r>
      <w:r w:rsidR="00A522AA" w:rsidRPr="00744DCA">
        <w:rPr>
          <w:noProof/>
        </w:rPr>
        <w:t xml:space="preserve">8, </w:t>
      </w:r>
      <w:r w:rsidR="008C2F17" w:rsidRPr="00744DCA">
        <w:rPr>
          <w:noProof/>
        </w:rPr>
        <w:t xml:space="preserve">11, </w:t>
      </w:r>
      <w:r w:rsidR="00A522AA" w:rsidRPr="00744DCA">
        <w:rPr>
          <w:noProof/>
        </w:rPr>
        <w:t>12</w:t>
      </w:r>
      <w:r w:rsidR="00A33AE7" w:rsidRPr="00744DCA">
        <w:rPr>
          <w:noProof/>
        </w:rPr>
        <w:t>, 14, 16, 17</w:t>
      </w:r>
      <w:r w:rsidR="00A22FB2" w:rsidRPr="00744DCA">
        <w:rPr>
          <w:noProof/>
        </w:rPr>
        <w:t xml:space="preserve"> and</w:t>
      </w:r>
      <w:r w:rsidR="00A522AA" w:rsidRPr="00744DCA">
        <w:rPr>
          <w:noProof/>
        </w:rPr>
        <w:t xml:space="preserve"> </w:t>
      </w:r>
      <w:r w:rsidR="00A22FB2" w:rsidRPr="00744DCA">
        <w:rPr>
          <w:noProof/>
        </w:rPr>
        <w:t xml:space="preserve">Article </w:t>
      </w:r>
      <w:r w:rsidR="00A522AA" w:rsidRPr="00744DCA">
        <w:rPr>
          <w:noProof/>
        </w:rPr>
        <w:t>1</w:t>
      </w:r>
      <w:r w:rsidR="00A33AE7" w:rsidRPr="00744DCA">
        <w:rPr>
          <w:noProof/>
        </w:rPr>
        <w:t>8</w:t>
      </w:r>
      <w:r w:rsidR="00A22FB2" w:rsidRPr="00744DCA">
        <w:rPr>
          <w:noProof/>
        </w:rPr>
        <w:t xml:space="preserve"> shall apply </w:t>
      </w:r>
      <w:r w:rsidR="008A5906" w:rsidRPr="00744DCA">
        <w:rPr>
          <w:noProof/>
        </w:rPr>
        <w:t>mutatis mutandis</w:t>
      </w:r>
      <w:r w:rsidR="002D6506" w:rsidRPr="00744DCA">
        <w:rPr>
          <w:noProof/>
        </w:rPr>
        <w:t>.</w:t>
      </w:r>
      <w:r w:rsidR="008A5906" w:rsidRPr="00744DCA">
        <w:rPr>
          <w:noProof/>
        </w:rPr>
        <w:t xml:space="preserve"> </w:t>
      </w:r>
    </w:p>
    <w:p w14:paraId="75C2DACD" w14:textId="77777777" w:rsidR="00BA3598" w:rsidRPr="00744DCA" w:rsidRDefault="00BA3598">
      <w:pPr>
        <w:pStyle w:val="ManualNumPar1"/>
        <w:rPr>
          <w:noProof/>
        </w:rPr>
      </w:pPr>
      <w:r>
        <w:rPr>
          <w:noProof/>
        </w:rPr>
        <w:t>2.</w:t>
      </w:r>
      <w:r>
        <w:rPr>
          <w:noProof/>
        </w:rPr>
        <w:tab/>
      </w:r>
      <w:r w:rsidRPr="00744DCA">
        <w:rPr>
          <w:noProof/>
        </w:rPr>
        <w:t>By derogation from Article 1</w:t>
      </w:r>
      <w:r w:rsidR="00A33AE7" w:rsidRPr="00744DCA">
        <w:rPr>
          <w:noProof/>
        </w:rPr>
        <w:t>7</w:t>
      </w:r>
      <w:r w:rsidRPr="00744DCA">
        <w:rPr>
          <w:noProof/>
        </w:rPr>
        <w:t>(1) activities referred to in Article 11(3) may finance up to 100 % of the eligible costs.</w:t>
      </w:r>
    </w:p>
    <w:p w14:paraId="4F50DE89" w14:textId="77777777" w:rsidR="00106DD6" w:rsidRDefault="003D542C" w:rsidP="00744DCA">
      <w:pPr>
        <w:pStyle w:val="ManualNumPar1"/>
        <w:rPr>
          <w:noProof/>
        </w:rPr>
      </w:pPr>
      <w:r>
        <w:rPr>
          <w:noProof/>
        </w:rPr>
        <w:t>3.</w:t>
      </w:r>
      <w:r>
        <w:rPr>
          <w:noProof/>
        </w:rPr>
        <w:tab/>
      </w:r>
      <w:r w:rsidRPr="00744DCA">
        <w:rPr>
          <w:noProof/>
        </w:rPr>
        <w:t xml:space="preserve">References to associated countries in </w:t>
      </w:r>
      <w:r w:rsidR="00B20849" w:rsidRPr="00744DCA">
        <w:rPr>
          <w:noProof/>
        </w:rPr>
        <w:t>A</w:t>
      </w:r>
      <w:r w:rsidRPr="00744DCA">
        <w:rPr>
          <w:noProof/>
        </w:rPr>
        <w:t xml:space="preserve">rticles </w:t>
      </w:r>
      <w:r w:rsidR="00AB5097" w:rsidRPr="00744DCA">
        <w:rPr>
          <w:noProof/>
        </w:rPr>
        <w:t>8</w:t>
      </w:r>
      <w:r w:rsidR="00040257" w:rsidRPr="00744DCA">
        <w:rPr>
          <w:noProof/>
        </w:rPr>
        <w:t xml:space="preserve">, </w:t>
      </w:r>
      <w:r w:rsidR="00E66F5D" w:rsidRPr="00744DCA">
        <w:rPr>
          <w:noProof/>
        </w:rPr>
        <w:t xml:space="preserve">9, </w:t>
      </w:r>
      <w:r w:rsidR="00040257" w:rsidRPr="00744DCA">
        <w:rPr>
          <w:noProof/>
        </w:rPr>
        <w:t>11, 12</w:t>
      </w:r>
      <w:r w:rsidR="00F62E27" w:rsidRPr="00744DCA">
        <w:rPr>
          <w:noProof/>
        </w:rPr>
        <w:t>, 14</w:t>
      </w:r>
      <w:r w:rsidR="00040257" w:rsidRPr="00744DCA">
        <w:rPr>
          <w:noProof/>
        </w:rPr>
        <w:t xml:space="preserve"> and 1</w:t>
      </w:r>
      <w:r w:rsidR="00F62E27" w:rsidRPr="00744DCA">
        <w:rPr>
          <w:noProof/>
        </w:rPr>
        <w:t>6</w:t>
      </w:r>
      <w:r w:rsidRPr="00744DCA">
        <w:rPr>
          <w:noProof/>
        </w:rPr>
        <w:t xml:space="preserve"> shall not apply to this section.</w:t>
      </w:r>
    </w:p>
    <w:p w14:paraId="6136A156" w14:textId="20E797C0" w:rsidR="00F750A4" w:rsidRPr="00F750A4" w:rsidRDefault="00F750A4" w:rsidP="00F750A4">
      <w:pPr>
        <w:pStyle w:val="ManualNumPar1"/>
        <w:rPr>
          <w:noProof/>
        </w:rPr>
      </w:pPr>
      <w:r>
        <w:rPr>
          <w:noProof/>
        </w:rPr>
        <w:t>4.</w:t>
      </w:r>
      <w:r>
        <w:rPr>
          <w:noProof/>
        </w:rPr>
        <w:tab/>
        <w:t>References to blending operations in Articles 8 shall not apply to this section.</w:t>
      </w:r>
    </w:p>
    <w:p w14:paraId="6C76158B" w14:textId="77777777" w:rsidR="00B20849" w:rsidRPr="00744DCA" w:rsidRDefault="00B20849" w:rsidP="00B20849">
      <w:pPr>
        <w:pStyle w:val="Titrearticle"/>
        <w:rPr>
          <w:noProof/>
        </w:rPr>
      </w:pPr>
      <w:r w:rsidRPr="00744DCA">
        <w:rPr>
          <w:noProof/>
        </w:rPr>
        <w:t>Article 21</w:t>
      </w:r>
    </w:p>
    <w:p w14:paraId="0925654B" w14:textId="77777777" w:rsidR="00B20849" w:rsidRPr="00744DCA" w:rsidRDefault="00B20849" w:rsidP="00B20849">
      <w:pPr>
        <w:pStyle w:val="Titrearticle"/>
        <w:rPr>
          <w:b/>
          <w:i w:val="0"/>
          <w:noProof/>
        </w:rPr>
      </w:pPr>
      <w:r w:rsidRPr="00744DCA">
        <w:rPr>
          <w:b/>
          <w:i w:val="0"/>
          <w:noProof/>
        </w:rPr>
        <w:t>Eligible legal entities</w:t>
      </w:r>
    </w:p>
    <w:p w14:paraId="7AABA205" w14:textId="77777777" w:rsidR="00B20849" w:rsidRPr="00744DCA" w:rsidRDefault="00B20849" w:rsidP="00B2056B">
      <w:pPr>
        <w:pStyle w:val="ManualNumPar1"/>
        <w:rPr>
          <w:noProof/>
        </w:rPr>
      </w:pPr>
      <w:r>
        <w:rPr>
          <w:noProof/>
        </w:rPr>
        <w:t>1.</w:t>
      </w:r>
      <w:r>
        <w:rPr>
          <w:noProof/>
        </w:rPr>
        <w:tab/>
      </w:r>
      <w:r w:rsidRPr="00744DCA">
        <w:rPr>
          <w:noProof/>
        </w:rPr>
        <w:t xml:space="preserve">The eligibility criteria set out in paragraphs 2 to </w:t>
      </w:r>
      <w:r w:rsidR="00E66F5D" w:rsidRPr="00744DCA">
        <w:rPr>
          <w:noProof/>
        </w:rPr>
        <w:t>7</w:t>
      </w:r>
      <w:r w:rsidRPr="00744DCA">
        <w:rPr>
          <w:noProof/>
        </w:rPr>
        <w:t xml:space="preserve"> shall apply in addition to the criteria set out in accordance with Regulation (EU, Euratom) 2018/1046.</w:t>
      </w:r>
    </w:p>
    <w:p w14:paraId="2573875D" w14:textId="77777777" w:rsidR="00B20849" w:rsidRPr="00744DCA" w:rsidRDefault="00B20849" w:rsidP="00B20849">
      <w:pPr>
        <w:pStyle w:val="ManualNumPar1"/>
        <w:rPr>
          <w:noProof/>
        </w:rPr>
      </w:pPr>
      <w:r>
        <w:rPr>
          <w:noProof/>
        </w:rPr>
        <w:t>2.</w:t>
      </w:r>
      <w:r>
        <w:rPr>
          <w:noProof/>
        </w:rPr>
        <w:tab/>
      </w:r>
      <w:r w:rsidRPr="00744DCA">
        <w:rPr>
          <w:noProof/>
        </w:rPr>
        <w:t>Recipients of Union funding shall be established in the Union or in Ukraine.</w:t>
      </w:r>
    </w:p>
    <w:p w14:paraId="5C1CC3D7" w14:textId="77777777" w:rsidR="00B20849" w:rsidRPr="00744DCA" w:rsidRDefault="00B20849" w:rsidP="00B20849">
      <w:pPr>
        <w:pStyle w:val="ManualNumPar1"/>
        <w:rPr>
          <w:noProof/>
        </w:rPr>
      </w:pPr>
      <w:r>
        <w:rPr>
          <w:noProof/>
        </w:rPr>
        <w:t>3.</w:t>
      </w:r>
      <w:r>
        <w:rPr>
          <w:noProof/>
        </w:rPr>
        <w:tab/>
      </w:r>
      <w:r w:rsidRPr="00744DCA">
        <w:rPr>
          <w:noProof/>
        </w:rPr>
        <w:t xml:space="preserve">The infrastructure, facilities, assets and resources of the recipients which are used for the purposes of the action shall be located on the territory of a Member State or of </w:t>
      </w:r>
      <w:r w:rsidR="00A909BD" w:rsidRPr="00744DCA">
        <w:rPr>
          <w:noProof/>
        </w:rPr>
        <w:t>Ukraine</w:t>
      </w:r>
      <w:r w:rsidRPr="00744DCA">
        <w:rPr>
          <w:noProof/>
        </w:rPr>
        <w:t xml:space="preserve">. Where recipients have no readily available alternatives or relevant infrastructure, facilities, assets and resources in the Union or in </w:t>
      </w:r>
      <w:r w:rsidR="00A909BD" w:rsidRPr="00744DCA">
        <w:rPr>
          <w:noProof/>
        </w:rPr>
        <w:t>Ukraine</w:t>
      </w:r>
      <w:r w:rsidRPr="00744DCA">
        <w:rPr>
          <w:noProof/>
        </w:rPr>
        <w:t xml:space="preserve">, they may use their infrastructure, facilities, assets and resources which are located or held outside the territory of the Member States or of </w:t>
      </w:r>
      <w:r w:rsidR="00A909BD" w:rsidRPr="00744DCA">
        <w:rPr>
          <w:noProof/>
        </w:rPr>
        <w:t>Ukraine</w:t>
      </w:r>
      <w:r w:rsidRPr="00744DCA">
        <w:rPr>
          <w:noProof/>
        </w:rPr>
        <w:t>, provided that such use does not contravene the security and defence interests of the Union and the Member States and is consistent with the objectives set out in Article 4.</w:t>
      </w:r>
    </w:p>
    <w:p w14:paraId="5691ECC4" w14:textId="77777777" w:rsidR="00B20849" w:rsidRPr="00744DCA" w:rsidRDefault="00B20849" w:rsidP="00B20849">
      <w:pPr>
        <w:pStyle w:val="ManualNumPar1"/>
        <w:rPr>
          <w:noProof/>
        </w:rPr>
      </w:pPr>
      <w:r>
        <w:rPr>
          <w:noProof/>
        </w:rPr>
        <w:t>4.</w:t>
      </w:r>
      <w:r>
        <w:rPr>
          <w:noProof/>
        </w:rPr>
        <w:tab/>
      </w:r>
      <w:r w:rsidRPr="00744DCA">
        <w:rPr>
          <w:noProof/>
        </w:rPr>
        <w:t xml:space="preserve">For the purposes of an action supported by the </w:t>
      </w:r>
      <w:r w:rsidR="00A909BD" w:rsidRPr="00744DCA">
        <w:rPr>
          <w:noProof/>
        </w:rPr>
        <w:t>Ukraine Support Instrument</w:t>
      </w:r>
      <w:r w:rsidRPr="00744DCA">
        <w:rPr>
          <w:noProof/>
        </w:rPr>
        <w:t>, the recipients shall not be subject to control by a third country or by a third-country entity.</w:t>
      </w:r>
    </w:p>
    <w:p w14:paraId="3734F6FE" w14:textId="77777777" w:rsidR="00B20849" w:rsidRPr="00744DCA" w:rsidRDefault="00B20849" w:rsidP="00B20849">
      <w:pPr>
        <w:pStyle w:val="ManualNumPar1"/>
        <w:rPr>
          <w:noProof/>
        </w:rPr>
      </w:pPr>
      <w:r>
        <w:rPr>
          <w:noProof/>
        </w:rPr>
        <w:t>5.</w:t>
      </w:r>
      <w:r>
        <w:rPr>
          <w:noProof/>
        </w:rPr>
        <w:tab/>
      </w:r>
      <w:r w:rsidRPr="00744DCA">
        <w:rPr>
          <w:noProof/>
        </w:rPr>
        <w:t xml:space="preserve">By way of derogation from paragraph 4, a legal entity established in the Union and controlled by a third country or a third-country entity shall be eligible to be a recipient if it has been subject to screening within the meaning of Regulation (EU) 2019/452 of the European Parliament and of the Council and, where necessary, to mitigation measures, taking into account the objectives set out in Article 4 of this Regulation, or if guarantees approved by the Member State in which it is established in accordance with its national procedures are made available to the Commission. </w:t>
      </w:r>
    </w:p>
    <w:p w14:paraId="05F4354F" w14:textId="77777777" w:rsidR="00B20849" w:rsidRPr="00744DCA" w:rsidRDefault="00B20849" w:rsidP="00B20849">
      <w:pPr>
        <w:pStyle w:val="Text1"/>
        <w:rPr>
          <w:noProof/>
        </w:rPr>
      </w:pPr>
      <w:r w:rsidRPr="00744DCA">
        <w:rPr>
          <w:noProof/>
        </w:rPr>
        <w:t>The guarantees shall provide assurances that the involvement in an action of such a legal entity would not contravene the security and defence interests of the Union and its Member States as established in the framework of the CFSP pursuant to Title V of the Treaty on European Union (TEU), or the objectives set out in Article 4. The guarantees shall also comply with Article 11(8), point (c). The guarantees shall in particular substantiate that, for the purposes of an action, measures are in place to ensure that:</w:t>
      </w:r>
    </w:p>
    <w:p w14:paraId="04ADD2AC" w14:textId="77777777" w:rsidR="00B20849" w:rsidRPr="00744DCA" w:rsidRDefault="00B20849" w:rsidP="00B2056B">
      <w:pPr>
        <w:pStyle w:val="Point1"/>
        <w:rPr>
          <w:noProof/>
        </w:rPr>
      </w:pPr>
      <w:r>
        <w:rPr>
          <w:noProof/>
        </w:rPr>
        <w:t>(a)</w:t>
      </w:r>
      <w:r>
        <w:rPr>
          <w:noProof/>
        </w:rPr>
        <w:tab/>
      </w:r>
      <w:r w:rsidRPr="00744DCA">
        <w:rPr>
          <w:noProof/>
        </w:rPr>
        <w:t>control over the legal entity is not exercised in a manner that restrains or restricts its ability to carry out the action and to deliver results, that imposes restrictions concerning its infrastructure, facilities, assets, resources, intellectual property or knowhow needed for the purposes of the action, or that undermines its capabilities and standards necessary to carry out the action;</w:t>
      </w:r>
    </w:p>
    <w:p w14:paraId="1B77C217" w14:textId="77777777" w:rsidR="00B20849" w:rsidRPr="00744DCA" w:rsidRDefault="00B20849" w:rsidP="00B20849">
      <w:pPr>
        <w:pStyle w:val="Point1"/>
        <w:rPr>
          <w:noProof/>
        </w:rPr>
      </w:pPr>
      <w:r>
        <w:rPr>
          <w:noProof/>
        </w:rPr>
        <w:t>(b)</w:t>
      </w:r>
      <w:r>
        <w:rPr>
          <w:noProof/>
        </w:rPr>
        <w:tab/>
      </w:r>
      <w:r w:rsidRPr="00744DCA">
        <w:rPr>
          <w:noProof/>
        </w:rPr>
        <w:t>access by a third country or by a third-country entity to sensitive information relating to the action is prevented and the employees or other persons involved in the action have national security clearance issued by a Member State, where appropriate;</w:t>
      </w:r>
    </w:p>
    <w:p w14:paraId="5C5DA945" w14:textId="77777777" w:rsidR="00B20849" w:rsidRPr="00744DCA" w:rsidRDefault="00B20849" w:rsidP="00B20849">
      <w:pPr>
        <w:pStyle w:val="Text1"/>
        <w:rPr>
          <w:noProof/>
        </w:rPr>
      </w:pPr>
      <w:r w:rsidRPr="00744DCA">
        <w:rPr>
          <w:noProof/>
        </w:rPr>
        <w:t>If considered to be appropriate by the Member State in which the legal entity is established, additional guarantees may be provided.</w:t>
      </w:r>
    </w:p>
    <w:p w14:paraId="1033AFC2" w14:textId="77777777" w:rsidR="00B20849" w:rsidRPr="00744DCA" w:rsidRDefault="00B20849" w:rsidP="00B20849">
      <w:pPr>
        <w:pStyle w:val="Text1"/>
        <w:rPr>
          <w:noProof/>
        </w:rPr>
      </w:pPr>
      <w:r w:rsidRPr="00744DCA">
        <w:rPr>
          <w:noProof/>
        </w:rPr>
        <w:t>The Commission shall inform the committee referred to in Article 57 of any legal entity considered to be eligible in accordance with this paragraph.</w:t>
      </w:r>
    </w:p>
    <w:p w14:paraId="29EA6A56" w14:textId="77777777" w:rsidR="00B20849" w:rsidRPr="00744DCA" w:rsidRDefault="00B20849" w:rsidP="00B20849">
      <w:pPr>
        <w:pStyle w:val="ManualNumPar1"/>
        <w:rPr>
          <w:noProof/>
        </w:rPr>
      </w:pPr>
      <w:r>
        <w:rPr>
          <w:noProof/>
        </w:rPr>
        <w:t>6.</w:t>
      </w:r>
      <w:r>
        <w:rPr>
          <w:noProof/>
        </w:rPr>
        <w:tab/>
      </w:r>
      <w:r w:rsidRPr="00744DCA">
        <w:rPr>
          <w:noProof/>
        </w:rPr>
        <w:t>When carrying out an eligible action, recipients may also cooperate with legal entities established outside the territory of the Member States</w:t>
      </w:r>
      <w:r w:rsidRPr="00744DCA" w:rsidDel="299C41F4">
        <w:rPr>
          <w:noProof/>
        </w:rPr>
        <w:t xml:space="preserve"> or</w:t>
      </w:r>
      <w:r w:rsidRPr="00744DCA">
        <w:rPr>
          <w:noProof/>
        </w:rPr>
        <w:t xml:space="preserve"> of </w:t>
      </w:r>
      <w:r w:rsidR="00254737" w:rsidRPr="00744DCA">
        <w:rPr>
          <w:noProof/>
        </w:rPr>
        <w:t>Ukraine</w:t>
      </w:r>
      <w:r w:rsidRPr="00744DCA">
        <w:rPr>
          <w:noProof/>
        </w:rPr>
        <w:t>, or controlled by a third country or by a third-country entity, including by using the assets, infrastructure, facilities and resources of such legal entities, provided that this does not contravene the security and defence interests of the Union and its Member States. Such cooperation shall be consistent with the objectives set out in Article 4 and comply with Article 11(8), point (c).</w:t>
      </w:r>
    </w:p>
    <w:p w14:paraId="20FE3C50" w14:textId="77777777" w:rsidR="00B20849" w:rsidRPr="00744DCA" w:rsidRDefault="00B20849" w:rsidP="00B20849">
      <w:pPr>
        <w:pStyle w:val="Text1"/>
        <w:rPr>
          <w:noProof/>
        </w:rPr>
      </w:pPr>
      <w:r w:rsidRPr="00744DCA">
        <w:rPr>
          <w:noProof/>
        </w:rPr>
        <w:t>There shall be no unauthorised access by a third country, or other third-country entity to classified information relating to the carrying out of the action and potential negative effects over security of supply of inputs critical to the action shall be avoided.</w:t>
      </w:r>
    </w:p>
    <w:p w14:paraId="545C7F16" w14:textId="77777777" w:rsidR="00B20849" w:rsidRPr="00744DCA" w:rsidRDefault="00B20849" w:rsidP="00B20849">
      <w:pPr>
        <w:pStyle w:val="Text1"/>
        <w:rPr>
          <w:noProof/>
        </w:rPr>
      </w:pPr>
      <w:r w:rsidRPr="00744DCA">
        <w:rPr>
          <w:noProof/>
        </w:rPr>
        <w:t>The costs related to those activities shall not be eligible for support from the Programme.</w:t>
      </w:r>
    </w:p>
    <w:p w14:paraId="7B844767" w14:textId="77777777" w:rsidR="00B20849" w:rsidRPr="00744DCA" w:rsidRDefault="00B20849" w:rsidP="00B20849">
      <w:pPr>
        <w:pStyle w:val="ManualNumPar1"/>
        <w:rPr>
          <w:noProof/>
        </w:rPr>
      </w:pPr>
      <w:r>
        <w:rPr>
          <w:noProof/>
        </w:rPr>
        <w:t>7.</w:t>
      </w:r>
      <w:r>
        <w:rPr>
          <w:noProof/>
        </w:rPr>
        <w:tab/>
      </w:r>
      <w:r w:rsidRPr="00744DCA">
        <w:rPr>
          <w:noProof/>
        </w:rPr>
        <w:t xml:space="preserve">Paragraphs 2 to 6 shall not apply to: </w:t>
      </w:r>
    </w:p>
    <w:p w14:paraId="1CB44783" w14:textId="77777777" w:rsidR="00B20849" w:rsidRPr="00744DCA" w:rsidRDefault="00B20849" w:rsidP="00B2056B">
      <w:pPr>
        <w:pStyle w:val="Point1"/>
        <w:rPr>
          <w:noProof/>
        </w:rPr>
      </w:pPr>
      <w:r>
        <w:rPr>
          <w:noProof/>
        </w:rPr>
        <w:t>(a)</w:t>
      </w:r>
      <w:r>
        <w:rPr>
          <w:noProof/>
        </w:rPr>
        <w:tab/>
      </w:r>
      <w:r w:rsidRPr="00744DCA">
        <w:rPr>
          <w:noProof/>
        </w:rPr>
        <w:t xml:space="preserve">contracting authorities of Member States and </w:t>
      </w:r>
      <w:r w:rsidR="00254737" w:rsidRPr="00744DCA">
        <w:rPr>
          <w:noProof/>
        </w:rPr>
        <w:t>Ukraine</w:t>
      </w:r>
      <w:r w:rsidRPr="00744DCA">
        <w:rPr>
          <w:noProof/>
        </w:rPr>
        <w:t>;</w:t>
      </w:r>
    </w:p>
    <w:p w14:paraId="4B282144" w14:textId="77777777" w:rsidR="00B20849" w:rsidRPr="00744DCA" w:rsidRDefault="00B20849" w:rsidP="00B20849">
      <w:pPr>
        <w:pStyle w:val="Point1"/>
        <w:rPr>
          <w:noProof/>
        </w:rPr>
      </w:pPr>
      <w:r>
        <w:rPr>
          <w:noProof/>
        </w:rPr>
        <w:t>(b)</w:t>
      </w:r>
      <w:r>
        <w:rPr>
          <w:noProof/>
        </w:rPr>
        <w:tab/>
      </w:r>
      <w:r w:rsidRPr="00744DCA">
        <w:rPr>
          <w:noProof/>
        </w:rPr>
        <w:t>International Organisations;</w:t>
      </w:r>
    </w:p>
    <w:p w14:paraId="5D90FBC7" w14:textId="77777777" w:rsidR="00B20849" w:rsidRPr="00744DCA" w:rsidRDefault="001E05EA" w:rsidP="00B20849">
      <w:pPr>
        <w:pStyle w:val="Point1"/>
        <w:rPr>
          <w:noProof/>
        </w:rPr>
      </w:pPr>
      <w:r>
        <w:rPr>
          <w:noProof/>
        </w:rPr>
        <w:t>(c)</w:t>
      </w:r>
      <w:r>
        <w:rPr>
          <w:noProof/>
        </w:rPr>
        <w:tab/>
      </w:r>
      <w:r w:rsidRPr="00744DCA">
        <w:rPr>
          <w:noProof/>
        </w:rPr>
        <w:t xml:space="preserve">The </w:t>
      </w:r>
      <w:r w:rsidR="00B20849" w:rsidRPr="00744DCA">
        <w:rPr>
          <w:noProof/>
        </w:rPr>
        <w:t>Structures for European Armament Programme;</w:t>
      </w:r>
    </w:p>
    <w:p w14:paraId="1E17E579" w14:textId="77777777" w:rsidR="00BA3598" w:rsidRPr="00744DCA" w:rsidRDefault="001E05EA" w:rsidP="00744DCA">
      <w:pPr>
        <w:pStyle w:val="Point1"/>
        <w:rPr>
          <w:noProof/>
          <w:sz w:val="28"/>
          <w:lang w:val="en-IE"/>
        </w:rPr>
      </w:pPr>
      <w:r>
        <w:rPr>
          <w:noProof/>
        </w:rPr>
        <w:t>(d)</w:t>
      </w:r>
      <w:r>
        <w:rPr>
          <w:noProof/>
        </w:rPr>
        <w:tab/>
      </w:r>
      <w:r w:rsidRPr="00744DCA">
        <w:rPr>
          <w:noProof/>
        </w:rPr>
        <w:t>T</w:t>
      </w:r>
      <w:r w:rsidR="00B20849" w:rsidRPr="00744DCA">
        <w:rPr>
          <w:noProof/>
        </w:rPr>
        <w:t>he European Defence Agency.</w:t>
      </w:r>
    </w:p>
    <w:p w14:paraId="15CB272E" w14:textId="77777777" w:rsidR="00AB5097" w:rsidRPr="00744DCA" w:rsidRDefault="00AB5097" w:rsidP="00CB5EDF">
      <w:pPr>
        <w:rPr>
          <w:noProof/>
          <w:sz w:val="28"/>
          <w:lang w:val="en-IE"/>
        </w:rPr>
      </w:pPr>
    </w:p>
    <w:p w14:paraId="2DAAC97B" w14:textId="77777777" w:rsidR="00CB5EDF" w:rsidRPr="00744DCA" w:rsidRDefault="00CB5EDF" w:rsidP="00CB5EDF">
      <w:pPr>
        <w:pStyle w:val="ChapterTitle"/>
        <w:rPr>
          <w:noProof/>
          <w:lang w:val="en-IE"/>
        </w:rPr>
      </w:pPr>
      <w:r w:rsidRPr="00744DCA">
        <w:rPr>
          <w:noProof/>
          <w:lang w:val="en-IE"/>
        </w:rPr>
        <w:t>Chapter III</w:t>
      </w:r>
    </w:p>
    <w:p w14:paraId="0C004F40" w14:textId="77777777" w:rsidR="00CB5EDF" w:rsidRPr="00744DCA" w:rsidRDefault="00667171" w:rsidP="00CB5EDF">
      <w:pPr>
        <w:pStyle w:val="ChapterTitle"/>
        <w:rPr>
          <w:noProof/>
          <w:sz w:val="28"/>
          <w:lang w:val="en-IE"/>
        </w:rPr>
      </w:pPr>
      <w:r w:rsidRPr="00744DCA">
        <w:rPr>
          <w:noProof/>
          <w:sz w:val="28"/>
          <w:lang w:val="en-IE"/>
        </w:rPr>
        <w:t xml:space="preserve">Structure for </w:t>
      </w:r>
      <w:r w:rsidR="00CB5EDF" w:rsidRPr="00744DCA">
        <w:rPr>
          <w:noProof/>
          <w:sz w:val="28"/>
          <w:lang w:val="en-IE"/>
        </w:rPr>
        <w:t>European Armament Programme</w:t>
      </w:r>
    </w:p>
    <w:p w14:paraId="02ECFC62" w14:textId="77777777" w:rsidR="00CB5EDF" w:rsidRPr="00744DCA" w:rsidRDefault="00CB5EDF" w:rsidP="00CB5EDF">
      <w:pPr>
        <w:pStyle w:val="Titrearticle"/>
        <w:rPr>
          <w:noProof/>
          <w:lang w:val="en-IE"/>
        </w:rPr>
      </w:pPr>
      <w:r w:rsidRPr="00744DCA">
        <w:rPr>
          <w:noProof/>
          <w:lang w:val="en-IE"/>
        </w:rPr>
        <w:t xml:space="preserve">Article </w:t>
      </w:r>
      <w:r w:rsidR="00C0301B" w:rsidRPr="00744DCA">
        <w:rPr>
          <w:noProof/>
          <w:lang w:val="en-IE"/>
        </w:rPr>
        <w:t>2</w:t>
      </w:r>
      <w:r w:rsidR="003506A2" w:rsidRPr="00744DCA">
        <w:rPr>
          <w:noProof/>
          <w:lang w:val="en-IE"/>
        </w:rPr>
        <w:t>2</w:t>
      </w:r>
    </w:p>
    <w:p w14:paraId="589ADC92" w14:textId="77777777" w:rsidR="00CB5EDF" w:rsidRPr="00744DCA" w:rsidRDefault="00CB5EDF" w:rsidP="00CB5EDF">
      <w:pPr>
        <w:pStyle w:val="Titrearticle"/>
        <w:rPr>
          <w:b/>
          <w:i w:val="0"/>
          <w:noProof/>
        </w:rPr>
      </w:pPr>
      <w:r w:rsidRPr="00744DCA">
        <w:rPr>
          <w:b/>
          <w:i w:val="0"/>
          <w:noProof/>
        </w:rPr>
        <w:t xml:space="preserve">Specific objective and activities of </w:t>
      </w:r>
      <w:r w:rsidR="000D6305" w:rsidRPr="00744DCA">
        <w:rPr>
          <w:b/>
          <w:i w:val="0"/>
          <w:noProof/>
        </w:rPr>
        <w:t>SEAP</w:t>
      </w:r>
    </w:p>
    <w:p w14:paraId="480CA3E2" w14:textId="77777777" w:rsidR="00CB5EDF" w:rsidRPr="00744DCA" w:rsidRDefault="00CB5EDF" w:rsidP="00B2056B">
      <w:pPr>
        <w:pStyle w:val="ManualNumPar1"/>
        <w:rPr>
          <w:noProof/>
        </w:rPr>
      </w:pPr>
      <w:r>
        <w:rPr>
          <w:noProof/>
        </w:rPr>
        <w:t>1.</w:t>
      </w:r>
      <w:r>
        <w:rPr>
          <w:noProof/>
        </w:rPr>
        <w:tab/>
      </w:r>
      <w:r w:rsidRPr="00744DCA">
        <w:rPr>
          <w:noProof/>
        </w:rPr>
        <w:t xml:space="preserve">A </w:t>
      </w:r>
      <w:r w:rsidR="00934D4C" w:rsidRPr="00744DCA">
        <w:rPr>
          <w:noProof/>
        </w:rPr>
        <w:t>Structure for European Armament Programme (</w:t>
      </w:r>
      <w:r w:rsidR="000D6305" w:rsidRPr="00744DCA">
        <w:rPr>
          <w:noProof/>
        </w:rPr>
        <w:t>SEAP</w:t>
      </w:r>
      <w:r w:rsidR="00934D4C" w:rsidRPr="00744DCA">
        <w:rPr>
          <w:noProof/>
        </w:rPr>
        <w:t>)</w:t>
      </w:r>
      <w:r w:rsidRPr="00744DCA">
        <w:rPr>
          <w:noProof/>
        </w:rPr>
        <w:t xml:space="preserve"> shall foster the competitiveness of the </w:t>
      </w:r>
      <w:r w:rsidR="00D64225" w:rsidRPr="00744DCA">
        <w:rPr>
          <w:noProof/>
        </w:rPr>
        <w:t>EDTIB</w:t>
      </w:r>
      <w:r w:rsidRPr="00744DCA">
        <w:rPr>
          <w:noProof/>
        </w:rPr>
        <w:t xml:space="preserve"> </w:t>
      </w:r>
      <w:r w:rsidR="006B291D" w:rsidRPr="00744DCA">
        <w:rPr>
          <w:noProof/>
        </w:rPr>
        <w:t xml:space="preserve">and of the Ukrainian </w:t>
      </w:r>
      <w:r w:rsidR="00D64225" w:rsidRPr="00744DCA">
        <w:rPr>
          <w:noProof/>
        </w:rPr>
        <w:t>DTIB</w:t>
      </w:r>
      <w:r w:rsidR="006B291D" w:rsidRPr="00744DCA">
        <w:rPr>
          <w:noProof/>
        </w:rPr>
        <w:t xml:space="preserve"> </w:t>
      </w:r>
      <w:r w:rsidRPr="00744DCA">
        <w:rPr>
          <w:noProof/>
        </w:rPr>
        <w:t xml:space="preserve">by aggregating the demand for defence products throughout their lifecycle. </w:t>
      </w:r>
    </w:p>
    <w:p w14:paraId="27F7F397" w14:textId="77777777" w:rsidR="00CB5EDF" w:rsidRPr="00744DCA" w:rsidRDefault="00CB5EDF" w:rsidP="00B2056B">
      <w:pPr>
        <w:pStyle w:val="ManualNumPar1"/>
        <w:rPr>
          <w:noProof/>
        </w:rPr>
      </w:pPr>
      <w:r>
        <w:rPr>
          <w:noProof/>
        </w:rPr>
        <w:t>2.</w:t>
      </w:r>
      <w:r>
        <w:rPr>
          <w:noProof/>
        </w:rPr>
        <w:tab/>
      </w:r>
      <w:r w:rsidRPr="00744DCA">
        <w:rPr>
          <w:noProof/>
        </w:rPr>
        <w:t xml:space="preserve">To reach </w:t>
      </w:r>
      <w:r w:rsidR="00934D4C" w:rsidRPr="00744DCA">
        <w:rPr>
          <w:noProof/>
        </w:rPr>
        <w:t xml:space="preserve">the </w:t>
      </w:r>
      <w:r w:rsidRPr="00744DCA">
        <w:rPr>
          <w:noProof/>
        </w:rPr>
        <w:t>objective</w:t>
      </w:r>
      <w:r w:rsidR="00934D4C" w:rsidRPr="00744DCA">
        <w:rPr>
          <w:noProof/>
        </w:rPr>
        <w:t xml:space="preserve"> referred to in paragraph 1</w:t>
      </w:r>
      <w:r w:rsidRPr="00744DCA">
        <w:rPr>
          <w:noProof/>
        </w:rPr>
        <w:t xml:space="preserve">, the principal tasks of a </w:t>
      </w:r>
      <w:r w:rsidR="000D6305" w:rsidRPr="00744DCA">
        <w:rPr>
          <w:noProof/>
        </w:rPr>
        <w:t>SEAP</w:t>
      </w:r>
      <w:r w:rsidRPr="00744DCA">
        <w:rPr>
          <w:noProof/>
        </w:rPr>
        <w:t xml:space="preserve"> shall be: </w:t>
      </w:r>
    </w:p>
    <w:p w14:paraId="6E489D34" w14:textId="77777777" w:rsidR="00CB5EDF" w:rsidRPr="00744DCA" w:rsidRDefault="00CB5EDF" w:rsidP="00B2056B">
      <w:pPr>
        <w:pStyle w:val="Point1"/>
        <w:rPr>
          <w:noProof/>
        </w:rPr>
      </w:pPr>
      <w:r>
        <w:rPr>
          <w:noProof/>
        </w:rPr>
        <w:t>(a)</w:t>
      </w:r>
      <w:r>
        <w:rPr>
          <w:noProof/>
        </w:rPr>
        <w:tab/>
      </w:r>
      <w:r w:rsidRPr="00744DCA">
        <w:rPr>
          <w:noProof/>
        </w:rPr>
        <w:t xml:space="preserve">the </w:t>
      </w:r>
      <w:r w:rsidR="00E96F68" w:rsidRPr="00744DCA">
        <w:rPr>
          <w:noProof/>
        </w:rPr>
        <w:t>common</w:t>
      </w:r>
      <w:r w:rsidRPr="00744DCA">
        <w:rPr>
          <w:noProof/>
        </w:rPr>
        <w:t xml:space="preserve"> procurement of defence products, technologies or services, including defence R&amp;D, testing and certification, non-recurrent investments related to initial production or in-service support;  </w:t>
      </w:r>
    </w:p>
    <w:p w14:paraId="72C3BA51" w14:textId="77777777" w:rsidR="00CB5EDF" w:rsidRPr="00744DCA" w:rsidRDefault="299C41F4" w:rsidP="00CB5EDF">
      <w:pPr>
        <w:pStyle w:val="Point1"/>
        <w:rPr>
          <w:noProof/>
        </w:rPr>
      </w:pPr>
      <w:r>
        <w:rPr>
          <w:noProof/>
        </w:rPr>
        <w:t>(b)</w:t>
      </w:r>
      <w:r>
        <w:rPr>
          <w:noProof/>
        </w:rPr>
        <w:tab/>
      </w:r>
      <w:r w:rsidRPr="00744DCA">
        <w:rPr>
          <w:noProof/>
        </w:rPr>
        <w:t>the joint life</w:t>
      </w:r>
      <w:r w:rsidR="6643D00C" w:rsidRPr="00744DCA">
        <w:rPr>
          <w:noProof/>
        </w:rPr>
        <w:t>-</w:t>
      </w:r>
      <w:r w:rsidRPr="00744DCA">
        <w:rPr>
          <w:noProof/>
        </w:rPr>
        <w:t xml:space="preserve">cycle management of defence products, including the procurement of spare parts, logistic services and, where appropriate, establishment of public private partnerships to ensure efficiency and high availability of defence products; </w:t>
      </w:r>
    </w:p>
    <w:p w14:paraId="59CF9AF4" w14:textId="77777777" w:rsidR="00CB5EDF" w:rsidRPr="00744DCA" w:rsidRDefault="299C41F4" w:rsidP="00CB5EDF">
      <w:pPr>
        <w:pStyle w:val="Point1"/>
        <w:rPr>
          <w:noProof/>
        </w:rPr>
      </w:pPr>
      <w:r>
        <w:rPr>
          <w:noProof/>
        </w:rPr>
        <w:t>(c)</w:t>
      </w:r>
      <w:r>
        <w:rPr>
          <w:noProof/>
        </w:rPr>
        <w:tab/>
      </w:r>
      <w:r w:rsidRPr="00744DCA">
        <w:rPr>
          <w:noProof/>
        </w:rPr>
        <w:t>the dynamic availability management for additional quantities, ensuring</w:t>
      </w:r>
      <w:r w:rsidR="1028AC24" w:rsidRPr="00744DCA">
        <w:rPr>
          <w:noProof/>
        </w:rPr>
        <w:t xml:space="preserve"> an</w:t>
      </w:r>
      <w:r w:rsidRPr="00744DCA">
        <w:rPr>
          <w:noProof/>
        </w:rPr>
        <w:t xml:space="preserve"> immediate and preferential purchase or use/lease option for Member States, associated countries </w:t>
      </w:r>
      <w:r w:rsidR="44CCFB32" w:rsidRPr="00744DCA">
        <w:rPr>
          <w:noProof/>
        </w:rPr>
        <w:t xml:space="preserve">or </w:t>
      </w:r>
      <w:r w:rsidRPr="00744DCA">
        <w:rPr>
          <w:noProof/>
        </w:rPr>
        <w:t xml:space="preserve">Ukraine (Defence Industrial Readiness Pool). </w:t>
      </w:r>
    </w:p>
    <w:p w14:paraId="0C786147" w14:textId="77777777" w:rsidR="00CB5EDF" w:rsidRPr="00744DCA" w:rsidRDefault="00CB5EDF" w:rsidP="00CB5EDF">
      <w:pPr>
        <w:pStyle w:val="Titrearticle"/>
        <w:rPr>
          <w:noProof/>
        </w:rPr>
      </w:pPr>
      <w:r w:rsidRPr="00744DCA">
        <w:rPr>
          <w:noProof/>
        </w:rPr>
        <w:t xml:space="preserve">Article </w:t>
      </w:r>
      <w:r w:rsidR="00C0301B" w:rsidRPr="00744DCA">
        <w:rPr>
          <w:noProof/>
        </w:rPr>
        <w:t>2</w:t>
      </w:r>
      <w:r w:rsidR="003506A2" w:rsidRPr="00744DCA">
        <w:rPr>
          <w:noProof/>
        </w:rPr>
        <w:t>3</w:t>
      </w:r>
    </w:p>
    <w:p w14:paraId="0138A415" w14:textId="77777777" w:rsidR="00CB5EDF" w:rsidRPr="00744DCA" w:rsidRDefault="00CB5EDF" w:rsidP="00CB5EDF">
      <w:pPr>
        <w:pStyle w:val="Titrearticle"/>
        <w:rPr>
          <w:b/>
          <w:i w:val="0"/>
          <w:noProof/>
        </w:rPr>
      </w:pPr>
      <w:r w:rsidRPr="00744DCA">
        <w:rPr>
          <w:b/>
          <w:i w:val="0"/>
          <w:noProof/>
        </w:rPr>
        <w:t xml:space="preserve">Requirements relating to the establishment of a </w:t>
      </w:r>
      <w:r w:rsidR="000D6305" w:rsidRPr="00744DCA">
        <w:rPr>
          <w:b/>
          <w:i w:val="0"/>
          <w:noProof/>
        </w:rPr>
        <w:t>SEAP</w:t>
      </w:r>
    </w:p>
    <w:p w14:paraId="74FB7173" w14:textId="77777777" w:rsidR="00CB5EDF" w:rsidRPr="00744DCA" w:rsidRDefault="00CB5EDF" w:rsidP="00B2056B">
      <w:pPr>
        <w:pStyle w:val="ManualNumPar1"/>
        <w:rPr>
          <w:noProof/>
        </w:rPr>
      </w:pPr>
      <w:r>
        <w:rPr>
          <w:noProof/>
        </w:rPr>
        <w:t>1.</w:t>
      </w:r>
      <w:r>
        <w:rPr>
          <w:noProof/>
        </w:rPr>
        <w:tab/>
      </w:r>
      <w:r w:rsidRPr="00744DCA">
        <w:rPr>
          <w:noProof/>
        </w:rPr>
        <w:t xml:space="preserve">A </w:t>
      </w:r>
      <w:r w:rsidR="000D6305" w:rsidRPr="00744DCA">
        <w:rPr>
          <w:noProof/>
        </w:rPr>
        <w:t>SEAP</w:t>
      </w:r>
      <w:r w:rsidRPr="00744DCA">
        <w:rPr>
          <w:noProof/>
        </w:rPr>
        <w:t xml:space="preserve"> shall meet the following requirements:</w:t>
      </w:r>
    </w:p>
    <w:p w14:paraId="6D3C2EFA" w14:textId="77777777" w:rsidR="00CB5EDF" w:rsidRPr="00744DCA" w:rsidRDefault="00CB5EDF" w:rsidP="00B2056B">
      <w:pPr>
        <w:pStyle w:val="Point1"/>
        <w:rPr>
          <w:noProof/>
        </w:rPr>
      </w:pPr>
      <w:r>
        <w:rPr>
          <w:noProof/>
        </w:rPr>
        <w:t>(a)</w:t>
      </w:r>
      <w:r>
        <w:rPr>
          <w:noProof/>
        </w:rPr>
        <w:tab/>
      </w:r>
      <w:r w:rsidRPr="00744DCA">
        <w:rPr>
          <w:noProof/>
        </w:rPr>
        <w:t xml:space="preserve">a </w:t>
      </w:r>
      <w:r w:rsidR="000D6305" w:rsidRPr="00744DCA">
        <w:rPr>
          <w:noProof/>
        </w:rPr>
        <w:t>SEAP</w:t>
      </w:r>
      <w:r w:rsidRPr="00744DCA">
        <w:rPr>
          <w:noProof/>
        </w:rPr>
        <w:t xml:space="preserve"> shall support the collaborative development and procurement of defence products and services in line with the capability priorities commonly agreed by Member States within the framework of the CFSP</w:t>
      </w:r>
      <w:r w:rsidR="00AD300E" w:rsidRPr="00744DCA">
        <w:rPr>
          <w:noProof/>
        </w:rPr>
        <w:t xml:space="preserve">, </w:t>
      </w:r>
      <w:r w:rsidR="00934D4C" w:rsidRPr="00744DCA">
        <w:rPr>
          <w:noProof/>
        </w:rPr>
        <w:t xml:space="preserve">including </w:t>
      </w:r>
      <w:r w:rsidR="00AD300E" w:rsidRPr="00744DCA">
        <w:rPr>
          <w:noProof/>
        </w:rPr>
        <w:t>in the context of the Capability Development Plan</w:t>
      </w:r>
      <w:r w:rsidRPr="00744DCA">
        <w:rPr>
          <w:noProof/>
        </w:rPr>
        <w:t>;</w:t>
      </w:r>
    </w:p>
    <w:p w14:paraId="38E32F45" w14:textId="77777777" w:rsidR="00D22675" w:rsidRPr="00744DCA" w:rsidRDefault="299C41F4" w:rsidP="00CB5EDF">
      <w:pPr>
        <w:pStyle w:val="Point1"/>
        <w:rPr>
          <w:noProof/>
        </w:rPr>
      </w:pPr>
      <w:r>
        <w:rPr>
          <w:noProof/>
        </w:rPr>
        <w:t>(b)</w:t>
      </w:r>
      <w:r>
        <w:rPr>
          <w:noProof/>
        </w:rPr>
        <w:tab/>
      </w:r>
      <w:r w:rsidRPr="00744DCA">
        <w:rPr>
          <w:noProof/>
        </w:rPr>
        <w:t xml:space="preserve">a </w:t>
      </w:r>
      <w:r w:rsidR="253927CC" w:rsidRPr="00744DCA">
        <w:rPr>
          <w:noProof/>
        </w:rPr>
        <w:t>SEAP</w:t>
      </w:r>
      <w:r w:rsidRPr="00744DCA">
        <w:rPr>
          <w:noProof/>
        </w:rPr>
        <w:t xml:space="preserve"> shall be established by at least three Member States</w:t>
      </w:r>
      <w:r w:rsidR="2721E917" w:rsidRPr="00744DCA">
        <w:rPr>
          <w:noProof/>
        </w:rPr>
        <w:t xml:space="preserve">, </w:t>
      </w:r>
      <w:r w:rsidR="7CE6A2F3" w:rsidRPr="00744DCA">
        <w:rPr>
          <w:noProof/>
        </w:rPr>
        <w:t>associated countries or Ukraine</w:t>
      </w:r>
      <w:r w:rsidR="2721E917" w:rsidRPr="00744DCA">
        <w:rPr>
          <w:noProof/>
        </w:rPr>
        <w:t>.</w:t>
      </w:r>
      <w:r w:rsidR="7CE6A2F3" w:rsidRPr="00744DCA">
        <w:rPr>
          <w:noProof/>
        </w:rPr>
        <w:t xml:space="preserve"> </w:t>
      </w:r>
    </w:p>
    <w:p w14:paraId="7E994D0B" w14:textId="77777777" w:rsidR="00CB5EDF" w:rsidRPr="00744DCA" w:rsidRDefault="00D22675" w:rsidP="00CB5EDF">
      <w:pPr>
        <w:pStyle w:val="Point1"/>
        <w:rPr>
          <w:noProof/>
        </w:rPr>
      </w:pPr>
      <w:r>
        <w:rPr>
          <w:noProof/>
        </w:rPr>
        <w:t>(c)</w:t>
      </w:r>
      <w:r>
        <w:rPr>
          <w:noProof/>
        </w:rPr>
        <w:tab/>
      </w:r>
      <w:r w:rsidRPr="00744DCA">
        <w:rPr>
          <w:noProof/>
        </w:rPr>
        <w:t>a SEAP shall have as members a</w:t>
      </w:r>
      <w:r w:rsidR="7CE6A2F3" w:rsidRPr="00744DCA">
        <w:rPr>
          <w:noProof/>
        </w:rPr>
        <w:t>t least two Member States</w:t>
      </w:r>
      <w:r w:rsidR="299C41F4" w:rsidRPr="00744DCA">
        <w:rPr>
          <w:noProof/>
        </w:rPr>
        <w:t>;</w:t>
      </w:r>
    </w:p>
    <w:p w14:paraId="5A2D9D2D" w14:textId="77777777" w:rsidR="00CB5EDF" w:rsidRPr="00744DCA" w:rsidRDefault="00CB5EDF" w:rsidP="00CB5EDF">
      <w:pPr>
        <w:pStyle w:val="Point1"/>
        <w:rPr>
          <w:noProof/>
        </w:rPr>
      </w:pPr>
      <w:r>
        <w:rPr>
          <w:noProof/>
        </w:rPr>
        <w:t>(d)</w:t>
      </w:r>
      <w:r>
        <w:rPr>
          <w:noProof/>
        </w:rPr>
        <w:tab/>
      </w:r>
      <w:r w:rsidRPr="00744DCA">
        <w:rPr>
          <w:noProof/>
        </w:rPr>
        <w:t xml:space="preserve">a </w:t>
      </w:r>
      <w:r w:rsidR="000D6305" w:rsidRPr="00744DCA">
        <w:rPr>
          <w:noProof/>
        </w:rPr>
        <w:t>SEAP</w:t>
      </w:r>
      <w:r w:rsidRPr="00744DCA">
        <w:rPr>
          <w:noProof/>
        </w:rPr>
        <w:t xml:space="preserve"> shall continue the lifecycle of the defence product or technology, until its decommissioning.</w:t>
      </w:r>
    </w:p>
    <w:p w14:paraId="22F39CB1" w14:textId="77777777" w:rsidR="00CB5EDF" w:rsidRPr="00744DCA" w:rsidRDefault="00D22675" w:rsidP="00CB5EDF">
      <w:pPr>
        <w:pStyle w:val="ManualNumPar1"/>
        <w:rPr>
          <w:noProof/>
        </w:rPr>
      </w:pPr>
      <w:r>
        <w:rPr>
          <w:noProof/>
        </w:rPr>
        <w:t>2.</w:t>
      </w:r>
      <w:r>
        <w:rPr>
          <w:noProof/>
        </w:rPr>
        <w:tab/>
      </w:r>
      <w:r w:rsidRPr="00744DCA">
        <w:rPr>
          <w:noProof/>
        </w:rPr>
        <w:t xml:space="preserve">A </w:t>
      </w:r>
      <w:r w:rsidR="000D6305" w:rsidRPr="00744DCA">
        <w:rPr>
          <w:noProof/>
        </w:rPr>
        <w:t>SEAP</w:t>
      </w:r>
      <w:r w:rsidR="00CB5EDF" w:rsidRPr="00744DCA">
        <w:rPr>
          <w:noProof/>
        </w:rPr>
        <w:t xml:space="preserve"> shall use standardised procedures for initiating and managing cooperative defence programmes</w:t>
      </w:r>
      <w:r w:rsidR="00FF5D1C" w:rsidRPr="00744DCA">
        <w:rPr>
          <w:noProof/>
        </w:rPr>
        <w:t xml:space="preserve"> and </w:t>
      </w:r>
      <w:r w:rsidRPr="00744DCA">
        <w:rPr>
          <w:noProof/>
        </w:rPr>
        <w:t xml:space="preserve">shall </w:t>
      </w:r>
      <w:r w:rsidR="00FF5D1C" w:rsidRPr="00744DCA">
        <w:rPr>
          <w:noProof/>
        </w:rPr>
        <w:t>respect any guidance or templates</w:t>
      </w:r>
      <w:r w:rsidR="00CB5EDF" w:rsidRPr="00744DCA">
        <w:rPr>
          <w:noProof/>
        </w:rPr>
        <w:t xml:space="preserve"> provided </w:t>
      </w:r>
      <w:r w:rsidR="00FF67CB" w:rsidRPr="00744DCA">
        <w:rPr>
          <w:noProof/>
        </w:rPr>
        <w:t xml:space="preserve">to it </w:t>
      </w:r>
      <w:r w:rsidR="00CB5EDF" w:rsidRPr="00744DCA">
        <w:rPr>
          <w:noProof/>
        </w:rPr>
        <w:t>by the Commission</w:t>
      </w:r>
      <w:r w:rsidR="00FF5D1C" w:rsidRPr="00744DCA">
        <w:rPr>
          <w:noProof/>
        </w:rPr>
        <w:t>, including</w:t>
      </w:r>
      <w:r w:rsidR="00CB5EDF" w:rsidRPr="00744DCA">
        <w:rPr>
          <w:noProof/>
        </w:rPr>
        <w:t xml:space="preserve"> guidelines on project management, funding, and reporting. </w:t>
      </w:r>
    </w:p>
    <w:p w14:paraId="76CF07DE" w14:textId="77777777" w:rsidR="00CB5EDF" w:rsidRPr="00744DCA" w:rsidRDefault="00CB5EDF" w:rsidP="00CB5EDF">
      <w:pPr>
        <w:pStyle w:val="Titrearticle"/>
        <w:rPr>
          <w:noProof/>
        </w:rPr>
      </w:pPr>
      <w:r w:rsidRPr="00744DCA">
        <w:rPr>
          <w:noProof/>
        </w:rPr>
        <w:t xml:space="preserve">Article </w:t>
      </w:r>
      <w:r w:rsidR="00C0301B" w:rsidRPr="00744DCA">
        <w:rPr>
          <w:noProof/>
        </w:rPr>
        <w:t>2</w:t>
      </w:r>
      <w:r w:rsidR="003506A2" w:rsidRPr="00744DCA">
        <w:rPr>
          <w:noProof/>
        </w:rPr>
        <w:t>4</w:t>
      </w:r>
    </w:p>
    <w:p w14:paraId="7F6DBA1E" w14:textId="77777777" w:rsidR="00CB5EDF" w:rsidRPr="00744DCA" w:rsidRDefault="00CB5EDF" w:rsidP="00CB5EDF">
      <w:pPr>
        <w:pStyle w:val="Titrearticle"/>
        <w:rPr>
          <w:b/>
          <w:i w:val="0"/>
          <w:noProof/>
        </w:rPr>
      </w:pPr>
      <w:r w:rsidRPr="00744DCA">
        <w:rPr>
          <w:b/>
          <w:i w:val="0"/>
          <w:noProof/>
        </w:rPr>
        <w:t xml:space="preserve">Application for the establishment of a </w:t>
      </w:r>
      <w:r w:rsidR="000D6305" w:rsidRPr="00744DCA">
        <w:rPr>
          <w:b/>
          <w:i w:val="0"/>
          <w:noProof/>
        </w:rPr>
        <w:t>SEAP</w:t>
      </w:r>
    </w:p>
    <w:p w14:paraId="2F8A1573" w14:textId="77777777" w:rsidR="00CB5EDF" w:rsidRPr="00744DCA" w:rsidRDefault="00CB5EDF" w:rsidP="00B2056B">
      <w:pPr>
        <w:pStyle w:val="ManualNumPar1"/>
        <w:rPr>
          <w:noProof/>
        </w:rPr>
      </w:pPr>
      <w:r>
        <w:rPr>
          <w:noProof/>
        </w:rPr>
        <w:t>1.</w:t>
      </w:r>
      <w:r>
        <w:rPr>
          <w:noProof/>
        </w:rPr>
        <w:tab/>
      </w:r>
      <w:r w:rsidRPr="00744DCA">
        <w:rPr>
          <w:noProof/>
        </w:rPr>
        <w:t xml:space="preserve">The Member States applying for the setting-up of a </w:t>
      </w:r>
      <w:r w:rsidR="000D6305" w:rsidRPr="00744DCA">
        <w:rPr>
          <w:noProof/>
        </w:rPr>
        <w:t>SEAP</w:t>
      </w:r>
      <w:r w:rsidRPr="00744DCA">
        <w:rPr>
          <w:noProof/>
        </w:rPr>
        <w:t xml:space="preserve"> (</w:t>
      </w:r>
      <w:r w:rsidR="00FF67CB" w:rsidRPr="00744DCA">
        <w:rPr>
          <w:noProof/>
        </w:rPr>
        <w:t>as th</w:t>
      </w:r>
      <w:r w:rsidR="004D2420" w:rsidRPr="00744DCA">
        <w:rPr>
          <w:noProof/>
        </w:rPr>
        <w:t>e</w:t>
      </w:r>
      <w:r w:rsidRPr="00744DCA">
        <w:rPr>
          <w:noProof/>
        </w:rPr>
        <w:t xml:space="preserve"> </w:t>
      </w:r>
      <w:r w:rsidR="00FF67CB" w:rsidRPr="00744DCA">
        <w:rPr>
          <w:noProof/>
        </w:rPr>
        <w:t>'</w:t>
      </w:r>
      <w:r w:rsidRPr="00744DCA">
        <w:rPr>
          <w:noProof/>
        </w:rPr>
        <w:t>applicants</w:t>
      </w:r>
      <w:r w:rsidR="00FF67CB" w:rsidRPr="00744DCA">
        <w:rPr>
          <w:noProof/>
        </w:rPr>
        <w:t>’</w:t>
      </w:r>
      <w:r w:rsidRPr="00744DCA">
        <w:rPr>
          <w:noProof/>
        </w:rPr>
        <w:t xml:space="preserve">) shall submit an application to the Commission. The application shall contain the following: </w:t>
      </w:r>
    </w:p>
    <w:p w14:paraId="5F659CB1" w14:textId="77777777" w:rsidR="00CB5EDF" w:rsidRPr="00744DCA" w:rsidRDefault="00CB5EDF" w:rsidP="00B2056B">
      <w:pPr>
        <w:pStyle w:val="Point1"/>
        <w:rPr>
          <w:noProof/>
        </w:rPr>
      </w:pPr>
      <w:r>
        <w:rPr>
          <w:noProof/>
        </w:rPr>
        <w:t>(a)</w:t>
      </w:r>
      <w:r>
        <w:rPr>
          <w:noProof/>
        </w:rPr>
        <w:tab/>
      </w:r>
      <w:r w:rsidRPr="00744DCA">
        <w:rPr>
          <w:noProof/>
        </w:rPr>
        <w:t xml:space="preserve">a request to the Commission to set up the </w:t>
      </w:r>
      <w:r w:rsidR="000D6305" w:rsidRPr="00744DCA">
        <w:rPr>
          <w:noProof/>
        </w:rPr>
        <w:t>SEAP</w:t>
      </w:r>
      <w:r w:rsidRPr="00744DCA">
        <w:rPr>
          <w:noProof/>
        </w:rPr>
        <w:t xml:space="preserve">; </w:t>
      </w:r>
    </w:p>
    <w:p w14:paraId="583909D1" w14:textId="77777777" w:rsidR="00CB5EDF" w:rsidRPr="00744DCA" w:rsidRDefault="00CB5EDF" w:rsidP="00CB5EDF">
      <w:pPr>
        <w:pStyle w:val="Point1"/>
        <w:rPr>
          <w:noProof/>
        </w:rPr>
      </w:pPr>
      <w:r>
        <w:rPr>
          <w:noProof/>
        </w:rPr>
        <w:t>(b)</w:t>
      </w:r>
      <w:r>
        <w:rPr>
          <w:noProof/>
        </w:rPr>
        <w:tab/>
      </w:r>
      <w:r w:rsidRPr="00744DCA">
        <w:rPr>
          <w:noProof/>
        </w:rPr>
        <w:t xml:space="preserve">the proposed Statutes of the </w:t>
      </w:r>
      <w:r w:rsidR="000D6305" w:rsidRPr="00744DCA">
        <w:rPr>
          <w:noProof/>
        </w:rPr>
        <w:t>SEAP</w:t>
      </w:r>
      <w:r w:rsidRPr="00744DCA">
        <w:rPr>
          <w:noProof/>
        </w:rPr>
        <w:t xml:space="preserve"> referred to in Article </w:t>
      </w:r>
      <w:r w:rsidR="00637B10" w:rsidRPr="00744DCA">
        <w:rPr>
          <w:noProof/>
        </w:rPr>
        <w:t>2</w:t>
      </w:r>
      <w:r w:rsidR="0029410D" w:rsidRPr="00744DCA">
        <w:rPr>
          <w:noProof/>
        </w:rPr>
        <w:t>7</w:t>
      </w:r>
      <w:r w:rsidRPr="00744DCA">
        <w:rPr>
          <w:noProof/>
        </w:rPr>
        <w:t xml:space="preserve">, signed and adopted in due form by all legal entities </w:t>
      </w:r>
      <w:r w:rsidR="00E54843" w:rsidRPr="00744DCA">
        <w:rPr>
          <w:noProof/>
        </w:rPr>
        <w:t xml:space="preserve">that are </w:t>
      </w:r>
      <w:r w:rsidR="00820965" w:rsidRPr="00744DCA">
        <w:rPr>
          <w:noProof/>
        </w:rPr>
        <w:t>applicants</w:t>
      </w:r>
      <w:r w:rsidRPr="00744DCA">
        <w:rPr>
          <w:noProof/>
        </w:rPr>
        <w:t xml:space="preserve"> to the proposed </w:t>
      </w:r>
      <w:r w:rsidR="000D6305" w:rsidRPr="00744DCA">
        <w:rPr>
          <w:noProof/>
        </w:rPr>
        <w:t>SEAP</w:t>
      </w:r>
      <w:r w:rsidRPr="00744DCA">
        <w:rPr>
          <w:noProof/>
        </w:rPr>
        <w:t xml:space="preserve">; </w:t>
      </w:r>
    </w:p>
    <w:p w14:paraId="1F3A76C3" w14:textId="77777777" w:rsidR="00CB5EDF" w:rsidRPr="00744DCA" w:rsidRDefault="00CB5EDF" w:rsidP="00CB5EDF">
      <w:pPr>
        <w:pStyle w:val="Point1"/>
        <w:rPr>
          <w:noProof/>
        </w:rPr>
      </w:pPr>
      <w:r>
        <w:rPr>
          <w:noProof/>
        </w:rPr>
        <w:t>(c)</w:t>
      </w:r>
      <w:r>
        <w:rPr>
          <w:noProof/>
        </w:rPr>
        <w:tab/>
      </w:r>
      <w:r w:rsidRPr="00744DCA">
        <w:rPr>
          <w:noProof/>
        </w:rPr>
        <w:t xml:space="preserve">a description of the defence equipment, technology or service to be jointly procured and managed by the </w:t>
      </w:r>
      <w:r w:rsidR="000D6305" w:rsidRPr="00744DCA">
        <w:rPr>
          <w:noProof/>
        </w:rPr>
        <w:t>SEAP</w:t>
      </w:r>
      <w:r w:rsidRPr="00744DCA">
        <w:rPr>
          <w:noProof/>
        </w:rPr>
        <w:t>, addressing in particular the requirement</w:t>
      </w:r>
      <w:r w:rsidR="00D66FAF" w:rsidRPr="00744DCA">
        <w:rPr>
          <w:noProof/>
        </w:rPr>
        <w:t>s</w:t>
      </w:r>
      <w:r w:rsidRPr="00744DCA">
        <w:rPr>
          <w:noProof/>
        </w:rPr>
        <w:t xml:space="preserve"> set out in Article </w:t>
      </w:r>
      <w:r w:rsidR="005C3167" w:rsidRPr="00744DCA">
        <w:rPr>
          <w:noProof/>
        </w:rPr>
        <w:t>2</w:t>
      </w:r>
      <w:r w:rsidR="0029410D" w:rsidRPr="00744DCA">
        <w:rPr>
          <w:noProof/>
        </w:rPr>
        <w:t>3</w:t>
      </w:r>
      <w:r w:rsidR="00D66FAF" w:rsidRPr="00744DCA">
        <w:rPr>
          <w:noProof/>
        </w:rPr>
        <w:t>(1)</w:t>
      </w:r>
      <w:r w:rsidR="000A4E1A" w:rsidRPr="00744DCA">
        <w:rPr>
          <w:noProof/>
        </w:rPr>
        <w:t xml:space="preserve">, point </w:t>
      </w:r>
      <w:r w:rsidR="00B743A6" w:rsidRPr="00744DCA">
        <w:rPr>
          <w:noProof/>
        </w:rPr>
        <w:t>(a) and (d)</w:t>
      </w:r>
      <w:r w:rsidRPr="00744DCA">
        <w:rPr>
          <w:noProof/>
        </w:rPr>
        <w:t xml:space="preserve">; </w:t>
      </w:r>
    </w:p>
    <w:p w14:paraId="20EAD688" w14:textId="77777777" w:rsidR="00CB5EDF" w:rsidRPr="00744DCA" w:rsidRDefault="00CB5EDF" w:rsidP="00CB5EDF">
      <w:pPr>
        <w:pStyle w:val="Point1"/>
        <w:rPr>
          <w:noProof/>
        </w:rPr>
      </w:pPr>
      <w:r>
        <w:rPr>
          <w:noProof/>
        </w:rPr>
        <w:t>(d)</w:t>
      </w:r>
      <w:r>
        <w:rPr>
          <w:noProof/>
        </w:rPr>
        <w:tab/>
      </w:r>
      <w:r w:rsidRPr="00744DCA">
        <w:rPr>
          <w:noProof/>
        </w:rPr>
        <w:t xml:space="preserve">a declaration by the host Member State recognising the </w:t>
      </w:r>
      <w:r w:rsidR="000D6305" w:rsidRPr="00744DCA">
        <w:rPr>
          <w:noProof/>
        </w:rPr>
        <w:t>SEAP</w:t>
      </w:r>
      <w:r w:rsidRPr="00744DCA">
        <w:rPr>
          <w:noProof/>
        </w:rPr>
        <w:t xml:space="preserve"> as an international body within the meaning of Articles 143(1)(g) and 151(1)(b) of Directive 2006/112/EC and as international organisation within the meaning of Article 11(1) of Directive (EU) 2020/262, as of its setting up. The limits and conditions of the exemptions provided for in these provisions shall be laid down in an agreement between the members of the </w:t>
      </w:r>
      <w:r w:rsidR="000D6305" w:rsidRPr="00744DCA">
        <w:rPr>
          <w:noProof/>
        </w:rPr>
        <w:t>SEAP</w:t>
      </w:r>
      <w:r w:rsidRPr="00744DCA">
        <w:rPr>
          <w:noProof/>
        </w:rPr>
        <w:t xml:space="preserve">. </w:t>
      </w:r>
    </w:p>
    <w:p w14:paraId="6C34E204" w14:textId="77777777" w:rsidR="00CB5EDF" w:rsidRPr="00744DCA" w:rsidRDefault="00CB5EDF">
      <w:pPr>
        <w:pStyle w:val="ManualNumPar1"/>
        <w:rPr>
          <w:noProof/>
        </w:rPr>
      </w:pPr>
      <w:r>
        <w:rPr>
          <w:noProof/>
        </w:rPr>
        <w:t>2.</w:t>
      </w:r>
      <w:r>
        <w:rPr>
          <w:noProof/>
        </w:rPr>
        <w:tab/>
      </w:r>
      <w:r w:rsidRPr="00744DCA">
        <w:rPr>
          <w:noProof/>
        </w:rPr>
        <w:t>The Commission shall assess the application in line with the requirements laid down in this Regulation. The result of such assessment shall be communicated to the applicants who shall, if necessary, be invited to complete or amend the application.</w:t>
      </w:r>
    </w:p>
    <w:p w14:paraId="43CF9FA6" w14:textId="77777777" w:rsidR="00CB5EDF" w:rsidRPr="00744DCA" w:rsidRDefault="00CB5EDF">
      <w:pPr>
        <w:pStyle w:val="ManualNumPar1"/>
        <w:rPr>
          <w:noProof/>
        </w:rPr>
      </w:pPr>
      <w:r>
        <w:rPr>
          <w:noProof/>
        </w:rPr>
        <w:t>3.</w:t>
      </w:r>
      <w:r>
        <w:rPr>
          <w:noProof/>
        </w:rPr>
        <w:tab/>
      </w:r>
      <w:r w:rsidRPr="00744DCA">
        <w:rPr>
          <w:noProof/>
        </w:rPr>
        <w:t xml:space="preserve">The Commission shall, taking into account the results of the assessment referred to in paragraph 2 and in accordance with the procedure referred to in Article </w:t>
      </w:r>
      <w:r w:rsidR="006C03D5" w:rsidRPr="00744DCA">
        <w:rPr>
          <w:noProof/>
        </w:rPr>
        <w:t>5</w:t>
      </w:r>
      <w:r w:rsidR="0029410D" w:rsidRPr="00744DCA">
        <w:rPr>
          <w:noProof/>
        </w:rPr>
        <w:t>8</w:t>
      </w:r>
      <w:r w:rsidRPr="00744DCA">
        <w:rPr>
          <w:noProof/>
        </w:rPr>
        <w:t>(3), adopt an implementing act:</w:t>
      </w:r>
    </w:p>
    <w:p w14:paraId="0F2C883D" w14:textId="77777777" w:rsidR="00CB5EDF" w:rsidRPr="00744DCA" w:rsidRDefault="00CB5EDF" w:rsidP="00B2056B">
      <w:pPr>
        <w:pStyle w:val="Point1"/>
        <w:rPr>
          <w:noProof/>
        </w:rPr>
      </w:pPr>
      <w:r>
        <w:rPr>
          <w:noProof/>
        </w:rPr>
        <w:t>(a)</w:t>
      </w:r>
      <w:r>
        <w:rPr>
          <w:noProof/>
        </w:rPr>
        <w:tab/>
      </w:r>
      <w:r w:rsidRPr="00744DCA">
        <w:rPr>
          <w:noProof/>
        </w:rPr>
        <w:t xml:space="preserve">setting up the </w:t>
      </w:r>
      <w:r w:rsidR="000D6305" w:rsidRPr="00744DCA">
        <w:rPr>
          <w:noProof/>
        </w:rPr>
        <w:t>SEAP</w:t>
      </w:r>
      <w:r w:rsidRPr="00744DCA">
        <w:rPr>
          <w:noProof/>
        </w:rPr>
        <w:t xml:space="preserve"> after it has satisfied itself that the requirements laid down in this Regulation are met; or</w:t>
      </w:r>
    </w:p>
    <w:p w14:paraId="3A7332F9" w14:textId="77777777" w:rsidR="00CB5EDF" w:rsidRPr="00744DCA" w:rsidRDefault="00CB5EDF" w:rsidP="00B2056B">
      <w:pPr>
        <w:pStyle w:val="Point1"/>
        <w:rPr>
          <w:noProof/>
        </w:rPr>
      </w:pPr>
      <w:r>
        <w:rPr>
          <w:noProof/>
        </w:rPr>
        <w:t>(b)</w:t>
      </w:r>
      <w:r>
        <w:rPr>
          <w:noProof/>
        </w:rPr>
        <w:tab/>
      </w:r>
      <w:r w:rsidRPr="00744DCA">
        <w:rPr>
          <w:noProof/>
        </w:rPr>
        <w:t>reject the application if it concludes that the requirements laid down in this Regulation are not met, including in the absence of the declaration referred to in paragraph (1) (d).</w:t>
      </w:r>
    </w:p>
    <w:p w14:paraId="707757BD" w14:textId="77777777" w:rsidR="00CB5EDF" w:rsidRPr="00744DCA" w:rsidRDefault="00CB5EDF">
      <w:pPr>
        <w:pStyle w:val="ManualNumPar1"/>
        <w:rPr>
          <w:noProof/>
        </w:rPr>
      </w:pPr>
      <w:r>
        <w:rPr>
          <w:noProof/>
        </w:rPr>
        <w:t>4.</w:t>
      </w:r>
      <w:r>
        <w:rPr>
          <w:noProof/>
        </w:rPr>
        <w:tab/>
      </w:r>
      <w:r w:rsidRPr="00744DCA">
        <w:rPr>
          <w:noProof/>
        </w:rPr>
        <w:t>The decision on the application shall be notified to the applicants. In the case of a rejection, the decision shall be explained in clear and precise terms to the applicants.</w:t>
      </w:r>
    </w:p>
    <w:p w14:paraId="2D6DF355" w14:textId="77777777" w:rsidR="00CB5EDF" w:rsidRPr="00744DCA" w:rsidRDefault="00CB5EDF">
      <w:pPr>
        <w:pStyle w:val="ManualNumPar1"/>
        <w:rPr>
          <w:noProof/>
        </w:rPr>
      </w:pPr>
      <w:r>
        <w:rPr>
          <w:noProof/>
        </w:rPr>
        <w:t>5.</w:t>
      </w:r>
      <w:r>
        <w:rPr>
          <w:noProof/>
        </w:rPr>
        <w:tab/>
      </w:r>
      <w:r w:rsidRPr="00744DCA">
        <w:rPr>
          <w:noProof/>
        </w:rPr>
        <w:t xml:space="preserve">The decision setting up the </w:t>
      </w:r>
      <w:r w:rsidR="000D6305" w:rsidRPr="00744DCA">
        <w:rPr>
          <w:noProof/>
        </w:rPr>
        <w:t>SEAP</w:t>
      </w:r>
      <w:r w:rsidRPr="00744DCA">
        <w:rPr>
          <w:noProof/>
        </w:rPr>
        <w:t xml:space="preserve"> shall be published in the L series of the </w:t>
      </w:r>
      <w:r w:rsidRPr="00744DCA">
        <w:rPr>
          <w:i/>
          <w:noProof/>
        </w:rPr>
        <w:t>Official Journal of the European Union</w:t>
      </w:r>
      <w:r w:rsidRPr="00744DCA">
        <w:rPr>
          <w:noProof/>
        </w:rPr>
        <w:t>.</w:t>
      </w:r>
    </w:p>
    <w:p w14:paraId="6E1CDF84" w14:textId="77777777" w:rsidR="00CB5EDF" w:rsidRPr="00744DCA" w:rsidRDefault="00CB5EDF" w:rsidP="00CB5EDF">
      <w:pPr>
        <w:pStyle w:val="Titrearticle"/>
        <w:rPr>
          <w:noProof/>
        </w:rPr>
      </w:pPr>
      <w:r w:rsidRPr="00744DCA">
        <w:rPr>
          <w:noProof/>
        </w:rPr>
        <w:t xml:space="preserve">Article </w:t>
      </w:r>
      <w:r w:rsidR="00C0301B" w:rsidRPr="00744DCA">
        <w:rPr>
          <w:noProof/>
        </w:rPr>
        <w:t>2</w:t>
      </w:r>
      <w:r w:rsidR="003506A2" w:rsidRPr="00744DCA">
        <w:rPr>
          <w:noProof/>
        </w:rPr>
        <w:t>5</w:t>
      </w:r>
    </w:p>
    <w:p w14:paraId="64B7AA69" w14:textId="77777777" w:rsidR="00CB5EDF" w:rsidRPr="00744DCA" w:rsidRDefault="00CB5EDF" w:rsidP="00CB5EDF">
      <w:pPr>
        <w:pStyle w:val="Titrearticle"/>
        <w:rPr>
          <w:b/>
          <w:i w:val="0"/>
          <w:noProof/>
        </w:rPr>
      </w:pPr>
      <w:r w:rsidRPr="00744DCA">
        <w:rPr>
          <w:b/>
          <w:i w:val="0"/>
          <w:noProof/>
        </w:rPr>
        <w:t xml:space="preserve">Status and seat of a </w:t>
      </w:r>
      <w:r w:rsidR="000D6305" w:rsidRPr="00744DCA">
        <w:rPr>
          <w:b/>
          <w:i w:val="0"/>
          <w:noProof/>
        </w:rPr>
        <w:t>SEAP</w:t>
      </w:r>
    </w:p>
    <w:p w14:paraId="751167DE" w14:textId="77777777" w:rsidR="00CB5EDF" w:rsidRPr="00744DCA" w:rsidRDefault="00CB5EDF" w:rsidP="00B2056B">
      <w:pPr>
        <w:pStyle w:val="ManualNumPar1"/>
        <w:rPr>
          <w:noProof/>
        </w:rPr>
      </w:pPr>
      <w:r>
        <w:rPr>
          <w:noProof/>
        </w:rPr>
        <w:t>1.</w:t>
      </w:r>
      <w:r>
        <w:rPr>
          <w:noProof/>
        </w:rPr>
        <w:tab/>
      </w:r>
      <w:r w:rsidRPr="00744DCA">
        <w:rPr>
          <w:noProof/>
        </w:rPr>
        <w:t xml:space="preserve">A </w:t>
      </w:r>
      <w:r w:rsidR="000D6305" w:rsidRPr="00744DCA">
        <w:rPr>
          <w:noProof/>
        </w:rPr>
        <w:t>SEAP</w:t>
      </w:r>
      <w:r w:rsidRPr="00744DCA">
        <w:rPr>
          <w:noProof/>
        </w:rPr>
        <w:t xml:space="preserve"> shall have legal personality as from the date on which the decision setting up the </w:t>
      </w:r>
      <w:r w:rsidR="000D6305" w:rsidRPr="00744DCA">
        <w:rPr>
          <w:noProof/>
        </w:rPr>
        <w:t>SEAP</w:t>
      </w:r>
      <w:r w:rsidRPr="00744DCA">
        <w:rPr>
          <w:noProof/>
        </w:rPr>
        <w:t xml:space="preserve"> takes effect.</w:t>
      </w:r>
    </w:p>
    <w:p w14:paraId="37CA94CD" w14:textId="77777777" w:rsidR="00CB5EDF" w:rsidRPr="00744DCA" w:rsidRDefault="299C41F4">
      <w:pPr>
        <w:pStyle w:val="ManualNumPar1"/>
        <w:rPr>
          <w:noProof/>
        </w:rPr>
      </w:pPr>
      <w:r>
        <w:rPr>
          <w:noProof/>
        </w:rPr>
        <w:t>2.</w:t>
      </w:r>
      <w:r>
        <w:rPr>
          <w:noProof/>
        </w:rPr>
        <w:tab/>
      </w:r>
      <w:r w:rsidRPr="00744DCA">
        <w:rPr>
          <w:noProof/>
        </w:rPr>
        <w:t xml:space="preserve">A </w:t>
      </w:r>
      <w:r w:rsidR="253927CC" w:rsidRPr="00744DCA">
        <w:rPr>
          <w:noProof/>
        </w:rPr>
        <w:t>SEAP</w:t>
      </w:r>
      <w:r w:rsidRPr="00744DCA">
        <w:rPr>
          <w:noProof/>
        </w:rPr>
        <w:t xml:space="preserve"> shall have in each Member State the most extensive legal capacity accorded to legal entities under the law of that Member State. It may, in particular conclude contracts and be a party to legal proceedings. All Member State </w:t>
      </w:r>
      <w:r w:rsidR="00CB5EDF" w:rsidRPr="00744DCA">
        <w:rPr>
          <w:noProof/>
        </w:rPr>
        <w:t xml:space="preserve">national funding </w:t>
      </w:r>
      <w:r w:rsidRPr="00744DCA">
        <w:rPr>
          <w:noProof/>
        </w:rPr>
        <w:t xml:space="preserve">agencies </w:t>
      </w:r>
      <w:r w:rsidR="00854EF3" w:rsidRPr="00744DCA">
        <w:rPr>
          <w:noProof/>
        </w:rPr>
        <w:t xml:space="preserve">shall </w:t>
      </w:r>
      <w:r w:rsidRPr="00744DCA">
        <w:rPr>
          <w:noProof/>
        </w:rPr>
        <w:t xml:space="preserve">consider it (and </w:t>
      </w:r>
      <w:r w:rsidR="000304A2" w:rsidRPr="00744DCA">
        <w:rPr>
          <w:noProof/>
        </w:rPr>
        <w:t xml:space="preserve">its </w:t>
      </w:r>
      <w:r w:rsidRPr="00744DCA">
        <w:rPr>
          <w:noProof/>
        </w:rPr>
        <w:t xml:space="preserve">national nodes) </w:t>
      </w:r>
      <w:r w:rsidR="00854EF3" w:rsidRPr="00744DCA">
        <w:rPr>
          <w:noProof/>
        </w:rPr>
        <w:t xml:space="preserve">an </w:t>
      </w:r>
      <w:r w:rsidRPr="00744DCA">
        <w:rPr>
          <w:noProof/>
        </w:rPr>
        <w:t xml:space="preserve">eligible </w:t>
      </w:r>
      <w:r w:rsidR="009C010F" w:rsidRPr="00744DCA">
        <w:rPr>
          <w:noProof/>
        </w:rPr>
        <w:t xml:space="preserve">recipient </w:t>
      </w:r>
      <w:r w:rsidR="00044994" w:rsidRPr="00744DCA">
        <w:rPr>
          <w:noProof/>
        </w:rPr>
        <w:t>of national financial contributions</w:t>
      </w:r>
      <w:r w:rsidRPr="00744DCA">
        <w:rPr>
          <w:noProof/>
        </w:rPr>
        <w:t>.</w:t>
      </w:r>
    </w:p>
    <w:p w14:paraId="71BB5EB3" w14:textId="77777777" w:rsidR="00CB5EDF" w:rsidRPr="00744DCA" w:rsidRDefault="00CB5EDF">
      <w:pPr>
        <w:pStyle w:val="ManualNumPar1"/>
        <w:rPr>
          <w:noProof/>
        </w:rPr>
      </w:pPr>
      <w:r>
        <w:rPr>
          <w:noProof/>
        </w:rPr>
        <w:t>3.</w:t>
      </w:r>
      <w:r>
        <w:rPr>
          <w:noProof/>
        </w:rPr>
        <w:tab/>
      </w:r>
      <w:r w:rsidRPr="00744DCA">
        <w:rPr>
          <w:noProof/>
        </w:rPr>
        <w:t xml:space="preserve">A </w:t>
      </w:r>
      <w:r w:rsidR="000D6305" w:rsidRPr="00744DCA">
        <w:rPr>
          <w:noProof/>
        </w:rPr>
        <w:t>SEAP</w:t>
      </w:r>
      <w:r w:rsidRPr="00744DCA">
        <w:rPr>
          <w:noProof/>
        </w:rPr>
        <w:t xml:space="preserve"> shall have a statutory seat, which shall be located on the territory of a Member State.</w:t>
      </w:r>
    </w:p>
    <w:p w14:paraId="3C2CFE40" w14:textId="77777777" w:rsidR="00CB5EDF" w:rsidRPr="00744DCA" w:rsidRDefault="00CB5EDF" w:rsidP="00CB5EDF">
      <w:pPr>
        <w:pStyle w:val="Titrearticle"/>
        <w:rPr>
          <w:noProof/>
        </w:rPr>
      </w:pPr>
      <w:r w:rsidRPr="00744DCA">
        <w:rPr>
          <w:noProof/>
        </w:rPr>
        <w:t xml:space="preserve">Article </w:t>
      </w:r>
      <w:r w:rsidR="00C0301B" w:rsidRPr="00744DCA">
        <w:rPr>
          <w:noProof/>
        </w:rPr>
        <w:t>2</w:t>
      </w:r>
      <w:r w:rsidR="003506A2" w:rsidRPr="00744DCA">
        <w:rPr>
          <w:noProof/>
        </w:rPr>
        <w:t>6</w:t>
      </w:r>
    </w:p>
    <w:p w14:paraId="2522B598" w14:textId="77777777" w:rsidR="00CB5EDF" w:rsidRPr="00744DCA" w:rsidRDefault="00CB5EDF" w:rsidP="00CB5EDF">
      <w:pPr>
        <w:pStyle w:val="Titrearticle"/>
        <w:rPr>
          <w:b/>
          <w:i w:val="0"/>
          <w:noProof/>
        </w:rPr>
      </w:pPr>
      <w:r w:rsidRPr="00744DCA">
        <w:rPr>
          <w:b/>
          <w:i w:val="0"/>
          <w:noProof/>
        </w:rPr>
        <w:t>Requirements for membership</w:t>
      </w:r>
    </w:p>
    <w:p w14:paraId="3F9D419D" w14:textId="77777777" w:rsidR="00CB5EDF" w:rsidRPr="00744DCA" w:rsidRDefault="00CB5EDF" w:rsidP="00B2056B">
      <w:pPr>
        <w:pStyle w:val="ManualNumPar1"/>
        <w:rPr>
          <w:noProof/>
        </w:rPr>
      </w:pPr>
      <w:r>
        <w:rPr>
          <w:noProof/>
        </w:rPr>
        <w:t>1.</w:t>
      </w:r>
      <w:r>
        <w:rPr>
          <w:noProof/>
        </w:rPr>
        <w:tab/>
      </w:r>
      <w:r w:rsidRPr="00744DCA">
        <w:rPr>
          <w:noProof/>
        </w:rPr>
        <w:t xml:space="preserve">The following </w:t>
      </w:r>
      <w:r w:rsidR="0007176F" w:rsidRPr="00744DCA">
        <w:rPr>
          <w:noProof/>
        </w:rPr>
        <w:t>legal</w:t>
      </w:r>
      <w:r w:rsidRPr="00744DCA">
        <w:rPr>
          <w:noProof/>
        </w:rPr>
        <w:t xml:space="preserve"> entities may become members of a </w:t>
      </w:r>
      <w:r w:rsidR="000D6305" w:rsidRPr="00744DCA">
        <w:rPr>
          <w:noProof/>
        </w:rPr>
        <w:t>SEAP</w:t>
      </w:r>
      <w:r w:rsidRPr="00744DCA">
        <w:rPr>
          <w:noProof/>
        </w:rPr>
        <w:t xml:space="preserve">: </w:t>
      </w:r>
    </w:p>
    <w:p w14:paraId="0EEB031F" w14:textId="77777777" w:rsidR="00CB5EDF" w:rsidRPr="00744DCA" w:rsidRDefault="00CB5EDF" w:rsidP="00B2056B">
      <w:pPr>
        <w:pStyle w:val="Point1"/>
        <w:rPr>
          <w:noProof/>
        </w:rPr>
      </w:pPr>
      <w:r>
        <w:rPr>
          <w:noProof/>
        </w:rPr>
        <w:t>(a)</w:t>
      </w:r>
      <w:r>
        <w:rPr>
          <w:noProof/>
        </w:rPr>
        <w:tab/>
      </w:r>
      <w:r w:rsidRPr="00744DCA">
        <w:rPr>
          <w:noProof/>
        </w:rPr>
        <w:t xml:space="preserve">Member States; </w:t>
      </w:r>
    </w:p>
    <w:p w14:paraId="68E382FE" w14:textId="77777777" w:rsidR="00CB5EDF" w:rsidRPr="00744DCA" w:rsidRDefault="00A409D7" w:rsidP="00B2056B">
      <w:pPr>
        <w:pStyle w:val="Point1"/>
        <w:rPr>
          <w:noProof/>
        </w:rPr>
      </w:pPr>
      <w:r>
        <w:rPr>
          <w:noProof/>
        </w:rPr>
        <w:t>(b)</w:t>
      </w:r>
      <w:r>
        <w:rPr>
          <w:noProof/>
        </w:rPr>
        <w:tab/>
      </w:r>
      <w:r w:rsidRPr="00744DCA">
        <w:rPr>
          <w:noProof/>
        </w:rPr>
        <w:t>a</w:t>
      </w:r>
      <w:r w:rsidR="00CB5EDF" w:rsidRPr="00744DCA">
        <w:rPr>
          <w:noProof/>
        </w:rPr>
        <w:t>ssociated countries;</w:t>
      </w:r>
    </w:p>
    <w:p w14:paraId="7B253618" w14:textId="77777777" w:rsidR="00CB5EDF" w:rsidRPr="00744DCA" w:rsidRDefault="00CB5EDF" w:rsidP="00B2056B">
      <w:pPr>
        <w:pStyle w:val="Point1"/>
        <w:rPr>
          <w:noProof/>
        </w:rPr>
      </w:pPr>
      <w:r>
        <w:rPr>
          <w:noProof/>
        </w:rPr>
        <w:t>(c)</w:t>
      </w:r>
      <w:r>
        <w:rPr>
          <w:noProof/>
        </w:rPr>
        <w:tab/>
      </w:r>
      <w:r w:rsidRPr="00744DCA">
        <w:rPr>
          <w:noProof/>
        </w:rPr>
        <w:t>Ukraine.</w:t>
      </w:r>
    </w:p>
    <w:p w14:paraId="5D991F2B" w14:textId="77777777" w:rsidR="00CB5EDF" w:rsidRPr="00744DCA" w:rsidRDefault="00CB5EDF">
      <w:pPr>
        <w:pStyle w:val="ManualNumPar1"/>
        <w:rPr>
          <w:noProof/>
        </w:rPr>
      </w:pPr>
      <w:r>
        <w:rPr>
          <w:noProof/>
        </w:rPr>
        <w:t>2.</w:t>
      </w:r>
      <w:r>
        <w:rPr>
          <w:noProof/>
        </w:rPr>
        <w:tab/>
      </w:r>
      <w:r w:rsidRPr="00744DCA">
        <w:rPr>
          <w:noProof/>
        </w:rPr>
        <w:t>Member States</w:t>
      </w:r>
      <w:r w:rsidR="00E02A38" w:rsidRPr="00744DCA">
        <w:rPr>
          <w:noProof/>
        </w:rPr>
        <w:t>,</w:t>
      </w:r>
      <w:r w:rsidR="003D5D3A" w:rsidRPr="00744DCA">
        <w:rPr>
          <w:noProof/>
        </w:rPr>
        <w:t xml:space="preserve"> </w:t>
      </w:r>
      <w:r w:rsidRPr="00744DCA">
        <w:rPr>
          <w:noProof/>
        </w:rPr>
        <w:t xml:space="preserve">associated countries or Ukraine may join as members at any time after the establishment of the </w:t>
      </w:r>
      <w:r w:rsidR="000D6305" w:rsidRPr="00744DCA">
        <w:rPr>
          <w:noProof/>
        </w:rPr>
        <w:t>SEAP</w:t>
      </w:r>
      <w:r w:rsidRPr="00744DCA">
        <w:rPr>
          <w:noProof/>
        </w:rPr>
        <w:t xml:space="preserve"> on fair and reasonable terms specified in the Statutes </w:t>
      </w:r>
      <w:r w:rsidR="00A409D7" w:rsidRPr="00744DCA">
        <w:rPr>
          <w:noProof/>
        </w:rPr>
        <w:t>referred to in Article 2</w:t>
      </w:r>
      <w:r w:rsidR="0029410D" w:rsidRPr="00744DCA">
        <w:rPr>
          <w:noProof/>
        </w:rPr>
        <w:t>7</w:t>
      </w:r>
      <w:r w:rsidR="00A409D7" w:rsidRPr="00744DCA">
        <w:rPr>
          <w:noProof/>
        </w:rPr>
        <w:t xml:space="preserve"> </w:t>
      </w:r>
      <w:r w:rsidRPr="00744DCA">
        <w:rPr>
          <w:noProof/>
        </w:rPr>
        <w:t xml:space="preserve">and as observers without voting rights on conditions specified in the Statutes. </w:t>
      </w:r>
    </w:p>
    <w:p w14:paraId="564D968D" w14:textId="77777777" w:rsidR="00CB5EDF" w:rsidRPr="00744DCA" w:rsidRDefault="00CB5EDF">
      <w:pPr>
        <w:pStyle w:val="ManualNumPar1"/>
        <w:rPr>
          <w:noProof/>
        </w:rPr>
      </w:pPr>
      <w:r>
        <w:rPr>
          <w:noProof/>
        </w:rPr>
        <w:t>3.</w:t>
      </w:r>
      <w:r>
        <w:rPr>
          <w:noProof/>
        </w:rPr>
        <w:tab/>
      </w:r>
      <w:r w:rsidRPr="00744DCA">
        <w:rPr>
          <w:noProof/>
        </w:rPr>
        <w:t xml:space="preserve">A </w:t>
      </w:r>
      <w:r w:rsidR="000D6305" w:rsidRPr="00744DCA">
        <w:rPr>
          <w:noProof/>
        </w:rPr>
        <w:t>SEAP</w:t>
      </w:r>
      <w:r w:rsidRPr="00744DCA">
        <w:rPr>
          <w:noProof/>
        </w:rPr>
        <w:t xml:space="preserve"> may also cooperate with </w:t>
      </w:r>
      <w:r w:rsidR="005E0B62" w:rsidRPr="00744DCA">
        <w:rPr>
          <w:noProof/>
        </w:rPr>
        <w:t>non</w:t>
      </w:r>
      <w:r w:rsidR="001C1B7C" w:rsidRPr="00744DCA">
        <w:rPr>
          <w:noProof/>
        </w:rPr>
        <w:t>-</w:t>
      </w:r>
      <w:r w:rsidR="005E0B62" w:rsidRPr="00744DCA">
        <w:rPr>
          <w:noProof/>
        </w:rPr>
        <w:t>associated third countries or non</w:t>
      </w:r>
      <w:r w:rsidR="001C1B7C" w:rsidRPr="00744DCA">
        <w:rPr>
          <w:noProof/>
        </w:rPr>
        <w:t>-</w:t>
      </w:r>
      <w:r w:rsidR="005E0B62" w:rsidRPr="00744DCA">
        <w:rPr>
          <w:noProof/>
        </w:rPr>
        <w:t>associated third country entities</w:t>
      </w:r>
      <w:r w:rsidRPr="00744DCA">
        <w:rPr>
          <w:noProof/>
        </w:rPr>
        <w:t xml:space="preserve">, including by using the assets, infrastructure, facilities and resources, provided that this does not contravene the security and defence interests of the Union and its Member States. </w:t>
      </w:r>
    </w:p>
    <w:p w14:paraId="79958892" w14:textId="77777777" w:rsidR="00CB5EDF" w:rsidRPr="00744DCA" w:rsidRDefault="00CB5EDF" w:rsidP="00CB5EDF">
      <w:pPr>
        <w:pStyle w:val="Titrearticle"/>
        <w:rPr>
          <w:noProof/>
        </w:rPr>
      </w:pPr>
      <w:r w:rsidRPr="00744DCA">
        <w:rPr>
          <w:noProof/>
        </w:rPr>
        <w:t xml:space="preserve">Article </w:t>
      </w:r>
      <w:r w:rsidR="00C0301B" w:rsidRPr="00744DCA">
        <w:rPr>
          <w:noProof/>
        </w:rPr>
        <w:t>2</w:t>
      </w:r>
      <w:r w:rsidR="003506A2" w:rsidRPr="00744DCA">
        <w:rPr>
          <w:noProof/>
        </w:rPr>
        <w:t>7</w:t>
      </w:r>
    </w:p>
    <w:p w14:paraId="78A531B6" w14:textId="77777777" w:rsidR="00CB5EDF" w:rsidRPr="00744DCA" w:rsidRDefault="00CB5EDF" w:rsidP="00CB5EDF">
      <w:pPr>
        <w:pStyle w:val="Titrearticle"/>
        <w:rPr>
          <w:b/>
          <w:noProof/>
        </w:rPr>
      </w:pPr>
      <w:r w:rsidRPr="00744DCA">
        <w:rPr>
          <w:b/>
          <w:i w:val="0"/>
          <w:noProof/>
        </w:rPr>
        <w:t>Statutes</w:t>
      </w:r>
    </w:p>
    <w:p w14:paraId="747109E0" w14:textId="77777777" w:rsidR="00CB5EDF" w:rsidRPr="00744DCA" w:rsidRDefault="00CB5EDF" w:rsidP="00B2056B">
      <w:pPr>
        <w:pStyle w:val="ManualNumPar1"/>
        <w:rPr>
          <w:noProof/>
        </w:rPr>
      </w:pPr>
      <w:r>
        <w:rPr>
          <w:noProof/>
        </w:rPr>
        <w:t>1.</w:t>
      </w:r>
      <w:r>
        <w:rPr>
          <w:noProof/>
        </w:rPr>
        <w:tab/>
      </w:r>
      <w:r w:rsidRPr="00744DCA">
        <w:rPr>
          <w:noProof/>
        </w:rPr>
        <w:t xml:space="preserve">The Statutes of a </w:t>
      </w:r>
      <w:r w:rsidR="000D6305" w:rsidRPr="00744DCA">
        <w:rPr>
          <w:noProof/>
        </w:rPr>
        <w:t>SEAP</w:t>
      </w:r>
      <w:r w:rsidRPr="00744DCA">
        <w:rPr>
          <w:noProof/>
        </w:rPr>
        <w:t xml:space="preserve"> shall contain at least the following: </w:t>
      </w:r>
    </w:p>
    <w:p w14:paraId="2F94D2D5" w14:textId="77777777" w:rsidR="00CB5EDF" w:rsidRPr="00744DCA" w:rsidRDefault="00CB5EDF" w:rsidP="00B2056B">
      <w:pPr>
        <w:pStyle w:val="Point1"/>
        <w:rPr>
          <w:noProof/>
        </w:rPr>
      </w:pPr>
      <w:r>
        <w:rPr>
          <w:noProof/>
        </w:rPr>
        <w:t>(a)</w:t>
      </w:r>
      <w:r>
        <w:rPr>
          <w:noProof/>
        </w:rPr>
        <w:tab/>
      </w:r>
      <w:r w:rsidRPr="00744DCA">
        <w:rPr>
          <w:noProof/>
        </w:rPr>
        <w:t xml:space="preserve">a list of members, observers and, where applicable, of </w:t>
      </w:r>
      <w:r w:rsidR="0049340E" w:rsidRPr="00744DCA">
        <w:rPr>
          <w:noProof/>
        </w:rPr>
        <w:t>legal</w:t>
      </w:r>
      <w:r w:rsidRPr="00744DCA">
        <w:rPr>
          <w:noProof/>
        </w:rPr>
        <w:t xml:space="preserve"> entities representing members and the conditions of and the procedure for changes in membership and representation in compliance with Article 2</w:t>
      </w:r>
      <w:r w:rsidR="005D35F8" w:rsidRPr="00744DCA">
        <w:rPr>
          <w:noProof/>
        </w:rPr>
        <w:t>6</w:t>
      </w:r>
      <w:r w:rsidRPr="00744DCA">
        <w:rPr>
          <w:noProof/>
        </w:rPr>
        <w:t>;</w:t>
      </w:r>
    </w:p>
    <w:p w14:paraId="7B6903FA" w14:textId="77777777" w:rsidR="00CB5EDF" w:rsidRPr="00744DCA" w:rsidRDefault="00CB5EDF" w:rsidP="003506AF">
      <w:pPr>
        <w:pStyle w:val="Point1"/>
        <w:rPr>
          <w:noProof/>
        </w:rPr>
      </w:pPr>
      <w:r>
        <w:rPr>
          <w:noProof/>
        </w:rPr>
        <w:t>(b)</w:t>
      </w:r>
      <w:r>
        <w:rPr>
          <w:noProof/>
        </w:rPr>
        <w:tab/>
      </w:r>
      <w:r w:rsidRPr="00744DCA">
        <w:rPr>
          <w:noProof/>
        </w:rPr>
        <w:t xml:space="preserve">the specific objective, the tasks and activities of the </w:t>
      </w:r>
      <w:r w:rsidR="000D6305" w:rsidRPr="00744DCA">
        <w:rPr>
          <w:noProof/>
        </w:rPr>
        <w:t>SEAP</w:t>
      </w:r>
      <w:r w:rsidRPr="00744DCA">
        <w:rPr>
          <w:noProof/>
        </w:rPr>
        <w:t xml:space="preserve">, in compliance with Article </w:t>
      </w:r>
      <w:r w:rsidR="00E94E50" w:rsidRPr="00744DCA">
        <w:rPr>
          <w:noProof/>
        </w:rPr>
        <w:t>2</w:t>
      </w:r>
      <w:r w:rsidR="005D35F8" w:rsidRPr="00744DCA">
        <w:rPr>
          <w:noProof/>
        </w:rPr>
        <w:t>3</w:t>
      </w:r>
      <w:r w:rsidRPr="00744DCA">
        <w:rPr>
          <w:noProof/>
        </w:rPr>
        <w:t>;</w:t>
      </w:r>
    </w:p>
    <w:p w14:paraId="06CA7C6B" w14:textId="77777777" w:rsidR="00C2251B" w:rsidRPr="00744DCA" w:rsidRDefault="002B4380" w:rsidP="003506AF">
      <w:pPr>
        <w:pStyle w:val="Point1"/>
        <w:rPr>
          <w:noProof/>
        </w:rPr>
      </w:pPr>
      <w:r>
        <w:rPr>
          <w:noProof/>
        </w:rPr>
        <w:t>(c)</w:t>
      </w:r>
      <w:r>
        <w:rPr>
          <w:noProof/>
        </w:rPr>
        <w:tab/>
      </w:r>
      <w:r w:rsidRPr="00744DCA">
        <w:rPr>
          <w:noProof/>
        </w:rPr>
        <w:tab/>
      </w:r>
      <w:r w:rsidR="3AC9DC88" w:rsidRPr="00744DCA">
        <w:rPr>
          <w:noProof/>
        </w:rPr>
        <w:t>a list of the jointly procured defence equipment, technology and/or service</w:t>
      </w:r>
      <w:r w:rsidR="00A409D7" w:rsidRPr="00744DCA">
        <w:rPr>
          <w:noProof/>
        </w:rPr>
        <w:t>s</w:t>
      </w:r>
      <w:r w:rsidR="3AC9DC88" w:rsidRPr="00744DCA">
        <w:rPr>
          <w:noProof/>
        </w:rPr>
        <w:t xml:space="preserve"> which </w:t>
      </w:r>
      <w:r w:rsidR="00A409D7" w:rsidRPr="00744DCA">
        <w:rPr>
          <w:noProof/>
        </w:rPr>
        <w:t xml:space="preserve">are to </w:t>
      </w:r>
      <w:r w:rsidR="3AC9DC88" w:rsidRPr="00744DCA">
        <w:rPr>
          <w:noProof/>
        </w:rPr>
        <w:t>be jointly owned, if any</w:t>
      </w:r>
      <w:r w:rsidR="1FBF2FDC" w:rsidRPr="00744DCA">
        <w:rPr>
          <w:noProof/>
        </w:rPr>
        <w:t>,</w:t>
      </w:r>
      <w:r w:rsidR="1FBF2FDC" w:rsidRPr="00744DCA">
        <w:rPr>
          <w:rFonts w:asciiTheme="minorHAnsi" w:hAnsiTheme="minorHAnsi" w:cstheme="minorBidi"/>
          <w:noProof/>
          <w:sz w:val="22"/>
          <w:lang w:val="en-IE"/>
        </w:rPr>
        <w:t xml:space="preserve"> </w:t>
      </w:r>
      <w:r w:rsidR="1FBF2FDC" w:rsidRPr="00744DCA">
        <w:rPr>
          <w:noProof/>
          <w:lang w:val="en-IE"/>
        </w:rPr>
        <w:t>and eligible for an exemption from VAT and/or Excise Duties</w:t>
      </w:r>
      <w:r w:rsidR="3AC9DC88" w:rsidRPr="00744DCA">
        <w:rPr>
          <w:noProof/>
        </w:rPr>
        <w:t>;</w:t>
      </w:r>
    </w:p>
    <w:p w14:paraId="2113CC3F" w14:textId="77777777" w:rsidR="00CB5EDF" w:rsidRPr="00744DCA" w:rsidRDefault="299C41F4" w:rsidP="003506AF">
      <w:pPr>
        <w:pStyle w:val="Point1"/>
        <w:rPr>
          <w:noProof/>
        </w:rPr>
      </w:pPr>
      <w:r>
        <w:rPr>
          <w:noProof/>
        </w:rPr>
        <w:t>(d)</w:t>
      </w:r>
      <w:r>
        <w:rPr>
          <w:noProof/>
        </w:rPr>
        <w:tab/>
      </w:r>
      <w:r w:rsidRPr="00744DCA">
        <w:rPr>
          <w:noProof/>
        </w:rPr>
        <w:t xml:space="preserve">the statutory seat </w:t>
      </w:r>
      <w:r w:rsidR="00A409D7" w:rsidRPr="00744DCA">
        <w:rPr>
          <w:noProof/>
        </w:rPr>
        <w:t xml:space="preserve">of the SEAP </w:t>
      </w:r>
      <w:r w:rsidRPr="00744DCA">
        <w:rPr>
          <w:noProof/>
        </w:rPr>
        <w:t xml:space="preserve">in compliance with Article </w:t>
      </w:r>
      <w:r w:rsidR="00640992" w:rsidRPr="00744DCA">
        <w:rPr>
          <w:noProof/>
        </w:rPr>
        <w:t>2</w:t>
      </w:r>
      <w:r w:rsidR="005D35F8" w:rsidRPr="00744DCA">
        <w:rPr>
          <w:noProof/>
        </w:rPr>
        <w:t>5</w:t>
      </w:r>
      <w:r w:rsidRPr="00744DCA">
        <w:rPr>
          <w:noProof/>
        </w:rPr>
        <w:t>;</w:t>
      </w:r>
    </w:p>
    <w:p w14:paraId="0F8F4948" w14:textId="77777777" w:rsidR="00CB5EDF" w:rsidRPr="00744DCA" w:rsidRDefault="299C41F4" w:rsidP="003506AF">
      <w:pPr>
        <w:pStyle w:val="Point1"/>
        <w:rPr>
          <w:noProof/>
        </w:rPr>
      </w:pPr>
      <w:r>
        <w:rPr>
          <w:noProof/>
        </w:rPr>
        <w:t>(e)</w:t>
      </w:r>
      <w:r>
        <w:rPr>
          <w:noProof/>
        </w:rPr>
        <w:tab/>
      </w:r>
      <w:r w:rsidRPr="00744DCA">
        <w:rPr>
          <w:noProof/>
        </w:rPr>
        <w:t xml:space="preserve">the name of the </w:t>
      </w:r>
      <w:r w:rsidR="253927CC" w:rsidRPr="00744DCA">
        <w:rPr>
          <w:noProof/>
        </w:rPr>
        <w:t>SEAP</w:t>
      </w:r>
      <w:r w:rsidRPr="00744DCA">
        <w:rPr>
          <w:noProof/>
        </w:rPr>
        <w:t>;</w:t>
      </w:r>
    </w:p>
    <w:p w14:paraId="06FB1212" w14:textId="77777777" w:rsidR="00CB5EDF" w:rsidRPr="00744DCA" w:rsidRDefault="299C41F4" w:rsidP="003506AF">
      <w:pPr>
        <w:pStyle w:val="Point1"/>
        <w:rPr>
          <w:noProof/>
        </w:rPr>
      </w:pPr>
      <w:r>
        <w:rPr>
          <w:noProof/>
        </w:rPr>
        <w:t>(f)</w:t>
      </w:r>
      <w:r>
        <w:rPr>
          <w:noProof/>
        </w:rPr>
        <w:tab/>
      </w:r>
      <w:r w:rsidRPr="00744DCA">
        <w:rPr>
          <w:noProof/>
        </w:rPr>
        <w:t>the duration, and the procedure for the winding-up</w:t>
      </w:r>
      <w:r w:rsidR="00A409D7" w:rsidRPr="00744DCA">
        <w:rPr>
          <w:noProof/>
        </w:rPr>
        <w:t xml:space="preserve"> of the SEAP</w:t>
      </w:r>
      <w:r w:rsidRPr="00744DCA">
        <w:rPr>
          <w:noProof/>
        </w:rPr>
        <w:t xml:space="preserve"> in compliance with Article </w:t>
      </w:r>
      <w:r w:rsidR="00640992" w:rsidRPr="00744DCA">
        <w:rPr>
          <w:noProof/>
        </w:rPr>
        <w:t>3</w:t>
      </w:r>
      <w:r w:rsidR="005D35F8" w:rsidRPr="00744DCA">
        <w:rPr>
          <w:noProof/>
        </w:rPr>
        <w:t>2</w:t>
      </w:r>
      <w:r w:rsidRPr="00744DCA">
        <w:rPr>
          <w:noProof/>
        </w:rPr>
        <w:t xml:space="preserve">; </w:t>
      </w:r>
    </w:p>
    <w:p w14:paraId="68F0F7E1" w14:textId="77777777" w:rsidR="00CB5EDF" w:rsidRPr="00744DCA" w:rsidRDefault="299C41F4" w:rsidP="003506AF">
      <w:pPr>
        <w:pStyle w:val="Point1"/>
        <w:rPr>
          <w:noProof/>
        </w:rPr>
      </w:pPr>
      <w:r>
        <w:rPr>
          <w:noProof/>
        </w:rPr>
        <w:t>(g)</w:t>
      </w:r>
      <w:r>
        <w:rPr>
          <w:noProof/>
        </w:rPr>
        <w:tab/>
      </w:r>
      <w:r w:rsidRPr="00744DCA">
        <w:rPr>
          <w:noProof/>
        </w:rPr>
        <w:t xml:space="preserve">the liability regime, in compliance with Article </w:t>
      </w:r>
      <w:r w:rsidR="005D35F8" w:rsidRPr="00744DCA">
        <w:rPr>
          <w:noProof/>
        </w:rPr>
        <w:t>30</w:t>
      </w:r>
      <w:r w:rsidRPr="00744DCA">
        <w:rPr>
          <w:noProof/>
        </w:rPr>
        <w:t>;</w:t>
      </w:r>
    </w:p>
    <w:p w14:paraId="7F626D8B" w14:textId="77777777" w:rsidR="00CB5EDF" w:rsidRPr="00744DCA" w:rsidRDefault="299C41F4" w:rsidP="003506AF">
      <w:pPr>
        <w:pStyle w:val="Point1"/>
        <w:rPr>
          <w:noProof/>
        </w:rPr>
      </w:pPr>
      <w:r>
        <w:rPr>
          <w:noProof/>
        </w:rPr>
        <w:t>(h)</w:t>
      </w:r>
      <w:r>
        <w:rPr>
          <w:noProof/>
        </w:rPr>
        <w:tab/>
      </w:r>
      <w:r w:rsidRPr="00744DCA">
        <w:rPr>
          <w:noProof/>
        </w:rPr>
        <w:t xml:space="preserve">the rights and obligations of the members, including the obligation to make contributions to a balanced budget and voting rights; </w:t>
      </w:r>
    </w:p>
    <w:p w14:paraId="7E116288" w14:textId="77777777" w:rsidR="00CB5EDF" w:rsidRPr="00744DCA" w:rsidRDefault="299C41F4" w:rsidP="003506AF">
      <w:pPr>
        <w:pStyle w:val="Point1"/>
        <w:rPr>
          <w:noProof/>
        </w:rPr>
      </w:pPr>
      <w:r>
        <w:rPr>
          <w:noProof/>
        </w:rPr>
        <w:t>(i)</w:t>
      </w:r>
      <w:r>
        <w:rPr>
          <w:noProof/>
        </w:rPr>
        <w:tab/>
      </w:r>
      <w:r w:rsidRPr="00744DCA">
        <w:rPr>
          <w:noProof/>
        </w:rPr>
        <w:t xml:space="preserve">the bodies of the members, their roles and responsibilities and the manner in which they are constituted and in which they decide, including upon the amendment of the Statutes, in compliance with Articles </w:t>
      </w:r>
      <w:r w:rsidR="00334E83" w:rsidRPr="00744DCA">
        <w:rPr>
          <w:noProof/>
        </w:rPr>
        <w:t>2</w:t>
      </w:r>
      <w:r w:rsidR="005D35F8" w:rsidRPr="00744DCA">
        <w:rPr>
          <w:noProof/>
        </w:rPr>
        <w:t>8</w:t>
      </w:r>
      <w:r w:rsidRPr="00744DCA">
        <w:rPr>
          <w:noProof/>
        </w:rPr>
        <w:t xml:space="preserve">, </w:t>
      </w:r>
    </w:p>
    <w:p w14:paraId="7BFDF11E" w14:textId="77777777" w:rsidR="00CB5EDF" w:rsidRPr="00744DCA" w:rsidRDefault="299C41F4" w:rsidP="003506AF">
      <w:pPr>
        <w:pStyle w:val="Point1"/>
        <w:rPr>
          <w:noProof/>
        </w:rPr>
      </w:pPr>
      <w:r>
        <w:rPr>
          <w:noProof/>
        </w:rPr>
        <w:t>(j)</w:t>
      </w:r>
      <w:r>
        <w:rPr>
          <w:noProof/>
        </w:rPr>
        <w:tab/>
      </w:r>
      <w:r w:rsidRPr="00744DCA">
        <w:rPr>
          <w:noProof/>
        </w:rPr>
        <w:t>the identification of the working language(s)</w:t>
      </w:r>
      <w:r w:rsidR="00A409D7" w:rsidRPr="00744DCA">
        <w:rPr>
          <w:noProof/>
        </w:rPr>
        <w:t xml:space="preserve"> of the SEAP</w:t>
      </w:r>
      <w:r w:rsidRPr="00744DCA">
        <w:rPr>
          <w:noProof/>
        </w:rPr>
        <w:t>;</w:t>
      </w:r>
    </w:p>
    <w:p w14:paraId="5817F386" w14:textId="77777777" w:rsidR="00CB5EDF" w:rsidRPr="00744DCA" w:rsidRDefault="299C41F4" w:rsidP="003506AF">
      <w:pPr>
        <w:pStyle w:val="Point1"/>
        <w:rPr>
          <w:noProof/>
        </w:rPr>
      </w:pPr>
      <w:r>
        <w:rPr>
          <w:noProof/>
        </w:rPr>
        <w:t>(k)</w:t>
      </w:r>
      <w:r>
        <w:rPr>
          <w:noProof/>
        </w:rPr>
        <w:tab/>
      </w:r>
      <w:r w:rsidRPr="00744DCA">
        <w:rPr>
          <w:noProof/>
        </w:rPr>
        <w:t>references to rules implementing the Statutes;</w:t>
      </w:r>
    </w:p>
    <w:p w14:paraId="29E63D9D" w14:textId="77777777" w:rsidR="00CB5EDF" w:rsidRPr="00744DCA" w:rsidRDefault="299C41F4" w:rsidP="003506AF">
      <w:pPr>
        <w:pStyle w:val="Point1"/>
        <w:rPr>
          <w:noProof/>
        </w:rPr>
      </w:pPr>
      <w:r>
        <w:rPr>
          <w:noProof/>
        </w:rPr>
        <w:t>(l)</w:t>
      </w:r>
      <w:r>
        <w:rPr>
          <w:noProof/>
        </w:rPr>
        <w:tab/>
      </w:r>
      <w:r w:rsidRPr="00744DCA">
        <w:rPr>
          <w:noProof/>
        </w:rPr>
        <w:t>the security policy for handling classified information.</w:t>
      </w:r>
    </w:p>
    <w:p w14:paraId="00D67306" w14:textId="77777777" w:rsidR="00CB5EDF" w:rsidRPr="00744DCA" w:rsidRDefault="00CB5EDF" w:rsidP="00CB5EDF">
      <w:pPr>
        <w:pStyle w:val="ManualNumPar1"/>
        <w:rPr>
          <w:noProof/>
        </w:rPr>
      </w:pPr>
      <w:r>
        <w:rPr>
          <w:noProof/>
        </w:rPr>
        <w:t>2.</w:t>
      </w:r>
      <w:r>
        <w:rPr>
          <w:noProof/>
        </w:rPr>
        <w:tab/>
      </w:r>
      <w:r w:rsidRPr="00744DCA">
        <w:rPr>
          <w:noProof/>
        </w:rPr>
        <w:t xml:space="preserve">In addition, where the </w:t>
      </w:r>
      <w:r w:rsidR="00A409D7" w:rsidRPr="00744DCA">
        <w:rPr>
          <w:noProof/>
        </w:rPr>
        <w:t xml:space="preserve">members </w:t>
      </w:r>
      <w:r w:rsidRPr="00744DCA">
        <w:rPr>
          <w:noProof/>
        </w:rPr>
        <w:t xml:space="preserve">of a </w:t>
      </w:r>
      <w:r w:rsidR="000D6305" w:rsidRPr="00744DCA">
        <w:rPr>
          <w:noProof/>
        </w:rPr>
        <w:t>SEAP</w:t>
      </w:r>
      <w:r w:rsidRPr="00744DCA">
        <w:rPr>
          <w:noProof/>
        </w:rPr>
        <w:t xml:space="preserve"> decide to use</w:t>
      </w:r>
      <w:r w:rsidR="00B32338" w:rsidRPr="00744DCA">
        <w:rPr>
          <w:noProof/>
        </w:rPr>
        <w:t>/manage a Defence Industrial Readiness Pool referred to in Article 14(1), point (b),</w:t>
      </w:r>
      <w:r w:rsidRPr="00744DCA">
        <w:rPr>
          <w:noProof/>
        </w:rPr>
        <w:t xml:space="preserve"> the statutes shall include the rules governing the management of a Defence Industrial Readiness Pool referred to in Article 14(1), </w:t>
      </w:r>
      <w:r w:rsidR="00E475E6" w:rsidRPr="00744DCA">
        <w:rPr>
          <w:noProof/>
        </w:rPr>
        <w:t>point (b)</w:t>
      </w:r>
      <w:r w:rsidRPr="00744DCA">
        <w:rPr>
          <w:noProof/>
        </w:rPr>
        <w:t>, including, where relevant, a common approach to export.</w:t>
      </w:r>
    </w:p>
    <w:p w14:paraId="3E076F7E" w14:textId="77777777" w:rsidR="00CB5EDF" w:rsidRPr="00744DCA" w:rsidRDefault="00CB5EDF" w:rsidP="00CB5EDF">
      <w:pPr>
        <w:pStyle w:val="Titrearticle"/>
        <w:rPr>
          <w:noProof/>
        </w:rPr>
      </w:pPr>
      <w:r w:rsidRPr="00744DCA">
        <w:rPr>
          <w:noProof/>
        </w:rPr>
        <w:t xml:space="preserve">Article </w:t>
      </w:r>
      <w:r w:rsidR="00C0301B" w:rsidRPr="00744DCA">
        <w:rPr>
          <w:noProof/>
        </w:rPr>
        <w:t>2</w:t>
      </w:r>
      <w:r w:rsidR="003506A2" w:rsidRPr="00744DCA">
        <w:rPr>
          <w:noProof/>
        </w:rPr>
        <w:t>8</w:t>
      </w:r>
    </w:p>
    <w:p w14:paraId="3E4D0519" w14:textId="77777777" w:rsidR="00CB5EDF" w:rsidRPr="00744DCA" w:rsidRDefault="00CB5EDF" w:rsidP="00CB5EDF">
      <w:pPr>
        <w:pStyle w:val="Titrearticle"/>
        <w:rPr>
          <w:b/>
          <w:i w:val="0"/>
          <w:noProof/>
        </w:rPr>
      </w:pPr>
      <w:r w:rsidRPr="00744DCA">
        <w:rPr>
          <w:b/>
          <w:i w:val="0"/>
          <w:noProof/>
        </w:rPr>
        <w:t xml:space="preserve">Amendment of the </w:t>
      </w:r>
      <w:r w:rsidR="003872C7" w:rsidRPr="00744DCA">
        <w:rPr>
          <w:b/>
          <w:i w:val="0"/>
          <w:noProof/>
        </w:rPr>
        <w:t>Statutes</w:t>
      </w:r>
    </w:p>
    <w:p w14:paraId="2BC96A99" w14:textId="77777777" w:rsidR="00CB5EDF" w:rsidRPr="00744DCA" w:rsidRDefault="00CB5EDF" w:rsidP="00B2056B">
      <w:pPr>
        <w:pStyle w:val="ManualNumPar1"/>
        <w:rPr>
          <w:noProof/>
        </w:rPr>
      </w:pPr>
      <w:r>
        <w:rPr>
          <w:noProof/>
        </w:rPr>
        <w:t>1.</w:t>
      </w:r>
      <w:r>
        <w:rPr>
          <w:noProof/>
        </w:rPr>
        <w:tab/>
      </w:r>
      <w:r w:rsidRPr="00744DCA">
        <w:rPr>
          <w:noProof/>
        </w:rPr>
        <w:t xml:space="preserve">Any amendment of the Statutes concerning the matters referred to in Article </w:t>
      </w:r>
      <w:r w:rsidR="00F7439D" w:rsidRPr="00744DCA">
        <w:rPr>
          <w:noProof/>
        </w:rPr>
        <w:t>2</w:t>
      </w:r>
      <w:r w:rsidR="00F207C3" w:rsidRPr="00744DCA">
        <w:rPr>
          <w:noProof/>
        </w:rPr>
        <w:t>7</w:t>
      </w:r>
      <w:r w:rsidRPr="00744DCA">
        <w:rPr>
          <w:noProof/>
        </w:rPr>
        <w:t>(1)</w:t>
      </w:r>
      <w:r w:rsidR="001F7C74" w:rsidRPr="00744DCA">
        <w:rPr>
          <w:noProof/>
        </w:rPr>
        <w:t>, points (a) to (h),</w:t>
      </w:r>
      <w:r w:rsidRPr="00744DCA">
        <w:rPr>
          <w:noProof/>
        </w:rPr>
        <w:t xml:space="preserve"> shall be submitted to the Commission by the </w:t>
      </w:r>
      <w:r w:rsidR="000D6305" w:rsidRPr="00744DCA">
        <w:rPr>
          <w:noProof/>
        </w:rPr>
        <w:t>SEAP</w:t>
      </w:r>
      <w:r w:rsidRPr="00744DCA">
        <w:rPr>
          <w:noProof/>
        </w:rPr>
        <w:t xml:space="preserve"> for approval. The Commission shall apply Articles </w:t>
      </w:r>
      <w:r w:rsidR="00F7439D" w:rsidRPr="00744DCA">
        <w:rPr>
          <w:noProof/>
        </w:rPr>
        <w:t>2</w:t>
      </w:r>
      <w:r w:rsidR="00F207C3" w:rsidRPr="00744DCA">
        <w:rPr>
          <w:noProof/>
        </w:rPr>
        <w:t>4</w:t>
      </w:r>
      <w:r w:rsidRPr="00744DCA">
        <w:rPr>
          <w:noProof/>
        </w:rPr>
        <w:t xml:space="preserve">(2), </w:t>
      </w:r>
      <w:r w:rsidRPr="00744DCA">
        <w:rPr>
          <w:i/>
          <w:noProof/>
        </w:rPr>
        <w:t>mutatis mutandis</w:t>
      </w:r>
      <w:r w:rsidRPr="00744DCA">
        <w:rPr>
          <w:noProof/>
        </w:rPr>
        <w:t>.</w:t>
      </w:r>
    </w:p>
    <w:p w14:paraId="690B333D" w14:textId="77777777" w:rsidR="00CB5EDF" w:rsidRPr="00744DCA" w:rsidRDefault="00CB5EDF">
      <w:pPr>
        <w:pStyle w:val="ManualNumPar1"/>
        <w:rPr>
          <w:noProof/>
        </w:rPr>
      </w:pPr>
      <w:r>
        <w:rPr>
          <w:noProof/>
        </w:rPr>
        <w:t>2.</w:t>
      </w:r>
      <w:r>
        <w:rPr>
          <w:noProof/>
        </w:rPr>
        <w:tab/>
      </w:r>
      <w:r w:rsidRPr="00744DCA">
        <w:rPr>
          <w:noProof/>
        </w:rPr>
        <w:t xml:space="preserve">Any amendment of the Statutes other than that referred to in paragraph 1 shall be submitted to the Commission by the </w:t>
      </w:r>
      <w:r w:rsidR="000D6305" w:rsidRPr="00744DCA">
        <w:rPr>
          <w:noProof/>
        </w:rPr>
        <w:t>SEAP</w:t>
      </w:r>
      <w:r w:rsidRPr="00744DCA">
        <w:rPr>
          <w:noProof/>
        </w:rPr>
        <w:t xml:space="preserve"> within 10 days after its adoption.</w:t>
      </w:r>
    </w:p>
    <w:p w14:paraId="6DB9AC2F" w14:textId="77777777" w:rsidR="00CB5EDF" w:rsidRPr="00744DCA" w:rsidRDefault="00CB5EDF">
      <w:pPr>
        <w:pStyle w:val="ManualNumPar1"/>
        <w:rPr>
          <w:noProof/>
        </w:rPr>
      </w:pPr>
      <w:r>
        <w:rPr>
          <w:noProof/>
        </w:rPr>
        <w:t>3.</w:t>
      </w:r>
      <w:r>
        <w:rPr>
          <w:noProof/>
        </w:rPr>
        <w:tab/>
      </w:r>
      <w:r w:rsidRPr="00744DCA">
        <w:rPr>
          <w:noProof/>
        </w:rPr>
        <w:t>The Commission may raise an objection to amendment</w:t>
      </w:r>
      <w:r w:rsidR="00A42C95" w:rsidRPr="00744DCA">
        <w:rPr>
          <w:noProof/>
        </w:rPr>
        <w:t>s</w:t>
      </w:r>
      <w:r w:rsidRPr="00744DCA">
        <w:rPr>
          <w:noProof/>
        </w:rPr>
        <w:t xml:space="preserve"> </w:t>
      </w:r>
      <w:r w:rsidR="00652BC3" w:rsidRPr="00744DCA">
        <w:rPr>
          <w:noProof/>
        </w:rPr>
        <w:t xml:space="preserve">referred to in paragraph 1 </w:t>
      </w:r>
      <w:r w:rsidRPr="00744DCA">
        <w:rPr>
          <w:noProof/>
        </w:rPr>
        <w:t>within 60 days from the submission giving reasons why the amendment does not meet the requirements of this Regulation.</w:t>
      </w:r>
    </w:p>
    <w:p w14:paraId="070F7F0A" w14:textId="77777777" w:rsidR="00CB5EDF" w:rsidRPr="00744DCA" w:rsidRDefault="00CB5EDF">
      <w:pPr>
        <w:pStyle w:val="ManualNumPar1"/>
        <w:rPr>
          <w:noProof/>
        </w:rPr>
      </w:pPr>
      <w:r>
        <w:rPr>
          <w:noProof/>
        </w:rPr>
        <w:t>4.</w:t>
      </w:r>
      <w:r>
        <w:rPr>
          <w:noProof/>
        </w:rPr>
        <w:tab/>
      </w:r>
      <w:r w:rsidRPr="00744DCA">
        <w:rPr>
          <w:noProof/>
        </w:rPr>
        <w:t>The amendment shall not take effect before the period for objecting has expired or has been waived by the Commission or before an objection raised has been lifted.</w:t>
      </w:r>
    </w:p>
    <w:p w14:paraId="78894EC3" w14:textId="77777777" w:rsidR="00CB5EDF" w:rsidRPr="00744DCA" w:rsidRDefault="00CB5EDF">
      <w:pPr>
        <w:pStyle w:val="ManualNumPar1"/>
        <w:rPr>
          <w:noProof/>
        </w:rPr>
      </w:pPr>
      <w:r>
        <w:rPr>
          <w:noProof/>
        </w:rPr>
        <w:t>5.</w:t>
      </w:r>
      <w:r>
        <w:rPr>
          <w:noProof/>
        </w:rPr>
        <w:tab/>
      </w:r>
      <w:r w:rsidRPr="00744DCA">
        <w:rPr>
          <w:noProof/>
        </w:rPr>
        <w:t>The application for the amendment shall contain the following:</w:t>
      </w:r>
    </w:p>
    <w:p w14:paraId="469F8E84" w14:textId="77777777" w:rsidR="00CB5EDF" w:rsidRPr="00744DCA" w:rsidRDefault="00CB5EDF" w:rsidP="00B2056B">
      <w:pPr>
        <w:pStyle w:val="Point1"/>
        <w:rPr>
          <w:noProof/>
        </w:rPr>
      </w:pPr>
      <w:r>
        <w:rPr>
          <w:noProof/>
        </w:rPr>
        <w:t>(a)</w:t>
      </w:r>
      <w:r>
        <w:rPr>
          <w:noProof/>
        </w:rPr>
        <w:tab/>
      </w:r>
      <w:r w:rsidRPr="00744DCA">
        <w:rPr>
          <w:noProof/>
        </w:rPr>
        <w:t xml:space="preserve">the text of the amendment proposed or, where appropriate, </w:t>
      </w:r>
      <w:r w:rsidR="00A249AE" w:rsidRPr="00744DCA">
        <w:rPr>
          <w:noProof/>
        </w:rPr>
        <w:t xml:space="preserve">the text of the amendment </w:t>
      </w:r>
      <w:r w:rsidRPr="00744DCA">
        <w:rPr>
          <w:noProof/>
        </w:rPr>
        <w:t>as adopted, including the date on which it enters into force;</w:t>
      </w:r>
    </w:p>
    <w:p w14:paraId="722B4B92" w14:textId="77777777" w:rsidR="00CB5EDF" w:rsidRPr="00744DCA" w:rsidRDefault="00CB5EDF" w:rsidP="00CB5EDF">
      <w:pPr>
        <w:pStyle w:val="Point1"/>
        <w:rPr>
          <w:noProof/>
        </w:rPr>
      </w:pPr>
      <w:r>
        <w:rPr>
          <w:noProof/>
        </w:rPr>
        <w:t>(b)</w:t>
      </w:r>
      <w:r>
        <w:rPr>
          <w:noProof/>
        </w:rPr>
        <w:tab/>
      </w:r>
      <w:r w:rsidRPr="00744DCA">
        <w:rPr>
          <w:noProof/>
        </w:rPr>
        <w:t>the amended consolidated version of the Statutes.</w:t>
      </w:r>
    </w:p>
    <w:p w14:paraId="01FF1648" w14:textId="77777777" w:rsidR="00CB5EDF" w:rsidRPr="00744DCA" w:rsidRDefault="00CB5EDF" w:rsidP="00CB5EDF">
      <w:pPr>
        <w:pStyle w:val="Titrearticle"/>
        <w:rPr>
          <w:noProof/>
        </w:rPr>
      </w:pPr>
      <w:r w:rsidRPr="00744DCA">
        <w:rPr>
          <w:noProof/>
        </w:rPr>
        <w:t xml:space="preserve">Article </w:t>
      </w:r>
      <w:r w:rsidR="00C0301B" w:rsidRPr="00744DCA">
        <w:rPr>
          <w:noProof/>
        </w:rPr>
        <w:t>2</w:t>
      </w:r>
      <w:r w:rsidR="003506A2" w:rsidRPr="00744DCA">
        <w:rPr>
          <w:noProof/>
        </w:rPr>
        <w:t>9</w:t>
      </w:r>
    </w:p>
    <w:p w14:paraId="32066D8C" w14:textId="77777777" w:rsidR="00CB5EDF" w:rsidRPr="00744DCA" w:rsidRDefault="00CB5EDF" w:rsidP="00CB5EDF">
      <w:pPr>
        <w:pStyle w:val="Titrearticle"/>
        <w:rPr>
          <w:b/>
          <w:i w:val="0"/>
          <w:noProof/>
        </w:rPr>
      </w:pPr>
      <w:r w:rsidRPr="00744DCA">
        <w:rPr>
          <w:b/>
          <w:i w:val="0"/>
          <w:noProof/>
        </w:rPr>
        <w:t>Specific conditions on procurement</w:t>
      </w:r>
    </w:p>
    <w:p w14:paraId="3BA55FD7" w14:textId="77777777" w:rsidR="00CB5EDF" w:rsidRPr="00744DCA" w:rsidRDefault="00CB5EDF" w:rsidP="00B2056B">
      <w:pPr>
        <w:pStyle w:val="ManualNumPar1"/>
        <w:rPr>
          <w:noProof/>
        </w:rPr>
      </w:pPr>
      <w:r>
        <w:rPr>
          <w:noProof/>
        </w:rPr>
        <w:t>1.</w:t>
      </w:r>
      <w:r>
        <w:rPr>
          <w:noProof/>
        </w:rPr>
        <w:tab/>
      </w:r>
      <w:r w:rsidRPr="00744DCA">
        <w:rPr>
          <w:noProof/>
        </w:rPr>
        <w:t xml:space="preserve">A </w:t>
      </w:r>
      <w:r w:rsidR="000D6305" w:rsidRPr="00744DCA">
        <w:rPr>
          <w:noProof/>
        </w:rPr>
        <w:t>SEAP</w:t>
      </w:r>
      <w:r w:rsidRPr="00744DCA">
        <w:rPr>
          <w:noProof/>
        </w:rPr>
        <w:t xml:space="preserve"> may appoint a Procurement Agent which will act in its name. </w:t>
      </w:r>
    </w:p>
    <w:p w14:paraId="525A8CA0" w14:textId="77777777" w:rsidR="00CB5EDF" w:rsidRPr="00744DCA" w:rsidRDefault="299C41F4" w:rsidP="00B33FEA">
      <w:pPr>
        <w:pStyle w:val="ManualNumPar1"/>
        <w:rPr>
          <w:noProof/>
        </w:rPr>
      </w:pPr>
      <w:r>
        <w:rPr>
          <w:noProof/>
        </w:rPr>
        <w:t>2.</w:t>
      </w:r>
      <w:r>
        <w:rPr>
          <w:noProof/>
        </w:rPr>
        <w:tab/>
      </w:r>
      <w:r w:rsidRPr="00744DCA">
        <w:rPr>
          <w:noProof/>
        </w:rPr>
        <w:t xml:space="preserve">When procuring for a </w:t>
      </w:r>
      <w:r w:rsidR="253927CC" w:rsidRPr="00744DCA">
        <w:rPr>
          <w:noProof/>
        </w:rPr>
        <w:t>SEAP</w:t>
      </w:r>
      <w:r w:rsidRPr="00744DCA">
        <w:rPr>
          <w:noProof/>
        </w:rPr>
        <w:t xml:space="preserve">, the Procurement Agent shall be bound by the same rules </w:t>
      </w:r>
      <w:r w:rsidR="5BFB9C11" w:rsidRPr="00744DCA">
        <w:rPr>
          <w:noProof/>
        </w:rPr>
        <w:t>as</w:t>
      </w:r>
      <w:r w:rsidRPr="00744DCA">
        <w:rPr>
          <w:noProof/>
        </w:rPr>
        <w:t xml:space="preserve"> the </w:t>
      </w:r>
      <w:r w:rsidR="253927CC" w:rsidRPr="00744DCA">
        <w:rPr>
          <w:noProof/>
        </w:rPr>
        <w:t>SEAP</w:t>
      </w:r>
      <w:r w:rsidRPr="00744DCA">
        <w:rPr>
          <w:noProof/>
        </w:rPr>
        <w:t xml:space="preserve"> concerned.</w:t>
      </w:r>
    </w:p>
    <w:p w14:paraId="76D1C7F0" w14:textId="77777777" w:rsidR="00CB5EDF" w:rsidRPr="00744DCA" w:rsidRDefault="00BA52EE" w:rsidP="00CB5EDF">
      <w:pPr>
        <w:pStyle w:val="ManualNumPar1"/>
        <w:rPr>
          <w:noProof/>
        </w:rPr>
      </w:pPr>
      <w:r>
        <w:rPr>
          <w:noProof/>
        </w:rPr>
        <w:t>3.</w:t>
      </w:r>
      <w:r>
        <w:rPr>
          <w:noProof/>
        </w:rPr>
        <w:tab/>
      </w:r>
      <w:r w:rsidRPr="00744DCA">
        <w:rPr>
          <w:noProof/>
        </w:rPr>
        <w:t>Where it procures a defence product on its own behalf and in its own name, a</w:t>
      </w:r>
      <w:r w:rsidR="00444A06" w:rsidRPr="00744DCA">
        <w:rPr>
          <w:noProof/>
        </w:rPr>
        <w:t xml:space="preserve"> </w:t>
      </w:r>
      <w:r w:rsidR="000D6305" w:rsidRPr="00744DCA">
        <w:rPr>
          <w:noProof/>
        </w:rPr>
        <w:t>SEAP</w:t>
      </w:r>
      <w:r w:rsidR="00444A06" w:rsidRPr="00744DCA">
        <w:rPr>
          <w:noProof/>
        </w:rPr>
        <w:t xml:space="preserve"> shall be considered as an international organisation within the meaning of Article 12(c) of Directive 2009/81/EC. </w:t>
      </w:r>
      <w:r w:rsidR="00CB5EDF" w:rsidRPr="00744DCA">
        <w:rPr>
          <w:noProof/>
        </w:rPr>
        <w:t xml:space="preserve">Where it procures a defence product on behalf of its members, a </w:t>
      </w:r>
      <w:r w:rsidR="000D6305" w:rsidRPr="00744DCA">
        <w:rPr>
          <w:noProof/>
        </w:rPr>
        <w:t>SEAP</w:t>
      </w:r>
      <w:r w:rsidR="00CB5EDF" w:rsidRPr="00744DCA">
        <w:rPr>
          <w:noProof/>
        </w:rPr>
        <w:t xml:space="preserve"> shall</w:t>
      </w:r>
      <w:r w:rsidR="00971FB1" w:rsidRPr="00744DCA">
        <w:rPr>
          <w:noProof/>
        </w:rPr>
        <w:t xml:space="preserve">, by derogation to Article 10 of Directive 2009/81/EC, </w:t>
      </w:r>
      <w:r w:rsidR="00CB5EDF" w:rsidRPr="00744DCA">
        <w:rPr>
          <w:noProof/>
        </w:rPr>
        <w:t xml:space="preserve"> define its own rules</w:t>
      </w:r>
      <w:r w:rsidR="00CB5EDF" w:rsidRPr="00744DCA">
        <w:rPr>
          <w:noProof/>
          <w:color w:val="333333"/>
          <w:sz w:val="27"/>
          <w:szCs w:val="27"/>
          <w:shd w:val="clear" w:color="auto" w:fill="FFFFFF"/>
        </w:rPr>
        <w:t xml:space="preserve"> </w:t>
      </w:r>
      <w:r w:rsidR="00CB5EDF" w:rsidRPr="00744DCA">
        <w:rPr>
          <w:noProof/>
        </w:rPr>
        <w:t>in lines with the principles of transparency, non-discrimination and competition.</w:t>
      </w:r>
    </w:p>
    <w:p w14:paraId="68F03F04" w14:textId="77777777" w:rsidR="00CB5EDF" w:rsidRPr="00744DCA" w:rsidRDefault="00CB5EDF">
      <w:pPr>
        <w:pStyle w:val="ManualNumPar1"/>
        <w:rPr>
          <w:noProof/>
        </w:rPr>
      </w:pPr>
      <w:r>
        <w:rPr>
          <w:noProof/>
        </w:rPr>
        <w:t>4.</w:t>
      </w:r>
      <w:r>
        <w:rPr>
          <w:noProof/>
        </w:rPr>
        <w:tab/>
      </w:r>
      <w:r w:rsidRPr="00744DCA">
        <w:rPr>
          <w:noProof/>
        </w:rPr>
        <w:t xml:space="preserve">Procurements of a </w:t>
      </w:r>
      <w:r w:rsidR="000D6305" w:rsidRPr="00744DCA">
        <w:rPr>
          <w:noProof/>
        </w:rPr>
        <w:t>SEAP</w:t>
      </w:r>
      <w:r w:rsidRPr="00744DCA">
        <w:rPr>
          <w:noProof/>
        </w:rPr>
        <w:t xml:space="preserve"> </w:t>
      </w:r>
      <w:r w:rsidR="007E56B0" w:rsidRPr="00744DCA">
        <w:rPr>
          <w:noProof/>
        </w:rPr>
        <w:t xml:space="preserve">shall </w:t>
      </w:r>
      <w:r w:rsidRPr="00744DCA">
        <w:rPr>
          <w:noProof/>
        </w:rPr>
        <w:t>comply with the requirements set out in Article 12</w:t>
      </w:r>
      <w:r w:rsidR="00C03BED" w:rsidRPr="00744DCA">
        <w:rPr>
          <w:noProof/>
        </w:rPr>
        <w:t xml:space="preserve"> paragraphs 3 to 6</w:t>
      </w:r>
      <w:r w:rsidRPr="00744DCA">
        <w:rPr>
          <w:noProof/>
        </w:rPr>
        <w:t>.</w:t>
      </w:r>
    </w:p>
    <w:p w14:paraId="63AE6DF8" w14:textId="77777777" w:rsidR="00CB5EDF" w:rsidRPr="00744DCA" w:rsidRDefault="00CB5EDF" w:rsidP="00CB5EDF">
      <w:pPr>
        <w:pStyle w:val="Titrearticle"/>
        <w:rPr>
          <w:noProof/>
        </w:rPr>
      </w:pPr>
      <w:r w:rsidRPr="00744DCA">
        <w:rPr>
          <w:noProof/>
        </w:rPr>
        <w:t xml:space="preserve">Article </w:t>
      </w:r>
      <w:r w:rsidR="003506A2" w:rsidRPr="00744DCA">
        <w:rPr>
          <w:noProof/>
        </w:rPr>
        <w:t>30</w:t>
      </w:r>
    </w:p>
    <w:p w14:paraId="35BDA40D" w14:textId="77777777" w:rsidR="00CB5EDF" w:rsidRPr="00744DCA" w:rsidRDefault="00CB5EDF" w:rsidP="00CB5EDF">
      <w:pPr>
        <w:pStyle w:val="Titrearticle"/>
        <w:rPr>
          <w:b/>
          <w:i w:val="0"/>
          <w:noProof/>
        </w:rPr>
      </w:pPr>
      <w:r w:rsidRPr="00744DCA">
        <w:rPr>
          <w:b/>
          <w:i w:val="0"/>
          <w:noProof/>
        </w:rPr>
        <w:t>Liability and insurance</w:t>
      </w:r>
    </w:p>
    <w:p w14:paraId="474B6236" w14:textId="77777777" w:rsidR="00CB5EDF" w:rsidRPr="00744DCA" w:rsidRDefault="00CB5EDF" w:rsidP="00B2056B">
      <w:pPr>
        <w:pStyle w:val="ManualNumPar1"/>
        <w:rPr>
          <w:noProof/>
        </w:rPr>
      </w:pPr>
      <w:r>
        <w:rPr>
          <w:noProof/>
        </w:rPr>
        <w:t>1.</w:t>
      </w:r>
      <w:r>
        <w:rPr>
          <w:noProof/>
        </w:rPr>
        <w:tab/>
      </w:r>
      <w:r w:rsidRPr="00744DCA">
        <w:rPr>
          <w:noProof/>
        </w:rPr>
        <w:t xml:space="preserve">A </w:t>
      </w:r>
      <w:r w:rsidR="000D6305" w:rsidRPr="00744DCA">
        <w:rPr>
          <w:noProof/>
        </w:rPr>
        <w:t>SEAP</w:t>
      </w:r>
      <w:r w:rsidRPr="00744DCA">
        <w:rPr>
          <w:noProof/>
        </w:rPr>
        <w:t xml:space="preserve"> shall be liable for its debts. </w:t>
      </w:r>
    </w:p>
    <w:p w14:paraId="32038324" w14:textId="77777777" w:rsidR="00CB5EDF" w:rsidRPr="00744DCA" w:rsidRDefault="00CB5EDF">
      <w:pPr>
        <w:pStyle w:val="ManualNumPar1"/>
        <w:rPr>
          <w:noProof/>
        </w:rPr>
      </w:pPr>
      <w:r>
        <w:rPr>
          <w:noProof/>
        </w:rPr>
        <w:t>2.</w:t>
      </w:r>
      <w:r>
        <w:rPr>
          <w:noProof/>
        </w:rPr>
        <w:tab/>
      </w:r>
      <w:r w:rsidRPr="00744DCA">
        <w:rPr>
          <w:noProof/>
        </w:rPr>
        <w:t xml:space="preserve">The financial liability of the members for the debts of the </w:t>
      </w:r>
      <w:r w:rsidR="000D6305" w:rsidRPr="00744DCA">
        <w:rPr>
          <w:noProof/>
        </w:rPr>
        <w:t>SEAP</w:t>
      </w:r>
      <w:r w:rsidRPr="00744DCA">
        <w:rPr>
          <w:noProof/>
        </w:rPr>
        <w:t xml:space="preserve"> shall be limited to their respective contributions provided to the </w:t>
      </w:r>
      <w:r w:rsidR="000D6305" w:rsidRPr="00744DCA">
        <w:rPr>
          <w:noProof/>
        </w:rPr>
        <w:t>SEAP</w:t>
      </w:r>
      <w:r w:rsidRPr="00744DCA">
        <w:rPr>
          <w:noProof/>
        </w:rPr>
        <w:t>. The members may specify in the Statutes that they will assume a fixed liability above their respective contributions or unlimited liability.</w:t>
      </w:r>
    </w:p>
    <w:p w14:paraId="4BCAC788" w14:textId="77777777" w:rsidR="00CB5EDF" w:rsidRPr="00744DCA" w:rsidRDefault="00CB5EDF">
      <w:pPr>
        <w:pStyle w:val="ManualNumPar1"/>
        <w:rPr>
          <w:noProof/>
        </w:rPr>
      </w:pPr>
      <w:r>
        <w:rPr>
          <w:noProof/>
        </w:rPr>
        <w:t>3.</w:t>
      </w:r>
      <w:r>
        <w:rPr>
          <w:noProof/>
        </w:rPr>
        <w:tab/>
      </w:r>
      <w:r w:rsidRPr="00744DCA">
        <w:rPr>
          <w:noProof/>
        </w:rPr>
        <w:t xml:space="preserve">If the financial liability of the members is </w:t>
      </w:r>
      <w:r w:rsidR="00C03BED" w:rsidRPr="00744DCA">
        <w:rPr>
          <w:noProof/>
        </w:rPr>
        <w:t>limited</w:t>
      </w:r>
      <w:r w:rsidRPr="00744DCA">
        <w:rPr>
          <w:noProof/>
        </w:rPr>
        <w:t xml:space="preserve">, the </w:t>
      </w:r>
      <w:r w:rsidR="000D6305" w:rsidRPr="00744DCA">
        <w:rPr>
          <w:noProof/>
        </w:rPr>
        <w:t>SEAP</w:t>
      </w:r>
      <w:r w:rsidRPr="00744DCA">
        <w:rPr>
          <w:noProof/>
        </w:rPr>
        <w:t xml:space="preserve"> shall take appropriate insurance to cover the risks specific to the establishment and management of the capability. </w:t>
      </w:r>
    </w:p>
    <w:p w14:paraId="3D5582E0" w14:textId="77777777" w:rsidR="00CB5EDF" w:rsidRPr="00744DCA" w:rsidRDefault="00CB5EDF">
      <w:pPr>
        <w:pStyle w:val="ManualNumPar1"/>
        <w:rPr>
          <w:noProof/>
        </w:rPr>
      </w:pPr>
      <w:r>
        <w:rPr>
          <w:noProof/>
        </w:rPr>
        <w:t>4.</w:t>
      </w:r>
      <w:r>
        <w:rPr>
          <w:noProof/>
        </w:rPr>
        <w:tab/>
      </w:r>
      <w:r w:rsidRPr="00744DCA">
        <w:rPr>
          <w:noProof/>
        </w:rPr>
        <w:t>The Union shall not be liable</w:t>
      </w:r>
      <w:r w:rsidR="0020401A" w:rsidRPr="00744DCA">
        <w:rPr>
          <w:noProof/>
        </w:rPr>
        <w:t>, including</w:t>
      </w:r>
      <w:r w:rsidRPr="00744DCA">
        <w:rPr>
          <w:noProof/>
        </w:rPr>
        <w:t xml:space="preserve"> for any debt of the </w:t>
      </w:r>
      <w:r w:rsidR="000D6305" w:rsidRPr="00744DCA">
        <w:rPr>
          <w:noProof/>
        </w:rPr>
        <w:t>SEAP</w:t>
      </w:r>
      <w:r w:rsidRPr="00744DCA">
        <w:rPr>
          <w:noProof/>
        </w:rPr>
        <w:t>.</w:t>
      </w:r>
    </w:p>
    <w:p w14:paraId="148A9662" w14:textId="77777777" w:rsidR="00CB5EDF" w:rsidRPr="00744DCA" w:rsidRDefault="00CB5EDF" w:rsidP="00CB5EDF">
      <w:pPr>
        <w:pStyle w:val="Titrearticle"/>
        <w:rPr>
          <w:noProof/>
        </w:rPr>
      </w:pPr>
      <w:r w:rsidRPr="00744DCA">
        <w:rPr>
          <w:noProof/>
        </w:rPr>
        <w:t xml:space="preserve">Article </w:t>
      </w:r>
      <w:r w:rsidR="00C0301B" w:rsidRPr="00744DCA">
        <w:rPr>
          <w:noProof/>
        </w:rPr>
        <w:t>3</w:t>
      </w:r>
      <w:r w:rsidR="003506A2" w:rsidRPr="00744DCA">
        <w:rPr>
          <w:noProof/>
        </w:rPr>
        <w:t>1</w:t>
      </w:r>
    </w:p>
    <w:p w14:paraId="23B7DA43" w14:textId="77777777" w:rsidR="00CB5EDF" w:rsidRPr="00744DCA" w:rsidRDefault="00CB5EDF" w:rsidP="00CB5EDF">
      <w:pPr>
        <w:pStyle w:val="Titrearticle"/>
        <w:rPr>
          <w:b/>
          <w:i w:val="0"/>
          <w:noProof/>
        </w:rPr>
      </w:pPr>
      <w:r w:rsidRPr="00744DCA">
        <w:rPr>
          <w:b/>
          <w:i w:val="0"/>
          <w:noProof/>
        </w:rPr>
        <w:t>Applicable law and jurisdiction</w:t>
      </w:r>
    </w:p>
    <w:p w14:paraId="5F3CF9B4" w14:textId="77777777" w:rsidR="00CB5EDF" w:rsidRPr="00744DCA" w:rsidRDefault="00CB5EDF" w:rsidP="00B2056B">
      <w:pPr>
        <w:pStyle w:val="ManualNumPar1"/>
        <w:rPr>
          <w:noProof/>
        </w:rPr>
      </w:pPr>
      <w:r>
        <w:rPr>
          <w:noProof/>
        </w:rPr>
        <w:t>1.</w:t>
      </w:r>
      <w:r>
        <w:rPr>
          <w:noProof/>
        </w:rPr>
        <w:tab/>
      </w:r>
      <w:r w:rsidRPr="00744DCA">
        <w:rPr>
          <w:noProof/>
        </w:rPr>
        <w:t xml:space="preserve">The setting-up and internal functioning of a </w:t>
      </w:r>
      <w:r w:rsidR="000D6305" w:rsidRPr="00744DCA">
        <w:rPr>
          <w:noProof/>
        </w:rPr>
        <w:t>SEAP</w:t>
      </w:r>
      <w:r w:rsidRPr="00744DCA">
        <w:rPr>
          <w:noProof/>
        </w:rPr>
        <w:t xml:space="preserve"> shall be governed:</w:t>
      </w:r>
    </w:p>
    <w:p w14:paraId="41446587" w14:textId="77777777" w:rsidR="00CB5EDF" w:rsidRPr="00744DCA" w:rsidRDefault="00CB5EDF" w:rsidP="00B2056B">
      <w:pPr>
        <w:pStyle w:val="Point1"/>
        <w:rPr>
          <w:noProof/>
        </w:rPr>
      </w:pPr>
      <w:r>
        <w:rPr>
          <w:noProof/>
        </w:rPr>
        <w:t>(a)</w:t>
      </w:r>
      <w:r>
        <w:rPr>
          <w:noProof/>
        </w:rPr>
        <w:tab/>
      </w:r>
      <w:r w:rsidRPr="00744DCA">
        <w:rPr>
          <w:noProof/>
        </w:rPr>
        <w:t xml:space="preserve">by Union law, in particular this Regulation, and the </w:t>
      </w:r>
      <w:r w:rsidR="00C03BED" w:rsidRPr="00744DCA">
        <w:rPr>
          <w:noProof/>
        </w:rPr>
        <w:t xml:space="preserve">implementing acts </w:t>
      </w:r>
      <w:r w:rsidRPr="00744DCA">
        <w:rPr>
          <w:noProof/>
        </w:rPr>
        <w:t>referred to in Article 2</w:t>
      </w:r>
      <w:r w:rsidR="005B3B5F" w:rsidRPr="00744DCA">
        <w:rPr>
          <w:noProof/>
        </w:rPr>
        <w:t>4</w:t>
      </w:r>
      <w:r w:rsidRPr="00744DCA">
        <w:rPr>
          <w:noProof/>
        </w:rPr>
        <w:t>(3)(a);</w:t>
      </w:r>
    </w:p>
    <w:p w14:paraId="77F7BE89" w14:textId="77777777" w:rsidR="00CB5EDF" w:rsidRPr="00744DCA" w:rsidRDefault="00CB5EDF" w:rsidP="00CB5EDF">
      <w:pPr>
        <w:pStyle w:val="Point1"/>
        <w:rPr>
          <w:noProof/>
        </w:rPr>
      </w:pPr>
      <w:r>
        <w:rPr>
          <w:noProof/>
        </w:rPr>
        <w:t>(b)</w:t>
      </w:r>
      <w:r>
        <w:rPr>
          <w:noProof/>
        </w:rPr>
        <w:tab/>
      </w:r>
      <w:r w:rsidRPr="00744DCA">
        <w:rPr>
          <w:noProof/>
        </w:rPr>
        <w:t xml:space="preserve">by the law of the State where the </w:t>
      </w:r>
      <w:r w:rsidR="000D6305" w:rsidRPr="00744DCA">
        <w:rPr>
          <w:noProof/>
        </w:rPr>
        <w:t>SEAP</w:t>
      </w:r>
      <w:r w:rsidRPr="00744DCA">
        <w:rPr>
          <w:noProof/>
        </w:rPr>
        <w:t xml:space="preserve"> has its statutory seat in the case of matters not, or only partly, regulated by acts referred to in point (a);</w:t>
      </w:r>
    </w:p>
    <w:p w14:paraId="76558D72" w14:textId="77777777" w:rsidR="00CB5EDF" w:rsidRPr="00744DCA" w:rsidRDefault="00CB5EDF" w:rsidP="00CB5EDF">
      <w:pPr>
        <w:pStyle w:val="Point1"/>
        <w:rPr>
          <w:noProof/>
        </w:rPr>
      </w:pPr>
      <w:r>
        <w:rPr>
          <w:noProof/>
        </w:rPr>
        <w:t>(c)</w:t>
      </w:r>
      <w:r>
        <w:rPr>
          <w:noProof/>
        </w:rPr>
        <w:tab/>
      </w:r>
      <w:r w:rsidRPr="00744DCA">
        <w:rPr>
          <w:noProof/>
        </w:rPr>
        <w:t>by the Statutes and their implementing rules.</w:t>
      </w:r>
    </w:p>
    <w:p w14:paraId="4B203C09" w14:textId="77777777" w:rsidR="00CB5EDF" w:rsidRPr="00744DCA" w:rsidRDefault="00CB5EDF">
      <w:pPr>
        <w:pStyle w:val="ManualNumPar1"/>
        <w:rPr>
          <w:noProof/>
        </w:rPr>
      </w:pPr>
      <w:r>
        <w:rPr>
          <w:noProof/>
        </w:rPr>
        <w:t>2.</w:t>
      </w:r>
      <w:r>
        <w:rPr>
          <w:noProof/>
        </w:rPr>
        <w:tab/>
      </w:r>
      <w:r w:rsidRPr="00744DCA">
        <w:rPr>
          <w:noProof/>
        </w:rPr>
        <w:t xml:space="preserve">The Court of Justice of the European Union shall have jurisdiction over litigation among the members in relation to the </w:t>
      </w:r>
      <w:r w:rsidR="000D6305" w:rsidRPr="00744DCA">
        <w:rPr>
          <w:noProof/>
        </w:rPr>
        <w:t>SEAP</w:t>
      </w:r>
      <w:r w:rsidRPr="00744DCA">
        <w:rPr>
          <w:noProof/>
        </w:rPr>
        <w:t xml:space="preserve">, between the members and the </w:t>
      </w:r>
      <w:r w:rsidR="000D6305" w:rsidRPr="00744DCA">
        <w:rPr>
          <w:noProof/>
        </w:rPr>
        <w:t>SEAP</w:t>
      </w:r>
      <w:r w:rsidRPr="00744DCA">
        <w:rPr>
          <w:noProof/>
        </w:rPr>
        <w:t xml:space="preserve"> and over any litigation to which the Union is a party.  </w:t>
      </w:r>
    </w:p>
    <w:p w14:paraId="2EABF538" w14:textId="77777777" w:rsidR="00CB5EDF" w:rsidRPr="00744DCA" w:rsidRDefault="00CB5EDF">
      <w:pPr>
        <w:pStyle w:val="ManualNumPar1"/>
        <w:rPr>
          <w:noProof/>
        </w:rPr>
      </w:pPr>
      <w:r>
        <w:rPr>
          <w:noProof/>
        </w:rPr>
        <w:t>3.</w:t>
      </w:r>
      <w:r>
        <w:rPr>
          <w:noProof/>
        </w:rPr>
        <w:tab/>
      </w:r>
      <w:r w:rsidRPr="00744DCA">
        <w:rPr>
          <w:noProof/>
        </w:rPr>
        <w:t xml:space="preserve">Union legislation on jurisdiction shall apply to disputes between a </w:t>
      </w:r>
      <w:r w:rsidR="000D6305" w:rsidRPr="00744DCA">
        <w:rPr>
          <w:noProof/>
        </w:rPr>
        <w:t>SEAP</w:t>
      </w:r>
      <w:r w:rsidRPr="00744DCA">
        <w:rPr>
          <w:noProof/>
        </w:rPr>
        <w:t xml:space="preserve"> and third parties. In cases not covered by Union legislation, the law of the State where the </w:t>
      </w:r>
      <w:r w:rsidR="000D6305" w:rsidRPr="00744DCA">
        <w:rPr>
          <w:noProof/>
        </w:rPr>
        <w:t>SEAP</w:t>
      </w:r>
      <w:r w:rsidRPr="00744DCA">
        <w:rPr>
          <w:noProof/>
        </w:rPr>
        <w:t xml:space="preserve"> has its statutory seat shall determine the competent jurisdiction for the resolution of such disputes.</w:t>
      </w:r>
    </w:p>
    <w:p w14:paraId="15EB37EB" w14:textId="77777777" w:rsidR="00CB5EDF" w:rsidRPr="00744DCA" w:rsidRDefault="00CB5EDF" w:rsidP="00CB5EDF">
      <w:pPr>
        <w:pStyle w:val="Titrearticle"/>
        <w:rPr>
          <w:noProof/>
        </w:rPr>
      </w:pPr>
      <w:r w:rsidRPr="00744DCA">
        <w:rPr>
          <w:noProof/>
        </w:rPr>
        <w:t xml:space="preserve">Article </w:t>
      </w:r>
      <w:r w:rsidR="00C0301B" w:rsidRPr="00744DCA">
        <w:rPr>
          <w:noProof/>
        </w:rPr>
        <w:t>3</w:t>
      </w:r>
      <w:r w:rsidR="00D048CC" w:rsidRPr="00744DCA">
        <w:rPr>
          <w:noProof/>
        </w:rPr>
        <w:t>2</w:t>
      </w:r>
    </w:p>
    <w:p w14:paraId="7BCCEC4A" w14:textId="77777777" w:rsidR="00CB5EDF" w:rsidRPr="00744DCA" w:rsidRDefault="00CB5EDF" w:rsidP="00CB5EDF">
      <w:pPr>
        <w:pStyle w:val="Titrearticle"/>
        <w:rPr>
          <w:b/>
          <w:i w:val="0"/>
          <w:noProof/>
        </w:rPr>
      </w:pPr>
      <w:r w:rsidRPr="00744DCA">
        <w:rPr>
          <w:b/>
          <w:i w:val="0"/>
          <w:noProof/>
        </w:rPr>
        <w:t>Winding up and insolvency</w:t>
      </w:r>
    </w:p>
    <w:p w14:paraId="7F91BC61" w14:textId="77777777" w:rsidR="00CB5EDF" w:rsidRPr="00744DCA" w:rsidRDefault="00CB5EDF" w:rsidP="00B2056B">
      <w:pPr>
        <w:pStyle w:val="ManualNumPar1"/>
        <w:rPr>
          <w:noProof/>
        </w:rPr>
      </w:pPr>
      <w:r>
        <w:rPr>
          <w:noProof/>
        </w:rPr>
        <w:t>1.</w:t>
      </w:r>
      <w:r>
        <w:rPr>
          <w:noProof/>
        </w:rPr>
        <w:tab/>
      </w:r>
      <w:r w:rsidRPr="00744DCA">
        <w:rPr>
          <w:noProof/>
        </w:rPr>
        <w:t xml:space="preserve">The Statutes shall determine the procedure to be applied in the case of winding-up of the </w:t>
      </w:r>
      <w:r w:rsidR="000D6305" w:rsidRPr="00744DCA">
        <w:rPr>
          <w:noProof/>
        </w:rPr>
        <w:t>SEAP</w:t>
      </w:r>
      <w:r w:rsidRPr="00744DCA">
        <w:rPr>
          <w:noProof/>
        </w:rPr>
        <w:t xml:space="preserve"> following a decision of the assembly of members or in case the Commission repeals the </w:t>
      </w:r>
      <w:r w:rsidR="0068166D" w:rsidRPr="00744DCA">
        <w:rPr>
          <w:noProof/>
        </w:rPr>
        <w:t>implementing ac</w:t>
      </w:r>
      <w:r w:rsidR="00E90F05" w:rsidRPr="00744DCA">
        <w:rPr>
          <w:noProof/>
        </w:rPr>
        <w:t>t</w:t>
      </w:r>
      <w:r w:rsidR="0068166D" w:rsidRPr="00744DCA">
        <w:rPr>
          <w:noProof/>
        </w:rPr>
        <w:t xml:space="preserve"> </w:t>
      </w:r>
      <w:r w:rsidRPr="00744DCA">
        <w:rPr>
          <w:noProof/>
        </w:rPr>
        <w:t xml:space="preserve">establishing the </w:t>
      </w:r>
      <w:r w:rsidR="000D6305" w:rsidRPr="00744DCA">
        <w:rPr>
          <w:noProof/>
        </w:rPr>
        <w:t>SEAP</w:t>
      </w:r>
      <w:r w:rsidRPr="00744DCA">
        <w:rPr>
          <w:noProof/>
        </w:rPr>
        <w:t xml:space="preserve">, as referred to in Article </w:t>
      </w:r>
      <w:r w:rsidR="00363F80" w:rsidRPr="00744DCA">
        <w:rPr>
          <w:noProof/>
        </w:rPr>
        <w:t>3</w:t>
      </w:r>
      <w:r w:rsidR="005B3B5F" w:rsidRPr="00744DCA">
        <w:rPr>
          <w:noProof/>
        </w:rPr>
        <w:t>3</w:t>
      </w:r>
      <w:r w:rsidRPr="00744DCA">
        <w:rPr>
          <w:noProof/>
        </w:rPr>
        <w:t xml:space="preserve">(6). Winding-up may include the transfer of activities to another legal entity. </w:t>
      </w:r>
    </w:p>
    <w:p w14:paraId="14F4CBDA" w14:textId="77777777" w:rsidR="00CB5EDF" w:rsidRPr="00744DCA" w:rsidRDefault="00CB5EDF">
      <w:pPr>
        <w:pStyle w:val="ManualNumPar1"/>
        <w:rPr>
          <w:noProof/>
        </w:rPr>
      </w:pPr>
      <w:r>
        <w:rPr>
          <w:noProof/>
        </w:rPr>
        <w:t>2.</w:t>
      </w:r>
      <w:r>
        <w:rPr>
          <w:noProof/>
        </w:rPr>
        <w:tab/>
      </w:r>
      <w:r w:rsidRPr="00744DCA">
        <w:rPr>
          <w:noProof/>
        </w:rPr>
        <w:t>Without undue delay after the adoption of a decision by the assembly of members to wind up</w:t>
      </w:r>
      <w:r w:rsidR="00E90F05" w:rsidRPr="00744DCA">
        <w:rPr>
          <w:noProof/>
        </w:rPr>
        <w:t xml:space="preserve"> the SEAP</w:t>
      </w:r>
      <w:r w:rsidRPr="00744DCA">
        <w:rPr>
          <w:noProof/>
        </w:rPr>
        <w:t xml:space="preserve">, and in any event within 10 days after such adoption, the </w:t>
      </w:r>
      <w:r w:rsidR="000D6305" w:rsidRPr="00744DCA">
        <w:rPr>
          <w:noProof/>
        </w:rPr>
        <w:t>SEAP</w:t>
      </w:r>
      <w:r w:rsidRPr="00744DCA">
        <w:rPr>
          <w:noProof/>
        </w:rPr>
        <w:t xml:space="preserve"> shall notify the Commission thereof. The Commission shall publish an appropriate notice </w:t>
      </w:r>
      <w:r w:rsidR="00E90F05" w:rsidRPr="00744DCA">
        <w:rPr>
          <w:noProof/>
        </w:rPr>
        <w:t xml:space="preserve">of the decision to wind-up </w:t>
      </w:r>
      <w:r w:rsidRPr="00744DCA">
        <w:rPr>
          <w:noProof/>
        </w:rPr>
        <w:t xml:space="preserve">in the C series of the Official Journal of the European Union. </w:t>
      </w:r>
    </w:p>
    <w:p w14:paraId="0E3D325B" w14:textId="77777777" w:rsidR="00CB5EDF" w:rsidRPr="00744DCA" w:rsidRDefault="00CB5EDF">
      <w:pPr>
        <w:pStyle w:val="ManualNumPar1"/>
        <w:rPr>
          <w:noProof/>
        </w:rPr>
      </w:pPr>
      <w:r>
        <w:rPr>
          <w:noProof/>
        </w:rPr>
        <w:t>3.</w:t>
      </w:r>
      <w:r>
        <w:rPr>
          <w:noProof/>
        </w:rPr>
        <w:tab/>
      </w:r>
      <w:r w:rsidRPr="00744DCA">
        <w:rPr>
          <w:noProof/>
        </w:rPr>
        <w:t xml:space="preserve">Without undue delay after the closure of the winding-up procedure, and in any event within 10 days after such closure, the </w:t>
      </w:r>
      <w:r w:rsidR="000D6305" w:rsidRPr="00744DCA">
        <w:rPr>
          <w:noProof/>
        </w:rPr>
        <w:t>SEAP</w:t>
      </w:r>
      <w:r w:rsidRPr="00744DCA">
        <w:rPr>
          <w:noProof/>
        </w:rPr>
        <w:t xml:space="preserve"> shall notify the Commission thereof. The Commission shall publish an appropriate notice </w:t>
      </w:r>
      <w:r w:rsidR="002417CE" w:rsidRPr="00744DCA">
        <w:rPr>
          <w:noProof/>
        </w:rPr>
        <w:t xml:space="preserve">of the closure </w:t>
      </w:r>
      <w:r w:rsidRPr="00744DCA">
        <w:rPr>
          <w:noProof/>
        </w:rPr>
        <w:t xml:space="preserve">in the C series of the Official Journal of the European Union. The </w:t>
      </w:r>
      <w:r w:rsidR="000D6305" w:rsidRPr="00744DCA">
        <w:rPr>
          <w:noProof/>
        </w:rPr>
        <w:t>SEAP</w:t>
      </w:r>
      <w:r w:rsidRPr="00744DCA">
        <w:rPr>
          <w:noProof/>
        </w:rPr>
        <w:t xml:space="preserve"> shall cease to exist on the day of publication of the notice. </w:t>
      </w:r>
    </w:p>
    <w:p w14:paraId="5CC17D76" w14:textId="77777777" w:rsidR="00CB5EDF" w:rsidRPr="00744DCA" w:rsidRDefault="00CB5EDF">
      <w:pPr>
        <w:pStyle w:val="ManualNumPar1"/>
        <w:rPr>
          <w:noProof/>
        </w:rPr>
      </w:pPr>
      <w:r>
        <w:rPr>
          <w:noProof/>
        </w:rPr>
        <w:t>4.</w:t>
      </w:r>
      <w:r>
        <w:rPr>
          <w:noProof/>
        </w:rPr>
        <w:tab/>
      </w:r>
      <w:r w:rsidRPr="00744DCA">
        <w:rPr>
          <w:noProof/>
        </w:rPr>
        <w:t xml:space="preserve">At any time, in the event that the </w:t>
      </w:r>
      <w:r w:rsidR="000D6305" w:rsidRPr="00744DCA">
        <w:rPr>
          <w:noProof/>
        </w:rPr>
        <w:t>SEAP</w:t>
      </w:r>
      <w:r w:rsidRPr="00744DCA">
        <w:rPr>
          <w:noProof/>
        </w:rPr>
        <w:t xml:space="preserve"> is unable to pay its debts, it shall immediately notify the Commission thereof. The Commission shall publish an appropriate notice </w:t>
      </w:r>
      <w:r w:rsidR="002417CE" w:rsidRPr="00744DCA">
        <w:rPr>
          <w:noProof/>
        </w:rPr>
        <w:t xml:space="preserve">hereof </w:t>
      </w:r>
      <w:r w:rsidRPr="00744DCA">
        <w:rPr>
          <w:noProof/>
        </w:rPr>
        <w:t xml:space="preserve">in the C series of the Official Journal of the European Union. </w:t>
      </w:r>
    </w:p>
    <w:p w14:paraId="05F6FEBF" w14:textId="77777777" w:rsidR="00CB5EDF" w:rsidRPr="00744DCA" w:rsidRDefault="00CB5EDF" w:rsidP="00CB5EDF">
      <w:pPr>
        <w:pStyle w:val="Titrearticle"/>
        <w:rPr>
          <w:noProof/>
        </w:rPr>
      </w:pPr>
      <w:r w:rsidRPr="00744DCA">
        <w:rPr>
          <w:noProof/>
        </w:rPr>
        <w:t xml:space="preserve">Article </w:t>
      </w:r>
      <w:r w:rsidR="00C0301B" w:rsidRPr="00744DCA">
        <w:rPr>
          <w:noProof/>
        </w:rPr>
        <w:t>3</w:t>
      </w:r>
      <w:r w:rsidR="00D048CC" w:rsidRPr="00744DCA">
        <w:rPr>
          <w:noProof/>
        </w:rPr>
        <w:t>3</w:t>
      </w:r>
    </w:p>
    <w:p w14:paraId="6F97A7EC" w14:textId="77777777" w:rsidR="00CB5EDF" w:rsidRPr="00744DCA" w:rsidRDefault="00CB5EDF" w:rsidP="00CB5EDF">
      <w:pPr>
        <w:pStyle w:val="Titrearticle"/>
        <w:rPr>
          <w:b/>
          <w:i w:val="0"/>
          <w:noProof/>
        </w:rPr>
      </w:pPr>
      <w:r w:rsidRPr="00744DCA">
        <w:rPr>
          <w:b/>
          <w:i w:val="0"/>
          <w:noProof/>
        </w:rPr>
        <w:t>Reporting and control</w:t>
      </w:r>
    </w:p>
    <w:p w14:paraId="2811EDF7" w14:textId="77777777" w:rsidR="00CB5EDF" w:rsidRPr="00744DCA" w:rsidRDefault="00CB5EDF" w:rsidP="00B2056B">
      <w:pPr>
        <w:pStyle w:val="ManualNumPar1"/>
        <w:rPr>
          <w:noProof/>
        </w:rPr>
      </w:pPr>
      <w:r>
        <w:rPr>
          <w:noProof/>
        </w:rPr>
        <w:t>1.</w:t>
      </w:r>
      <w:r>
        <w:rPr>
          <w:noProof/>
        </w:rPr>
        <w:tab/>
      </w:r>
      <w:r w:rsidRPr="00744DCA">
        <w:rPr>
          <w:noProof/>
        </w:rPr>
        <w:t xml:space="preserve">A </w:t>
      </w:r>
      <w:r w:rsidR="000D6305" w:rsidRPr="00744DCA">
        <w:rPr>
          <w:noProof/>
        </w:rPr>
        <w:t>SEAP</w:t>
      </w:r>
      <w:r w:rsidRPr="00744DCA">
        <w:rPr>
          <w:noProof/>
        </w:rPr>
        <w:t xml:space="preserve"> shall produce an annual activity report, containing a technical description and a financial report of its activities referred to in Article </w:t>
      </w:r>
      <w:r w:rsidR="00482763" w:rsidRPr="00744DCA">
        <w:rPr>
          <w:noProof/>
        </w:rPr>
        <w:t>2</w:t>
      </w:r>
      <w:r w:rsidR="005B3B5F" w:rsidRPr="00744DCA">
        <w:rPr>
          <w:noProof/>
        </w:rPr>
        <w:t>2</w:t>
      </w:r>
      <w:r w:rsidRPr="00744DCA">
        <w:rPr>
          <w:noProof/>
        </w:rPr>
        <w:t xml:space="preserve">. It shall be transmitted to the Commission within six months from the end of the financial year. </w:t>
      </w:r>
    </w:p>
    <w:p w14:paraId="52E2DF7E" w14:textId="77777777" w:rsidR="00CB5EDF" w:rsidRPr="00744DCA" w:rsidRDefault="00CB5EDF">
      <w:pPr>
        <w:pStyle w:val="ManualNumPar1"/>
        <w:rPr>
          <w:noProof/>
        </w:rPr>
      </w:pPr>
      <w:r>
        <w:rPr>
          <w:noProof/>
        </w:rPr>
        <w:t>2.</w:t>
      </w:r>
      <w:r>
        <w:rPr>
          <w:noProof/>
        </w:rPr>
        <w:tab/>
      </w:r>
      <w:r w:rsidRPr="00744DCA">
        <w:rPr>
          <w:noProof/>
        </w:rPr>
        <w:t xml:space="preserve">The Commission may provide recommendations </w:t>
      </w:r>
      <w:r w:rsidR="002417CE" w:rsidRPr="00744DCA">
        <w:rPr>
          <w:noProof/>
        </w:rPr>
        <w:t>to the SEAP</w:t>
      </w:r>
      <w:r w:rsidRPr="00744DCA">
        <w:rPr>
          <w:noProof/>
        </w:rPr>
        <w:t xml:space="preserve"> regarding the matters covered in the annual activity report.</w:t>
      </w:r>
    </w:p>
    <w:p w14:paraId="64A4B88B" w14:textId="77777777" w:rsidR="00CB5EDF" w:rsidRPr="00744DCA" w:rsidRDefault="00CB5EDF">
      <w:pPr>
        <w:pStyle w:val="ManualNumPar1"/>
        <w:rPr>
          <w:noProof/>
        </w:rPr>
      </w:pPr>
      <w:r>
        <w:rPr>
          <w:noProof/>
        </w:rPr>
        <w:t>3.</w:t>
      </w:r>
      <w:r>
        <w:rPr>
          <w:noProof/>
        </w:rPr>
        <w:tab/>
      </w:r>
      <w:r w:rsidRPr="00744DCA">
        <w:rPr>
          <w:noProof/>
        </w:rPr>
        <w:t xml:space="preserve">A </w:t>
      </w:r>
      <w:r w:rsidR="000D6305" w:rsidRPr="00744DCA">
        <w:rPr>
          <w:noProof/>
        </w:rPr>
        <w:t>SEAP</w:t>
      </w:r>
      <w:r w:rsidRPr="00744DCA">
        <w:rPr>
          <w:noProof/>
        </w:rPr>
        <w:t xml:space="preserve"> and the Member States concerned shall inform the Commission of any circumstances which threaten to seriously jeopardise the achievement of the task of the </w:t>
      </w:r>
      <w:r w:rsidR="000D6305" w:rsidRPr="00744DCA">
        <w:rPr>
          <w:noProof/>
        </w:rPr>
        <w:t>SEAP</w:t>
      </w:r>
      <w:r w:rsidRPr="00744DCA">
        <w:rPr>
          <w:noProof/>
        </w:rPr>
        <w:t xml:space="preserve"> or to hinder the </w:t>
      </w:r>
      <w:r w:rsidR="000D6305" w:rsidRPr="00744DCA">
        <w:rPr>
          <w:noProof/>
        </w:rPr>
        <w:t>SEAP</w:t>
      </w:r>
      <w:r w:rsidRPr="00744DCA">
        <w:rPr>
          <w:noProof/>
        </w:rPr>
        <w:t xml:space="preserve"> from fulfilling the requirements laid down in this Regulation. </w:t>
      </w:r>
    </w:p>
    <w:p w14:paraId="1E48892F" w14:textId="77777777" w:rsidR="00CB5EDF" w:rsidRPr="00744DCA" w:rsidRDefault="00CB5EDF">
      <w:pPr>
        <w:pStyle w:val="ManualNumPar1"/>
        <w:rPr>
          <w:noProof/>
        </w:rPr>
      </w:pPr>
      <w:r>
        <w:rPr>
          <w:noProof/>
        </w:rPr>
        <w:t>4.</w:t>
      </w:r>
      <w:r>
        <w:rPr>
          <w:noProof/>
        </w:rPr>
        <w:tab/>
      </w:r>
      <w:r w:rsidRPr="00744DCA">
        <w:rPr>
          <w:noProof/>
        </w:rPr>
        <w:t xml:space="preserve">Where the Commission obtains indications that a </w:t>
      </w:r>
      <w:r w:rsidR="000D6305" w:rsidRPr="00744DCA">
        <w:rPr>
          <w:noProof/>
        </w:rPr>
        <w:t>SEAP</w:t>
      </w:r>
      <w:r w:rsidRPr="00744DCA">
        <w:rPr>
          <w:noProof/>
        </w:rPr>
        <w:t xml:space="preserve"> is acting in serious breach of this Regulation, the </w:t>
      </w:r>
      <w:r w:rsidR="00FF5556" w:rsidRPr="00744DCA">
        <w:rPr>
          <w:noProof/>
        </w:rPr>
        <w:t>implemen</w:t>
      </w:r>
      <w:r w:rsidR="002F0560" w:rsidRPr="00744DCA">
        <w:rPr>
          <w:noProof/>
        </w:rPr>
        <w:t>ting act establishing it, its statutes</w:t>
      </w:r>
      <w:r w:rsidRPr="00744DCA">
        <w:rPr>
          <w:noProof/>
        </w:rPr>
        <w:t xml:space="preserve"> or other applicable law, it shall request explanations from the </w:t>
      </w:r>
      <w:r w:rsidR="000D6305" w:rsidRPr="00744DCA">
        <w:rPr>
          <w:noProof/>
        </w:rPr>
        <w:t>SEAP</w:t>
      </w:r>
      <w:r w:rsidRPr="00744DCA">
        <w:rPr>
          <w:noProof/>
        </w:rPr>
        <w:t xml:space="preserve"> and/or its members.</w:t>
      </w:r>
    </w:p>
    <w:p w14:paraId="5FC39DFF" w14:textId="77777777" w:rsidR="00CB5EDF" w:rsidRPr="00744DCA" w:rsidRDefault="00CB5EDF">
      <w:pPr>
        <w:pStyle w:val="ManualNumPar1"/>
        <w:rPr>
          <w:noProof/>
        </w:rPr>
      </w:pPr>
      <w:r>
        <w:rPr>
          <w:noProof/>
        </w:rPr>
        <w:t>5.</w:t>
      </w:r>
      <w:r>
        <w:rPr>
          <w:noProof/>
        </w:rPr>
        <w:tab/>
      </w:r>
      <w:r w:rsidRPr="00744DCA">
        <w:rPr>
          <w:noProof/>
        </w:rPr>
        <w:t xml:space="preserve">Where the Commission concludes, after having given the </w:t>
      </w:r>
      <w:r w:rsidR="000D6305" w:rsidRPr="00744DCA">
        <w:rPr>
          <w:noProof/>
        </w:rPr>
        <w:t>SEAP</w:t>
      </w:r>
      <w:r w:rsidRPr="00744DCA">
        <w:rPr>
          <w:noProof/>
        </w:rPr>
        <w:t xml:space="preserve"> and/or its members a reasonable time to provide their observations, that the </w:t>
      </w:r>
      <w:r w:rsidR="000D6305" w:rsidRPr="00744DCA">
        <w:rPr>
          <w:noProof/>
        </w:rPr>
        <w:t>SEAP</w:t>
      </w:r>
      <w:r w:rsidRPr="00744DCA">
        <w:rPr>
          <w:noProof/>
        </w:rPr>
        <w:t xml:space="preserve"> is acting in serious breach of this Regulation, the </w:t>
      </w:r>
      <w:r w:rsidR="002417CE" w:rsidRPr="00744DCA">
        <w:rPr>
          <w:noProof/>
        </w:rPr>
        <w:t xml:space="preserve">implementing act </w:t>
      </w:r>
      <w:r w:rsidR="00FB1715" w:rsidRPr="00744DCA">
        <w:rPr>
          <w:noProof/>
        </w:rPr>
        <w:t>establishing it</w:t>
      </w:r>
      <w:r w:rsidR="003D330C" w:rsidRPr="00744DCA">
        <w:rPr>
          <w:noProof/>
        </w:rPr>
        <w:t>, its statutes</w:t>
      </w:r>
      <w:r w:rsidRPr="00744DCA">
        <w:rPr>
          <w:noProof/>
        </w:rPr>
        <w:t xml:space="preserve"> or other applicable law, it may propose remedial action to the </w:t>
      </w:r>
      <w:r w:rsidR="000D6305" w:rsidRPr="00744DCA">
        <w:rPr>
          <w:noProof/>
        </w:rPr>
        <w:t>SEAP</w:t>
      </w:r>
      <w:r w:rsidRPr="00744DCA">
        <w:rPr>
          <w:noProof/>
        </w:rPr>
        <w:t xml:space="preserve"> and its members. </w:t>
      </w:r>
    </w:p>
    <w:p w14:paraId="6E913C3D" w14:textId="77777777" w:rsidR="00CB5EDF" w:rsidRPr="00744DCA" w:rsidRDefault="00CB5EDF">
      <w:pPr>
        <w:pStyle w:val="ManualNumPar1"/>
        <w:rPr>
          <w:noProof/>
        </w:rPr>
      </w:pPr>
      <w:r>
        <w:rPr>
          <w:noProof/>
        </w:rPr>
        <w:t>6.</w:t>
      </w:r>
      <w:r>
        <w:rPr>
          <w:noProof/>
        </w:rPr>
        <w:tab/>
      </w:r>
      <w:r w:rsidRPr="00744DCA">
        <w:rPr>
          <w:noProof/>
        </w:rPr>
        <w:t xml:space="preserve">Where no remedial action is taken, the Commission may repeal the </w:t>
      </w:r>
      <w:r w:rsidR="002F0560" w:rsidRPr="00744DCA">
        <w:rPr>
          <w:noProof/>
        </w:rPr>
        <w:t xml:space="preserve">implementing act </w:t>
      </w:r>
      <w:r w:rsidRPr="00744DCA">
        <w:rPr>
          <w:noProof/>
        </w:rPr>
        <w:t xml:space="preserve">establishing the </w:t>
      </w:r>
      <w:r w:rsidR="000D6305" w:rsidRPr="00744DCA">
        <w:rPr>
          <w:noProof/>
        </w:rPr>
        <w:t>SEAP</w:t>
      </w:r>
      <w:r w:rsidR="002F0560" w:rsidRPr="00744DCA">
        <w:rPr>
          <w:noProof/>
        </w:rPr>
        <w:t xml:space="preserve">. The repealing act </w:t>
      </w:r>
      <w:r w:rsidRPr="00744DCA">
        <w:rPr>
          <w:noProof/>
        </w:rPr>
        <w:t xml:space="preserve">shall be published in the L series of the Official Journal of the European Union. </w:t>
      </w:r>
      <w:r w:rsidR="007B2C53" w:rsidRPr="00744DCA">
        <w:rPr>
          <w:noProof/>
        </w:rPr>
        <w:t xml:space="preserve">The publication of the act </w:t>
      </w:r>
      <w:r w:rsidRPr="00744DCA">
        <w:rPr>
          <w:noProof/>
        </w:rPr>
        <w:t xml:space="preserve">shall trigger the winding-up of the </w:t>
      </w:r>
      <w:r w:rsidR="000D6305" w:rsidRPr="00744DCA">
        <w:rPr>
          <w:noProof/>
        </w:rPr>
        <w:t>SEAP</w:t>
      </w:r>
      <w:r w:rsidRPr="00744DCA">
        <w:rPr>
          <w:noProof/>
        </w:rPr>
        <w:t>.</w:t>
      </w:r>
    </w:p>
    <w:p w14:paraId="54C0F2FC" w14:textId="77777777" w:rsidR="00CB5EDF" w:rsidRPr="00744DCA" w:rsidRDefault="00CB5EDF" w:rsidP="00CB5EDF">
      <w:pPr>
        <w:pStyle w:val="ChapterTitle"/>
        <w:rPr>
          <w:noProof/>
        </w:rPr>
      </w:pPr>
      <w:r w:rsidRPr="00744DCA">
        <w:rPr>
          <w:noProof/>
        </w:rPr>
        <w:t>Chapter IV</w:t>
      </w:r>
    </w:p>
    <w:p w14:paraId="09368D16" w14:textId="77777777" w:rsidR="00CB5EDF" w:rsidRPr="00744DCA" w:rsidRDefault="00CB5EDF" w:rsidP="00CB5EDF">
      <w:pPr>
        <w:pStyle w:val="ChapterTitle"/>
        <w:rPr>
          <w:noProof/>
        </w:rPr>
      </w:pPr>
      <w:r w:rsidRPr="00744DCA">
        <w:rPr>
          <w:noProof/>
        </w:rPr>
        <w:t>Security of supply</w:t>
      </w:r>
    </w:p>
    <w:p w14:paraId="0CCF28D0" w14:textId="77777777" w:rsidR="00CB5EDF" w:rsidRPr="00744DCA" w:rsidRDefault="00CB5EDF" w:rsidP="00CB5EDF">
      <w:pPr>
        <w:pStyle w:val="SectionTitle"/>
        <w:rPr>
          <w:noProof/>
        </w:rPr>
      </w:pPr>
      <w:r w:rsidRPr="00744DCA">
        <w:rPr>
          <w:noProof/>
        </w:rPr>
        <w:t>Section 1</w:t>
      </w:r>
    </w:p>
    <w:p w14:paraId="025D604C" w14:textId="77777777" w:rsidR="00CB5EDF" w:rsidRPr="00744DCA" w:rsidRDefault="00CB5EDF" w:rsidP="00CB5EDF">
      <w:pPr>
        <w:pStyle w:val="SectionTitle"/>
        <w:rPr>
          <w:noProof/>
        </w:rPr>
      </w:pPr>
      <w:r w:rsidRPr="00744DCA">
        <w:rPr>
          <w:noProof/>
        </w:rPr>
        <w:t>Preparedness</w:t>
      </w:r>
    </w:p>
    <w:p w14:paraId="534407F1" w14:textId="77777777" w:rsidR="00CB5EDF" w:rsidRPr="00744DCA" w:rsidRDefault="00CB5EDF" w:rsidP="00CB5EDF">
      <w:pPr>
        <w:pStyle w:val="Titrearticle"/>
        <w:rPr>
          <w:noProof/>
        </w:rPr>
      </w:pPr>
      <w:r w:rsidRPr="00744DCA">
        <w:rPr>
          <w:noProof/>
        </w:rPr>
        <w:t>Article</w:t>
      </w:r>
      <w:r w:rsidRPr="00744DCA">
        <w:rPr>
          <w:iCs/>
          <w:noProof/>
        </w:rPr>
        <w:t xml:space="preserve"> </w:t>
      </w:r>
      <w:r w:rsidR="00C0301B" w:rsidRPr="00744DCA">
        <w:rPr>
          <w:noProof/>
        </w:rPr>
        <w:t>3</w:t>
      </w:r>
      <w:r w:rsidR="00D048CC" w:rsidRPr="00744DCA">
        <w:rPr>
          <w:noProof/>
        </w:rPr>
        <w:t>4</w:t>
      </w:r>
    </w:p>
    <w:p w14:paraId="73F19B91" w14:textId="77777777" w:rsidR="00CB5EDF" w:rsidRPr="00744DCA" w:rsidRDefault="00CB5EDF" w:rsidP="00CB5EDF">
      <w:pPr>
        <w:pStyle w:val="Titrearticle"/>
        <w:rPr>
          <w:b/>
          <w:i w:val="0"/>
          <w:noProof/>
        </w:rPr>
      </w:pPr>
      <w:r w:rsidRPr="00744DCA">
        <w:rPr>
          <w:b/>
          <w:bCs/>
          <w:i w:val="0"/>
          <w:iCs/>
          <w:noProof/>
          <w:lang w:val="en-IE"/>
        </w:rPr>
        <w:t>Conditions to open framework agreements to other Member States</w:t>
      </w:r>
    </w:p>
    <w:p w14:paraId="16E9F38D" w14:textId="77777777" w:rsidR="00CB5EDF" w:rsidRPr="00744DCA" w:rsidRDefault="00CB5EDF" w:rsidP="00B2056B">
      <w:pPr>
        <w:pStyle w:val="ManualNumPar1"/>
        <w:rPr>
          <w:noProof/>
          <w:szCs w:val="24"/>
        </w:rPr>
      </w:pPr>
      <w:r>
        <w:rPr>
          <w:noProof/>
        </w:rPr>
        <w:t>1.</w:t>
      </w:r>
      <w:r>
        <w:rPr>
          <w:noProof/>
        </w:rPr>
        <w:tab/>
      </w:r>
      <w:r w:rsidRPr="00744DCA">
        <w:rPr>
          <w:noProof/>
        </w:rPr>
        <w:t xml:space="preserve">Where at least two Member States enter into an agreement to commonly procure defence products and where the </w:t>
      </w:r>
      <w:r w:rsidR="00D0211F" w:rsidRPr="00744DCA">
        <w:rPr>
          <w:noProof/>
        </w:rPr>
        <w:t>extreme urgency of the situation justifies it</w:t>
      </w:r>
      <w:r w:rsidRPr="00744DCA">
        <w:rPr>
          <w:noProof/>
        </w:rPr>
        <w:t>, the rules provided for in paragraphs 2 to 6 may be applied</w:t>
      </w:r>
      <w:r w:rsidR="001655D8" w:rsidRPr="00744DCA">
        <w:rPr>
          <w:noProof/>
          <w14:ligatures w14:val="standardContextual"/>
        </w:rPr>
        <w:t xml:space="preserve"> </w:t>
      </w:r>
      <w:r w:rsidR="001655D8" w:rsidRPr="00744DCA">
        <w:rPr>
          <w:noProof/>
        </w:rPr>
        <w:t>to framework agreements that do not include rules governing the possibility to substantially amend it</w:t>
      </w:r>
      <w:r w:rsidR="00945D77" w:rsidRPr="00744DCA">
        <w:rPr>
          <w:noProof/>
        </w:rPr>
        <w:t xml:space="preserve"> so that its provisions may apply to contracting authorities/entities which are not originally party to the framework agreement</w:t>
      </w:r>
      <w:r w:rsidRPr="00744DCA">
        <w:rPr>
          <w:noProof/>
        </w:rPr>
        <w:t xml:space="preserve">. </w:t>
      </w:r>
    </w:p>
    <w:p w14:paraId="28313507" w14:textId="77777777" w:rsidR="00CB5EDF" w:rsidRPr="00744DCA" w:rsidRDefault="00CB5EDF" w:rsidP="00B2056B">
      <w:pPr>
        <w:pStyle w:val="ManualNumPar1"/>
        <w:rPr>
          <w:noProof/>
          <w:szCs w:val="24"/>
        </w:rPr>
      </w:pPr>
      <w:r>
        <w:rPr>
          <w:noProof/>
        </w:rPr>
        <w:t>2.</w:t>
      </w:r>
      <w:r>
        <w:rPr>
          <w:noProof/>
        </w:rPr>
        <w:tab/>
      </w:r>
      <w:r w:rsidRPr="00744DCA">
        <w:rPr>
          <w:noProof/>
        </w:rPr>
        <w:t>By way of derogation from Article 29(2), second subparagraph, of Directive 2009/81/EC, a contracting authority/entity may modify an existing framework agreement with an undertaking complying with the provisions laid out in Article 10</w:t>
      </w:r>
      <w:r w:rsidR="007361AD" w:rsidRPr="00744DCA">
        <w:rPr>
          <w:noProof/>
        </w:rPr>
        <w:t>, paragraphs 1 and 2,</w:t>
      </w:r>
      <w:r w:rsidRPr="00744DCA">
        <w:rPr>
          <w:noProof/>
        </w:rPr>
        <w:t xml:space="preserve"> which has been concluded following one of the procedures provided for by Article 25 of that Directive so that its provisions may apply to contracting authorities/entities which are not originally party to the framework agreement.</w:t>
      </w:r>
    </w:p>
    <w:p w14:paraId="02CC07FE" w14:textId="77777777" w:rsidR="00CB5EDF" w:rsidRPr="00744DCA" w:rsidRDefault="00CB5EDF" w:rsidP="00B2056B">
      <w:pPr>
        <w:pStyle w:val="ManualNumPar1"/>
        <w:rPr>
          <w:noProof/>
          <w:szCs w:val="24"/>
        </w:rPr>
      </w:pPr>
      <w:r>
        <w:rPr>
          <w:noProof/>
        </w:rPr>
        <w:t>3.</w:t>
      </w:r>
      <w:r>
        <w:rPr>
          <w:noProof/>
        </w:rPr>
        <w:tab/>
      </w:r>
      <w:r w:rsidRPr="00744DCA">
        <w:rPr>
          <w:noProof/>
        </w:rPr>
        <w:t>By way of derogation from Article 29(2), third subparagraph, of Directive 2009/81/EC, a contracting authority/entity may make substantial amendments to the quantities laid down in an existing framework agreement with an undertaking complying with the provisions laid out in Article 10</w:t>
      </w:r>
      <w:r w:rsidR="007361AD" w:rsidRPr="00744DCA">
        <w:rPr>
          <w:noProof/>
        </w:rPr>
        <w:t>, paragraphs 1 and 2,</w:t>
      </w:r>
      <w:r w:rsidRPr="00744DCA">
        <w:rPr>
          <w:noProof/>
        </w:rPr>
        <w:t xml:space="preserve"> insofar as that is strictly necessary for the application of paragraph 2 of this Article. Where quantities laid down in an existing framework agreement are substantially modified pursuant to this paragraph, any economic operator that meets the contracting authority’s/entity’s conditions initially laid down in the public procurement procedure for the framework agreement, including requirements for qualitative selection as referred to in Articles 39 to 46 of Directive 2009/81/EC, and which complies with the provisions laid out in Article 10</w:t>
      </w:r>
      <w:r w:rsidR="008A129B" w:rsidRPr="00744DCA">
        <w:rPr>
          <w:noProof/>
        </w:rPr>
        <w:t>, paragraphs 1 and 2,</w:t>
      </w:r>
      <w:r w:rsidRPr="00744DCA">
        <w:rPr>
          <w:noProof/>
        </w:rPr>
        <w:t xml:space="preserve"> shall be given the opportunity to join that framework agreement. The contracting authority/entity shall open that possibility by means of an ad hoc notice published in the Official Journal of the European Union.</w:t>
      </w:r>
    </w:p>
    <w:p w14:paraId="685B4275" w14:textId="77777777" w:rsidR="00CB5EDF" w:rsidRPr="00744DCA" w:rsidRDefault="00CB5EDF" w:rsidP="00B2056B">
      <w:pPr>
        <w:pStyle w:val="ManualNumPar1"/>
        <w:rPr>
          <w:noProof/>
          <w:szCs w:val="24"/>
        </w:rPr>
      </w:pPr>
      <w:r>
        <w:rPr>
          <w:noProof/>
        </w:rPr>
        <w:t>4.</w:t>
      </w:r>
      <w:r>
        <w:rPr>
          <w:noProof/>
        </w:rPr>
        <w:tab/>
      </w:r>
      <w:r w:rsidRPr="00744DCA">
        <w:rPr>
          <w:noProof/>
        </w:rPr>
        <w:t>The principle of non-discrimination shall apply to contracts and framework agreements referred to in paragraphs 2 and 3 with regard to the additional quantities, and particularly to the relationships between contracting authorities/entities of Member States referred to in paragraph 1.</w:t>
      </w:r>
    </w:p>
    <w:p w14:paraId="101182A3" w14:textId="77777777" w:rsidR="00CB5EDF" w:rsidRPr="00744DCA" w:rsidRDefault="00CB5EDF" w:rsidP="00B2056B">
      <w:pPr>
        <w:pStyle w:val="ManualNumPar1"/>
        <w:rPr>
          <w:noProof/>
          <w:szCs w:val="24"/>
        </w:rPr>
      </w:pPr>
      <w:r>
        <w:rPr>
          <w:noProof/>
        </w:rPr>
        <w:t>5.</w:t>
      </w:r>
      <w:r>
        <w:rPr>
          <w:noProof/>
        </w:rPr>
        <w:tab/>
      </w:r>
      <w:r w:rsidRPr="00744DCA">
        <w:rPr>
          <w:noProof/>
        </w:rPr>
        <w:t>Contracting authorities which modified a contract in the cases referred to in paragraphs 2 and 3 of this Article shall publish a notice to that effect in the Official Journal of the European Union. Such notice shall be published in accordance with Article 32 of Directive 2009/81/EC.</w:t>
      </w:r>
    </w:p>
    <w:p w14:paraId="0ACD6290" w14:textId="77777777" w:rsidR="00CB5EDF" w:rsidRPr="00744DCA" w:rsidRDefault="00CB5EDF" w:rsidP="00B2056B">
      <w:pPr>
        <w:pStyle w:val="ManualNumPar1"/>
        <w:rPr>
          <w:noProof/>
          <w:szCs w:val="24"/>
        </w:rPr>
      </w:pPr>
      <w:r>
        <w:rPr>
          <w:noProof/>
        </w:rPr>
        <w:t>6.</w:t>
      </w:r>
      <w:r>
        <w:rPr>
          <w:noProof/>
        </w:rPr>
        <w:tab/>
      </w:r>
      <w:r w:rsidRPr="00744DCA">
        <w:rPr>
          <w:noProof/>
        </w:rPr>
        <w:t>Contracting authorities/entities may not use the possibility provided for in paragraph 2 and 3 improperly or in such a way as to prevent, restrict or distort competition.</w:t>
      </w:r>
    </w:p>
    <w:p w14:paraId="044ADC66" w14:textId="77777777" w:rsidR="00CB5EDF" w:rsidRPr="00744DCA" w:rsidRDefault="00CB5EDF" w:rsidP="00CB5EDF">
      <w:pPr>
        <w:pStyle w:val="Titrearticle"/>
        <w:rPr>
          <w:noProof/>
          <w:lang w:val="en-IE"/>
        </w:rPr>
      </w:pPr>
      <w:r w:rsidRPr="00744DCA">
        <w:rPr>
          <w:noProof/>
          <w:lang w:val="en-IE"/>
        </w:rPr>
        <w:t xml:space="preserve">Article </w:t>
      </w:r>
      <w:r w:rsidR="00C0301B" w:rsidRPr="00744DCA">
        <w:rPr>
          <w:noProof/>
          <w:lang w:val="en-IE"/>
        </w:rPr>
        <w:t>3</w:t>
      </w:r>
      <w:r w:rsidR="00D048CC" w:rsidRPr="00744DCA">
        <w:rPr>
          <w:noProof/>
          <w:lang w:val="en-IE"/>
        </w:rPr>
        <w:t>5</w:t>
      </w:r>
    </w:p>
    <w:p w14:paraId="46F5DD5E" w14:textId="77777777" w:rsidR="00CB5EDF" w:rsidRPr="00744DCA" w:rsidRDefault="00A468AE" w:rsidP="00CB5EDF">
      <w:pPr>
        <w:pStyle w:val="Titrearticle"/>
        <w:rPr>
          <w:b/>
          <w:i w:val="0"/>
          <w:noProof/>
        </w:rPr>
      </w:pPr>
      <w:r w:rsidRPr="00744DCA">
        <w:rPr>
          <w:b/>
          <w:i w:val="0"/>
          <w:noProof/>
        </w:rPr>
        <w:t>Procurement</w:t>
      </w:r>
    </w:p>
    <w:p w14:paraId="613A2E59" w14:textId="1AD65686" w:rsidR="006967FD" w:rsidRPr="00744DCA" w:rsidRDefault="00077002" w:rsidP="00B2056B">
      <w:pPr>
        <w:pStyle w:val="ManualNumPar1"/>
        <w:rPr>
          <w:noProof/>
        </w:rPr>
      </w:pPr>
      <w:r>
        <w:rPr>
          <w:noProof/>
        </w:rPr>
        <w:t>1.</w:t>
      </w:r>
      <w:r>
        <w:rPr>
          <w:noProof/>
        </w:rPr>
        <w:tab/>
      </w:r>
      <w:r w:rsidRPr="00744DCA">
        <w:rPr>
          <w:noProof/>
          <w:lang w:val="en-IE"/>
        </w:rPr>
        <w:t xml:space="preserve">By derogation </w:t>
      </w:r>
      <w:r w:rsidR="004E7F2C" w:rsidRPr="00744DCA">
        <w:rPr>
          <w:noProof/>
          <w:lang w:val="en-IE"/>
        </w:rPr>
        <w:t xml:space="preserve">to </w:t>
      </w:r>
      <w:r>
        <w:rPr>
          <w:noProof/>
          <w:lang w:val="en-IE"/>
        </w:rPr>
        <w:t>[</w:t>
      </w:r>
      <w:r w:rsidR="004E5076" w:rsidRPr="00744DCA">
        <w:rPr>
          <w:noProof/>
          <w:lang w:val="en-IE"/>
        </w:rPr>
        <w:t>A</w:t>
      </w:r>
      <w:r w:rsidR="004E7F2C" w:rsidRPr="00744DCA">
        <w:rPr>
          <w:noProof/>
          <w:lang w:val="en-IE"/>
        </w:rPr>
        <w:t>rticle 168 of the Financial Regulation recast</w:t>
      </w:r>
      <w:r>
        <w:rPr>
          <w:noProof/>
          <w:lang w:val="en-IE"/>
        </w:rPr>
        <w:t>]</w:t>
      </w:r>
      <w:r w:rsidR="004E7F2C" w:rsidRPr="00744DCA">
        <w:rPr>
          <w:noProof/>
          <w:lang w:val="en-IE"/>
        </w:rPr>
        <w:t xml:space="preserve">, </w:t>
      </w:r>
      <w:r w:rsidR="00276005" w:rsidRPr="00744DCA">
        <w:rPr>
          <w:noProof/>
          <w:lang w:val="en-IE"/>
        </w:rPr>
        <w:t>Member States, associated countries and</w:t>
      </w:r>
      <w:r w:rsidR="00ED3DA9" w:rsidRPr="00744DCA">
        <w:rPr>
          <w:noProof/>
          <w:lang w:val="en-IE"/>
        </w:rPr>
        <w:t>, where relevant,</w:t>
      </w:r>
      <w:r w:rsidR="00276005" w:rsidRPr="00744DCA">
        <w:rPr>
          <w:noProof/>
          <w:lang w:val="en-IE"/>
        </w:rPr>
        <w:t xml:space="preserve"> Ukraine may request the Commission</w:t>
      </w:r>
      <w:r w:rsidR="00F42DC1" w:rsidRPr="00744DCA">
        <w:rPr>
          <w:noProof/>
          <w:lang w:val="en-IE"/>
        </w:rPr>
        <w:t>:</w:t>
      </w:r>
      <w:r w:rsidR="00276005" w:rsidRPr="00744DCA">
        <w:rPr>
          <w:noProof/>
          <w:lang w:val="en-IE"/>
        </w:rPr>
        <w:t xml:space="preserve"> </w:t>
      </w:r>
    </w:p>
    <w:p w14:paraId="1010E5F3" w14:textId="1DEDD7FB" w:rsidR="00AA61D0" w:rsidRPr="00744DCA" w:rsidRDefault="00575C3F" w:rsidP="00B2056B">
      <w:pPr>
        <w:pStyle w:val="Point1"/>
        <w:rPr>
          <w:noProof/>
        </w:rPr>
      </w:pPr>
      <w:r>
        <w:rPr>
          <w:noProof/>
        </w:rPr>
        <w:t>(a)</w:t>
      </w:r>
      <w:r>
        <w:rPr>
          <w:noProof/>
        </w:rPr>
        <w:tab/>
      </w:r>
      <w:r w:rsidRPr="00744DCA">
        <w:rPr>
          <w:noProof/>
          <w:lang w:val="en-IE"/>
        </w:rPr>
        <w:t xml:space="preserve">to engage in </w:t>
      </w:r>
      <w:r w:rsidR="00276005" w:rsidRPr="00744DCA">
        <w:rPr>
          <w:noProof/>
          <w:lang w:val="en-IE"/>
        </w:rPr>
        <w:t xml:space="preserve">a joint procurement </w:t>
      </w:r>
      <w:r w:rsidR="00C058BA" w:rsidRPr="00744DCA">
        <w:rPr>
          <w:noProof/>
          <w:lang w:val="en-IE"/>
        </w:rPr>
        <w:t xml:space="preserve">with them as </w:t>
      </w:r>
      <w:r w:rsidR="007765B7" w:rsidRPr="00744DCA">
        <w:rPr>
          <w:noProof/>
        </w:rPr>
        <w:t xml:space="preserve">as referred to in </w:t>
      </w:r>
      <w:r>
        <w:rPr>
          <w:noProof/>
        </w:rPr>
        <w:t>[</w:t>
      </w:r>
      <w:r w:rsidR="007765B7" w:rsidRPr="00744DCA">
        <w:rPr>
          <w:noProof/>
        </w:rPr>
        <w:t>Article 16</w:t>
      </w:r>
      <w:r w:rsidR="009E2205" w:rsidRPr="00744DCA">
        <w:rPr>
          <w:noProof/>
        </w:rPr>
        <w:t>8</w:t>
      </w:r>
      <w:r w:rsidR="007765B7" w:rsidRPr="00744DCA">
        <w:rPr>
          <w:noProof/>
        </w:rPr>
        <w:t>(2) of </w:t>
      </w:r>
      <w:r w:rsidR="00E018A6" w:rsidRPr="00744DCA">
        <w:rPr>
          <w:noProof/>
          <w:lang w:val="en-IE"/>
        </w:rPr>
        <w:t xml:space="preserve">the Financial Regulation </w:t>
      </w:r>
      <w:r w:rsidR="009E2205" w:rsidRPr="00744DCA">
        <w:rPr>
          <w:noProof/>
          <w:lang w:val="en-IE"/>
        </w:rPr>
        <w:t>recast</w:t>
      </w:r>
      <w:r>
        <w:rPr>
          <w:noProof/>
          <w:lang w:val="en-IE"/>
        </w:rPr>
        <w:t>]</w:t>
      </w:r>
      <w:r w:rsidR="009E2205" w:rsidRPr="00744DCA">
        <w:rPr>
          <w:noProof/>
          <w:lang w:val="en-IE"/>
        </w:rPr>
        <w:t xml:space="preserve"> </w:t>
      </w:r>
      <w:r w:rsidR="00AA61D0" w:rsidRPr="00744DCA">
        <w:rPr>
          <w:noProof/>
        </w:rPr>
        <w:t>whereby Member States</w:t>
      </w:r>
      <w:r w:rsidR="00193C52" w:rsidRPr="00744DCA">
        <w:rPr>
          <w:noProof/>
        </w:rPr>
        <w:t>, associated countries or Ukraine</w:t>
      </w:r>
      <w:r w:rsidR="00AA61D0" w:rsidRPr="00744DCA">
        <w:rPr>
          <w:noProof/>
        </w:rPr>
        <w:t xml:space="preserve"> may acquire, rent or lease fully the defence products jointly procured;</w:t>
      </w:r>
      <w:r w:rsidR="00AA61D0" w:rsidRPr="00744DCA">
        <w:rPr>
          <w:noProof/>
          <w:lang w:val="en-IE"/>
        </w:rPr>
        <w:t xml:space="preserve"> </w:t>
      </w:r>
    </w:p>
    <w:p w14:paraId="7352580B" w14:textId="3AB9AECE" w:rsidR="00CB5EDF" w:rsidRPr="00744DCA" w:rsidRDefault="00575C3F" w:rsidP="00744DCA">
      <w:pPr>
        <w:pStyle w:val="Point1"/>
        <w:rPr>
          <w:noProof/>
        </w:rPr>
      </w:pPr>
      <w:r>
        <w:rPr>
          <w:noProof/>
        </w:rPr>
        <w:t>(b)</w:t>
      </w:r>
      <w:r>
        <w:rPr>
          <w:noProof/>
        </w:rPr>
        <w:tab/>
      </w:r>
      <w:r w:rsidRPr="00744DCA">
        <w:rPr>
          <w:noProof/>
          <w:lang w:val="en-IE"/>
        </w:rPr>
        <w:t xml:space="preserve">to act as a central purchasing body </w:t>
      </w:r>
      <w:r w:rsidR="00E35A7B" w:rsidRPr="00744DCA">
        <w:rPr>
          <w:noProof/>
          <w:lang w:val="en-IE"/>
        </w:rPr>
        <w:t xml:space="preserve">to procure on behalf of the </w:t>
      </w:r>
      <w:r w:rsidR="0068007A" w:rsidRPr="00744DCA">
        <w:rPr>
          <w:noProof/>
          <w:lang w:val="en-IE"/>
        </w:rPr>
        <w:t xml:space="preserve">interested </w:t>
      </w:r>
      <w:r w:rsidR="00E35A7B" w:rsidRPr="00744DCA">
        <w:rPr>
          <w:noProof/>
          <w:lang w:val="en-IE"/>
        </w:rPr>
        <w:t>Member States or in their name defence products</w:t>
      </w:r>
      <w:r w:rsidR="0060443F" w:rsidRPr="00744DCA">
        <w:rPr>
          <w:noProof/>
          <w:lang w:val="en-IE"/>
        </w:rPr>
        <w:t>,</w:t>
      </w:r>
      <w:r w:rsidR="0060443F" w:rsidRPr="00FA1F34">
        <w:rPr>
          <w:noProof/>
          <w:lang w:val="en-IE"/>
        </w:rPr>
        <w:t xml:space="preserve"> as</w:t>
      </w:r>
      <w:r w:rsidR="0060443F" w:rsidRPr="00744DCA">
        <w:rPr>
          <w:noProof/>
          <w:lang w:val="en-IE"/>
        </w:rPr>
        <w:t xml:space="preserve"> referred to in </w:t>
      </w:r>
      <w:r>
        <w:rPr>
          <w:noProof/>
          <w:lang w:val="en-IE"/>
        </w:rPr>
        <w:t>[</w:t>
      </w:r>
      <w:r w:rsidR="0060443F" w:rsidRPr="00744DCA">
        <w:rPr>
          <w:noProof/>
          <w:lang w:val="en-IE"/>
        </w:rPr>
        <w:t xml:space="preserve">Article </w:t>
      </w:r>
      <w:r w:rsidR="00361C86" w:rsidRPr="00744DCA">
        <w:rPr>
          <w:noProof/>
          <w:lang w:val="en-IE"/>
        </w:rPr>
        <w:t>168(</w:t>
      </w:r>
      <w:r w:rsidR="00B9444B" w:rsidRPr="00744DCA">
        <w:rPr>
          <w:noProof/>
          <w:lang w:val="en-IE"/>
        </w:rPr>
        <w:t>3) of the Financial Regulation recast</w:t>
      </w:r>
      <w:r>
        <w:rPr>
          <w:noProof/>
          <w:lang w:val="en-IE"/>
        </w:rPr>
        <w:t>]</w:t>
      </w:r>
      <w:r w:rsidR="00276005" w:rsidRPr="00744DCA">
        <w:rPr>
          <w:noProof/>
          <w:lang w:val="en-IE"/>
        </w:rPr>
        <w:t>.</w:t>
      </w:r>
    </w:p>
    <w:p w14:paraId="390883C0" w14:textId="77777777" w:rsidR="00276005" w:rsidRPr="00744DCA" w:rsidRDefault="00276005" w:rsidP="00276005">
      <w:pPr>
        <w:pStyle w:val="ManualNumPar1"/>
        <w:rPr>
          <w:noProof/>
        </w:rPr>
      </w:pPr>
      <w:r>
        <w:rPr>
          <w:noProof/>
        </w:rPr>
        <w:t>2.</w:t>
      </w:r>
      <w:r>
        <w:rPr>
          <w:noProof/>
        </w:rPr>
        <w:tab/>
      </w:r>
      <w:r w:rsidRPr="00744DCA">
        <w:rPr>
          <w:noProof/>
        </w:rPr>
        <w:t>The procurement procedure referred to in paragraph 1, shall comply with the following conditions:</w:t>
      </w:r>
    </w:p>
    <w:p w14:paraId="16B32A01" w14:textId="323AD1CF" w:rsidR="00276005" w:rsidRPr="00744DCA" w:rsidRDefault="00276005" w:rsidP="00B2056B">
      <w:pPr>
        <w:pStyle w:val="Point1"/>
        <w:rPr>
          <w:noProof/>
        </w:rPr>
      </w:pPr>
      <w:r>
        <w:rPr>
          <w:noProof/>
        </w:rPr>
        <w:t>(a)</w:t>
      </w:r>
      <w:r>
        <w:rPr>
          <w:noProof/>
        </w:rPr>
        <w:tab/>
      </w:r>
      <w:r w:rsidRPr="00744DCA">
        <w:rPr>
          <w:noProof/>
        </w:rPr>
        <w:t xml:space="preserve">participation in </w:t>
      </w:r>
      <w:r w:rsidR="00323163" w:rsidRPr="00744DCA">
        <w:rPr>
          <w:noProof/>
        </w:rPr>
        <w:t xml:space="preserve">launching </w:t>
      </w:r>
      <w:r w:rsidRPr="00744DCA">
        <w:rPr>
          <w:noProof/>
        </w:rPr>
        <w:t xml:space="preserve">the procurement procedure </w:t>
      </w:r>
      <w:r w:rsidR="00D309F3" w:rsidRPr="00744DCA">
        <w:rPr>
          <w:noProof/>
        </w:rPr>
        <w:t xml:space="preserve">shall be </w:t>
      </w:r>
      <w:r w:rsidRPr="00744DCA">
        <w:rPr>
          <w:noProof/>
        </w:rPr>
        <w:t xml:space="preserve">open to all Member States, </w:t>
      </w:r>
      <w:r w:rsidR="00C22059" w:rsidRPr="00744DCA">
        <w:rPr>
          <w:noProof/>
        </w:rPr>
        <w:t>a</w:t>
      </w:r>
      <w:r w:rsidRPr="00744DCA">
        <w:rPr>
          <w:noProof/>
        </w:rPr>
        <w:t xml:space="preserve">ssociated </w:t>
      </w:r>
      <w:r w:rsidR="00C22059" w:rsidRPr="00744DCA">
        <w:rPr>
          <w:noProof/>
        </w:rPr>
        <w:t>c</w:t>
      </w:r>
      <w:r w:rsidRPr="00744DCA">
        <w:rPr>
          <w:noProof/>
        </w:rPr>
        <w:t xml:space="preserve">ountries and Ukraine, by way of derogation from </w:t>
      </w:r>
      <w:r>
        <w:rPr>
          <w:noProof/>
        </w:rPr>
        <w:t>[</w:t>
      </w:r>
      <w:r w:rsidR="00D309F3" w:rsidRPr="00744DCA">
        <w:rPr>
          <w:noProof/>
        </w:rPr>
        <w:t>Article 168</w:t>
      </w:r>
      <w:r w:rsidR="00790E2A" w:rsidRPr="00744DCA">
        <w:rPr>
          <w:noProof/>
        </w:rPr>
        <w:t xml:space="preserve">(2) and (3) of </w:t>
      </w:r>
      <w:r w:rsidR="00E62A51" w:rsidRPr="00744DCA">
        <w:rPr>
          <w:noProof/>
        </w:rPr>
        <w:t xml:space="preserve">the </w:t>
      </w:r>
      <w:r w:rsidR="00790E2A" w:rsidRPr="00744DCA">
        <w:rPr>
          <w:noProof/>
        </w:rPr>
        <w:t>F</w:t>
      </w:r>
      <w:r w:rsidR="00E62A51" w:rsidRPr="00744DCA">
        <w:rPr>
          <w:noProof/>
        </w:rPr>
        <w:t xml:space="preserve">inancial </w:t>
      </w:r>
      <w:r w:rsidR="00790E2A" w:rsidRPr="00744DCA">
        <w:rPr>
          <w:noProof/>
        </w:rPr>
        <w:t>R</w:t>
      </w:r>
      <w:r w:rsidR="00E62A51" w:rsidRPr="00744DCA">
        <w:rPr>
          <w:noProof/>
        </w:rPr>
        <w:t>egulation</w:t>
      </w:r>
      <w:r w:rsidR="00790E2A" w:rsidRPr="00744DCA">
        <w:rPr>
          <w:noProof/>
        </w:rPr>
        <w:t xml:space="preserve"> recast</w:t>
      </w:r>
      <w:r>
        <w:rPr>
          <w:noProof/>
        </w:rPr>
        <w:t>]</w:t>
      </w:r>
      <w:r w:rsidRPr="00744DCA">
        <w:rPr>
          <w:noProof/>
        </w:rPr>
        <w:t>;</w:t>
      </w:r>
    </w:p>
    <w:p w14:paraId="725F2640" w14:textId="77777777" w:rsidR="00276005" w:rsidRPr="00744DCA" w:rsidRDefault="00846510" w:rsidP="00B2056B">
      <w:pPr>
        <w:pStyle w:val="Point1"/>
        <w:rPr>
          <w:noProof/>
        </w:rPr>
      </w:pPr>
      <w:r>
        <w:rPr>
          <w:noProof/>
        </w:rPr>
        <w:t>(b)</w:t>
      </w:r>
      <w:r>
        <w:rPr>
          <w:noProof/>
        </w:rPr>
        <w:tab/>
      </w:r>
      <w:r w:rsidRPr="00744DCA">
        <w:rPr>
          <w:noProof/>
        </w:rPr>
        <w:t>t</w:t>
      </w:r>
      <w:r w:rsidR="00276005" w:rsidRPr="00744DCA">
        <w:rPr>
          <w:noProof/>
        </w:rPr>
        <w:t>he Commission invite</w:t>
      </w:r>
      <w:r w:rsidR="00ED6B70" w:rsidRPr="00744DCA">
        <w:rPr>
          <w:noProof/>
        </w:rPr>
        <w:t>s</w:t>
      </w:r>
      <w:r w:rsidR="00276005" w:rsidRPr="00744DCA">
        <w:rPr>
          <w:noProof/>
        </w:rPr>
        <w:t xml:space="preserve"> at least 4 experts with relevant experience for the negotiations from </w:t>
      </w:r>
      <w:r w:rsidRPr="00744DCA">
        <w:rPr>
          <w:noProof/>
        </w:rPr>
        <w:t xml:space="preserve">participating </w:t>
      </w:r>
      <w:r w:rsidR="003B3D76" w:rsidRPr="00744DCA">
        <w:rPr>
          <w:noProof/>
        </w:rPr>
        <w:t>countries</w:t>
      </w:r>
      <w:r w:rsidRPr="00744DCA">
        <w:rPr>
          <w:noProof/>
        </w:rPr>
        <w:t xml:space="preserve"> </w:t>
      </w:r>
      <w:r w:rsidR="00276005" w:rsidRPr="00744DCA">
        <w:rPr>
          <w:noProof/>
        </w:rPr>
        <w:t>with production capacities for the concerned defence product to form a joint negotiation team;</w:t>
      </w:r>
    </w:p>
    <w:p w14:paraId="474B66CD" w14:textId="77777777" w:rsidR="00846510" w:rsidRPr="00744DCA" w:rsidRDefault="00EF2C39" w:rsidP="00B2056B">
      <w:pPr>
        <w:pStyle w:val="Point1"/>
        <w:rPr>
          <w:noProof/>
        </w:rPr>
      </w:pPr>
      <w:r>
        <w:rPr>
          <w:noProof/>
        </w:rPr>
        <w:t>(c)</w:t>
      </w:r>
      <w:r>
        <w:rPr>
          <w:noProof/>
        </w:rPr>
        <w:tab/>
      </w:r>
      <w:r w:rsidRPr="00744DCA">
        <w:rPr>
          <w:noProof/>
        </w:rPr>
        <w:t xml:space="preserve">participating </w:t>
      </w:r>
      <w:r w:rsidR="009000CA" w:rsidRPr="00744DCA">
        <w:rPr>
          <w:noProof/>
        </w:rPr>
        <w:t>countries</w:t>
      </w:r>
      <w:r w:rsidRPr="00744DCA">
        <w:rPr>
          <w:noProof/>
          <w:lang w:val="en-IE"/>
        </w:rPr>
        <w:t xml:space="preserve"> </w:t>
      </w:r>
      <w:r w:rsidR="00846510" w:rsidRPr="00744DCA">
        <w:rPr>
          <w:noProof/>
          <w:lang w:val="en-IE"/>
        </w:rPr>
        <w:t xml:space="preserve">explicitly state whether they decide to run parallel negotiation processes for that product. The decision to run parallel negotiation processes for that product shall be </w:t>
      </w:r>
      <w:r w:rsidR="00193659" w:rsidRPr="00744DCA">
        <w:rPr>
          <w:noProof/>
          <w:lang w:val="en-IE"/>
        </w:rPr>
        <w:t xml:space="preserve">subject to </w:t>
      </w:r>
      <w:r w:rsidR="00846510" w:rsidRPr="00744DCA">
        <w:rPr>
          <w:noProof/>
          <w:lang w:val="en-IE"/>
        </w:rPr>
        <w:t>unanimous approv</w:t>
      </w:r>
      <w:r w:rsidR="00193659" w:rsidRPr="00744DCA">
        <w:rPr>
          <w:noProof/>
          <w:lang w:val="en-IE"/>
        </w:rPr>
        <w:t>al</w:t>
      </w:r>
      <w:r w:rsidR="00846510" w:rsidRPr="00744DCA">
        <w:rPr>
          <w:noProof/>
          <w:lang w:val="en-IE"/>
        </w:rPr>
        <w:t xml:space="preserve"> by </w:t>
      </w:r>
      <w:r w:rsidRPr="00744DCA">
        <w:rPr>
          <w:noProof/>
        </w:rPr>
        <w:t xml:space="preserve">participating </w:t>
      </w:r>
      <w:r w:rsidR="009000CA" w:rsidRPr="00744DCA">
        <w:rPr>
          <w:noProof/>
        </w:rPr>
        <w:t>countries</w:t>
      </w:r>
      <w:r w:rsidR="00846510" w:rsidRPr="00744DCA">
        <w:rPr>
          <w:noProof/>
        </w:rPr>
        <w:t>;</w:t>
      </w:r>
    </w:p>
    <w:p w14:paraId="32B3A290" w14:textId="77777777" w:rsidR="00F61894" w:rsidRPr="00744DCA" w:rsidRDefault="00193659" w:rsidP="00CB5EDF">
      <w:pPr>
        <w:pStyle w:val="ManualNumPar1"/>
        <w:rPr>
          <w:noProof/>
        </w:rPr>
      </w:pPr>
      <w:r>
        <w:rPr>
          <w:noProof/>
        </w:rPr>
        <w:t>3.</w:t>
      </w:r>
      <w:r>
        <w:rPr>
          <w:noProof/>
        </w:rPr>
        <w:tab/>
      </w:r>
      <w:r w:rsidRPr="00744DCA">
        <w:rPr>
          <w:noProof/>
          <w:lang w:val="en-IE"/>
        </w:rPr>
        <w:t>As part of the procurement</w:t>
      </w:r>
      <w:r w:rsidR="000A4D85">
        <w:rPr>
          <w:noProof/>
          <w:lang w:val="en-IE"/>
        </w:rPr>
        <w:t xml:space="preserve"> referred to in paragraph 1(b)</w:t>
      </w:r>
      <w:r w:rsidRPr="00744DCA">
        <w:rPr>
          <w:noProof/>
          <w:lang w:val="en-IE"/>
        </w:rPr>
        <w:t>, t</w:t>
      </w:r>
      <w:r w:rsidR="00F61894" w:rsidRPr="00744DCA">
        <w:rPr>
          <w:noProof/>
          <w:lang w:val="en-IE"/>
        </w:rPr>
        <w:t xml:space="preserve">he Commission may procure relevant components and raw materials </w:t>
      </w:r>
      <w:r w:rsidR="00603C3C" w:rsidRPr="00744DCA">
        <w:rPr>
          <w:noProof/>
          <w:lang w:val="en-IE"/>
        </w:rPr>
        <w:t xml:space="preserve">of defence products </w:t>
      </w:r>
      <w:r w:rsidR="00F61894" w:rsidRPr="00744DCA">
        <w:rPr>
          <w:noProof/>
          <w:lang w:val="en-IE"/>
        </w:rPr>
        <w:t>for the purpose of building strategic reserves.</w:t>
      </w:r>
    </w:p>
    <w:p w14:paraId="30702ADB" w14:textId="1C9F9BEA" w:rsidR="00CB5EDF" w:rsidRPr="00744DCA" w:rsidRDefault="4C488A57" w:rsidP="2E40BD79">
      <w:pPr>
        <w:pStyle w:val="ManualNumPar1"/>
        <w:ind w:left="0" w:firstLine="0"/>
        <w:rPr>
          <w:noProof/>
          <w:lang w:val="en-IE"/>
        </w:rPr>
      </w:pPr>
      <w:r w:rsidRPr="00744DCA">
        <w:rPr>
          <w:noProof/>
          <w:lang w:val="en-IE"/>
        </w:rPr>
        <w:t>When duly justified by the extreme urgency of the situation</w:t>
      </w:r>
      <w:r w:rsidR="00AB51BA" w:rsidRPr="00744DCA">
        <w:rPr>
          <w:noProof/>
          <w:lang w:val="en-IE"/>
        </w:rPr>
        <w:t xml:space="preserve"> the Commission may</w:t>
      </w:r>
      <w:r w:rsidRPr="00744DCA">
        <w:rPr>
          <w:noProof/>
          <w:lang w:val="en-IE"/>
        </w:rPr>
        <w:t>, by way of derogation from Article 172(1) of Regulation (EU, Euratom) 2018/1046,  request the delivery of goods or services from the date on which the draft contracts resulting from the procurement carried out for the purposes of this Regulation are sent, which shall be no later than 24 hours as from the award.</w:t>
      </w:r>
    </w:p>
    <w:p w14:paraId="5A28E468" w14:textId="77777777" w:rsidR="00ED3DA9" w:rsidRPr="00744DCA" w:rsidRDefault="54B5E6A3" w:rsidP="00ED3DA9">
      <w:pPr>
        <w:pStyle w:val="ManualNumPar1"/>
        <w:rPr>
          <w:noProof/>
          <w:lang w:val="en-IE"/>
        </w:rPr>
      </w:pPr>
      <w:r>
        <w:rPr>
          <w:noProof/>
        </w:rPr>
        <w:t>4.</w:t>
      </w:r>
      <w:r>
        <w:rPr>
          <w:noProof/>
        </w:rPr>
        <w:tab/>
      </w:r>
      <w:r w:rsidRPr="00744DCA">
        <w:rPr>
          <w:noProof/>
          <w:lang w:val="en-IE"/>
        </w:rPr>
        <w:t xml:space="preserve">In </w:t>
      </w:r>
      <w:r w:rsidRPr="00744DCA">
        <w:rPr>
          <w:noProof/>
        </w:rPr>
        <w:t>order</w:t>
      </w:r>
      <w:r w:rsidRPr="00744DCA">
        <w:rPr>
          <w:noProof/>
          <w:lang w:val="en-IE"/>
        </w:rPr>
        <w:t xml:space="preserve"> to enter into purchase agreements with economic operators, representatives of the Commission, or experts nominated by the Commission, may carry out on-site visits in cooperation with relevant national authorities at the locations of production facilities of relevant defence products.</w:t>
      </w:r>
    </w:p>
    <w:p w14:paraId="6DCF433E" w14:textId="77777777" w:rsidR="00551208" w:rsidRPr="00744DCA" w:rsidRDefault="00551208" w:rsidP="00551208">
      <w:pPr>
        <w:pStyle w:val="ManualNumPar1"/>
        <w:rPr>
          <w:noProof/>
        </w:rPr>
      </w:pPr>
      <w:r>
        <w:rPr>
          <w:noProof/>
        </w:rPr>
        <w:t>5.</w:t>
      </w:r>
      <w:r>
        <w:rPr>
          <w:noProof/>
        </w:rPr>
        <w:tab/>
      </w:r>
      <w:r w:rsidRPr="00744DCA">
        <w:rPr>
          <w:noProof/>
        </w:rPr>
        <w:t xml:space="preserve">Ownership and export of defence products purchased under this Article shall remain the competence of the participating </w:t>
      </w:r>
      <w:r w:rsidR="00A14E2E" w:rsidRPr="00744DCA">
        <w:rPr>
          <w:noProof/>
        </w:rPr>
        <w:t>countries</w:t>
      </w:r>
      <w:r w:rsidRPr="00744DCA">
        <w:rPr>
          <w:noProof/>
        </w:rPr>
        <w:t xml:space="preserve">. </w:t>
      </w:r>
    </w:p>
    <w:p w14:paraId="43539D15" w14:textId="77777777" w:rsidR="00711F82" w:rsidRPr="00744DCA" w:rsidRDefault="00711F82" w:rsidP="00711F82">
      <w:pPr>
        <w:pStyle w:val="ManualNumPar1"/>
        <w:rPr>
          <w:noProof/>
          <w:lang w:val="en-IE"/>
        </w:rPr>
      </w:pPr>
      <w:r>
        <w:rPr>
          <w:noProof/>
        </w:rPr>
        <w:t>6.</w:t>
      </w:r>
      <w:r>
        <w:rPr>
          <w:noProof/>
        </w:rPr>
        <w:tab/>
      </w:r>
      <w:r w:rsidRPr="00744DCA">
        <w:rPr>
          <w:noProof/>
          <w:lang w:val="en-IE"/>
        </w:rPr>
        <w:t xml:space="preserve">The Commission shall ensure that participating </w:t>
      </w:r>
      <w:r w:rsidR="00051A5A" w:rsidRPr="00744DCA">
        <w:rPr>
          <w:noProof/>
          <w:lang w:val="en-IE"/>
        </w:rPr>
        <w:t xml:space="preserve">countries </w:t>
      </w:r>
      <w:r w:rsidRPr="00744DCA">
        <w:rPr>
          <w:noProof/>
          <w:lang w:val="en-IE"/>
        </w:rPr>
        <w:t>are treated equally when carrying out the procurement procedures and when implementing the resulting agreements.</w:t>
      </w:r>
    </w:p>
    <w:p w14:paraId="79BDF655" w14:textId="77777777" w:rsidR="00CB5EDF" w:rsidRPr="00744DCA" w:rsidRDefault="299C41F4" w:rsidP="00CB5EDF">
      <w:pPr>
        <w:pStyle w:val="ManualNumPar1"/>
        <w:rPr>
          <w:noProof/>
        </w:rPr>
      </w:pPr>
      <w:r>
        <w:rPr>
          <w:noProof/>
        </w:rPr>
        <w:t>7.</w:t>
      </w:r>
      <w:r>
        <w:rPr>
          <w:noProof/>
        </w:rPr>
        <w:tab/>
      </w:r>
      <w:r w:rsidRPr="00744DCA">
        <w:rPr>
          <w:noProof/>
        </w:rPr>
        <w:t xml:space="preserve">The </w:t>
      </w:r>
      <w:r w:rsidR="6D29AB11" w:rsidRPr="00744DCA">
        <w:rPr>
          <w:noProof/>
        </w:rPr>
        <w:t xml:space="preserve">use </w:t>
      </w:r>
      <w:r w:rsidRPr="00744DCA">
        <w:rPr>
          <w:noProof/>
        </w:rPr>
        <w:t xml:space="preserve">of </w:t>
      </w:r>
      <w:r w:rsidR="00B53C10" w:rsidRPr="00744DCA">
        <w:rPr>
          <w:noProof/>
        </w:rPr>
        <w:t xml:space="preserve">procurement </w:t>
      </w:r>
      <w:r w:rsidRPr="00744DCA">
        <w:rPr>
          <w:noProof/>
        </w:rPr>
        <w:t xml:space="preserve">pursuant to </w:t>
      </w:r>
      <w:r w:rsidR="00D648CD" w:rsidRPr="00744DCA">
        <w:rPr>
          <w:noProof/>
        </w:rPr>
        <w:t xml:space="preserve">paragraph 1 </w:t>
      </w:r>
      <w:r w:rsidRPr="00744DCA">
        <w:rPr>
          <w:noProof/>
        </w:rPr>
        <w:t>shall be without prejudice to other instruments provided for in the Financial Regulation.</w:t>
      </w:r>
    </w:p>
    <w:p w14:paraId="07A01491" w14:textId="77777777" w:rsidR="002948F8" w:rsidRPr="00744DCA" w:rsidRDefault="002E5665" w:rsidP="00386522">
      <w:pPr>
        <w:pStyle w:val="ManualNumPar1"/>
        <w:rPr>
          <w:noProof/>
        </w:rPr>
      </w:pPr>
      <w:r>
        <w:rPr>
          <w:noProof/>
        </w:rPr>
        <w:t>8.</w:t>
      </w:r>
      <w:r>
        <w:rPr>
          <w:noProof/>
        </w:rPr>
        <w:tab/>
      </w:r>
      <w:r w:rsidRPr="00744DCA">
        <w:rPr>
          <w:noProof/>
        </w:rPr>
        <w:t>I</w:t>
      </w:r>
      <w:r w:rsidR="7A20120C" w:rsidRPr="00744DCA">
        <w:rPr>
          <w:noProof/>
        </w:rPr>
        <w:t>n addition to the conditions set out in the Financial Regulation</w:t>
      </w:r>
      <w:r w:rsidR="299C41F4" w:rsidRPr="00744DCA">
        <w:rPr>
          <w:noProof/>
        </w:rPr>
        <w:t xml:space="preserve">, </w:t>
      </w:r>
      <w:r w:rsidR="002B511D" w:rsidRPr="00744DCA">
        <w:rPr>
          <w:noProof/>
        </w:rPr>
        <w:t xml:space="preserve">eligibility criteria </w:t>
      </w:r>
      <w:r w:rsidR="001D0B3E" w:rsidRPr="00744DCA">
        <w:rPr>
          <w:noProof/>
        </w:rPr>
        <w:t xml:space="preserve">equivalent to those </w:t>
      </w:r>
      <w:r w:rsidR="006824C1" w:rsidRPr="00744DCA">
        <w:rPr>
          <w:noProof/>
        </w:rPr>
        <w:t xml:space="preserve">laid down </w:t>
      </w:r>
      <w:r w:rsidR="299C41F4" w:rsidRPr="00744DCA">
        <w:rPr>
          <w:noProof/>
        </w:rPr>
        <w:t xml:space="preserve">in Article 10 of this Regulation shall apply, </w:t>
      </w:r>
      <w:r w:rsidR="299C41F4" w:rsidRPr="00744DCA">
        <w:rPr>
          <w:i/>
          <w:iCs/>
          <w:noProof/>
        </w:rPr>
        <w:t>mutatis mutandis</w:t>
      </w:r>
      <w:r w:rsidR="299C41F4" w:rsidRPr="00744DCA">
        <w:rPr>
          <w:noProof/>
        </w:rPr>
        <w:t xml:space="preserve">, to </w:t>
      </w:r>
      <w:r w:rsidR="006473C1" w:rsidRPr="00744DCA">
        <w:rPr>
          <w:noProof/>
        </w:rPr>
        <w:t xml:space="preserve">tenderers, </w:t>
      </w:r>
      <w:r w:rsidR="299C41F4" w:rsidRPr="00744DCA">
        <w:rPr>
          <w:noProof/>
        </w:rPr>
        <w:t xml:space="preserve">contractors and subcontractors in contracts resulting from the </w:t>
      </w:r>
      <w:r w:rsidR="00DB7107" w:rsidRPr="00744DCA">
        <w:rPr>
          <w:noProof/>
        </w:rPr>
        <w:t xml:space="preserve">procurement </w:t>
      </w:r>
      <w:r w:rsidR="299C41F4" w:rsidRPr="00744DCA">
        <w:rPr>
          <w:noProof/>
        </w:rPr>
        <w:t xml:space="preserve">conducted </w:t>
      </w:r>
      <w:r w:rsidR="00DB7107" w:rsidRPr="00744DCA">
        <w:rPr>
          <w:noProof/>
        </w:rPr>
        <w:t>pursuant to this Article</w:t>
      </w:r>
      <w:r w:rsidR="299C41F4" w:rsidRPr="00744DCA">
        <w:rPr>
          <w:noProof/>
        </w:rPr>
        <w:t>.</w:t>
      </w:r>
    </w:p>
    <w:p w14:paraId="2341B18E" w14:textId="77777777" w:rsidR="002948F8" w:rsidRPr="00744DCA" w:rsidRDefault="002948F8" w:rsidP="002948F8">
      <w:pPr>
        <w:pStyle w:val="Titrearticle"/>
        <w:rPr>
          <w:noProof/>
          <w:lang w:val="en-IE"/>
        </w:rPr>
      </w:pPr>
      <w:r w:rsidRPr="00FA1F34">
        <w:rPr>
          <w:noProof/>
        </w:rPr>
        <w:t>Article</w:t>
      </w:r>
      <w:r w:rsidRPr="00744DCA">
        <w:rPr>
          <w:noProof/>
          <w:lang w:val="en-IE"/>
        </w:rPr>
        <w:t xml:space="preserve"> </w:t>
      </w:r>
      <w:r w:rsidR="00C0301B" w:rsidRPr="00744DCA">
        <w:rPr>
          <w:noProof/>
          <w:lang w:val="en-IE"/>
        </w:rPr>
        <w:t>3</w:t>
      </w:r>
      <w:r w:rsidR="00D048CC" w:rsidRPr="00744DCA">
        <w:rPr>
          <w:noProof/>
          <w:lang w:val="en-IE"/>
        </w:rPr>
        <w:t>6</w:t>
      </w:r>
    </w:p>
    <w:p w14:paraId="2A4554E0" w14:textId="77777777" w:rsidR="002948F8" w:rsidRPr="00744DCA" w:rsidRDefault="002948F8" w:rsidP="00386522">
      <w:pPr>
        <w:pStyle w:val="Titrearticle"/>
        <w:rPr>
          <w:b/>
          <w:i w:val="0"/>
          <w:noProof/>
        </w:rPr>
      </w:pPr>
      <w:r w:rsidRPr="00744DCA">
        <w:rPr>
          <w:b/>
          <w:i w:val="0"/>
          <w:noProof/>
        </w:rPr>
        <w:t>Advance Purchase of defence products</w:t>
      </w:r>
    </w:p>
    <w:p w14:paraId="40D5E95F" w14:textId="77777777" w:rsidR="002948F8" w:rsidRPr="00744DCA" w:rsidRDefault="00846510" w:rsidP="00B2056B">
      <w:pPr>
        <w:pStyle w:val="ManualNumPar1"/>
        <w:rPr>
          <w:noProof/>
          <w:lang w:val="en-IE"/>
        </w:rPr>
      </w:pPr>
      <w:r>
        <w:rPr>
          <w:noProof/>
        </w:rPr>
        <w:t>1.</w:t>
      </w:r>
      <w:r>
        <w:rPr>
          <w:noProof/>
        </w:rPr>
        <w:tab/>
      </w:r>
      <w:r w:rsidRPr="00744DCA">
        <w:rPr>
          <w:noProof/>
          <w:lang w:val="en-IE"/>
        </w:rPr>
        <w:t xml:space="preserve">Joint purchasing referred to in Article </w:t>
      </w:r>
      <w:r w:rsidR="0031635D" w:rsidRPr="00744DCA">
        <w:rPr>
          <w:noProof/>
          <w:lang w:val="en-IE"/>
        </w:rPr>
        <w:t>3</w:t>
      </w:r>
      <w:r w:rsidR="005B3B5F" w:rsidRPr="00744DCA">
        <w:rPr>
          <w:noProof/>
          <w:lang w:val="en-IE"/>
        </w:rPr>
        <w:t>5</w:t>
      </w:r>
      <w:r w:rsidR="0031635D" w:rsidRPr="00744DCA">
        <w:rPr>
          <w:noProof/>
          <w:lang w:val="en-IE"/>
        </w:rPr>
        <w:t xml:space="preserve"> </w:t>
      </w:r>
      <w:r w:rsidR="002948F8" w:rsidRPr="00744DCA">
        <w:rPr>
          <w:noProof/>
          <w:lang w:val="en-IE"/>
        </w:rPr>
        <w:t>may take the form of advanced purchasing agreements</w:t>
      </w:r>
      <w:r w:rsidR="00ED3DA9" w:rsidRPr="00744DCA">
        <w:rPr>
          <w:noProof/>
          <w:lang w:val="en-IE"/>
        </w:rPr>
        <w:t xml:space="preserve"> of defence products</w:t>
      </w:r>
      <w:r w:rsidR="009A534D" w:rsidRPr="00744DCA">
        <w:rPr>
          <w:noProof/>
          <w:lang w:val="en-IE"/>
        </w:rPr>
        <w:t xml:space="preserve"> negotiated and concluded in the name and on behalf of participating </w:t>
      </w:r>
      <w:r w:rsidR="00705117" w:rsidRPr="00744DCA">
        <w:rPr>
          <w:noProof/>
          <w:lang w:val="en-IE"/>
        </w:rPr>
        <w:t>c</w:t>
      </w:r>
      <w:r w:rsidR="009A534D" w:rsidRPr="00744DCA">
        <w:rPr>
          <w:noProof/>
          <w:lang w:val="en-IE"/>
        </w:rPr>
        <w:t>ountries</w:t>
      </w:r>
      <w:r w:rsidR="002948F8" w:rsidRPr="00744DCA">
        <w:rPr>
          <w:noProof/>
          <w:lang w:val="en-IE"/>
        </w:rPr>
        <w:t>.</w:t>
      </w:r>
      <w:r w:rsidR="002948F8" w:rsidRPr="00744DCA">
        <w:rPr>
          <w:rFonts w:asciiTheme="minorHAnsi" w:hAnsiTheme="minorHAnsi" w:cstheme="minorBidi"/>
          <w:noProof/>
          <w:kern w:val="2"/>
          <w:sz w:val="22"/>
          <w:lang w:val="en-IE"/>
        </w:rPr>
        <w:t xml:space="preserve"> </w:t>
      </w:r>
      <w:r w:rsidR="002948F8" w:rsidRPr="00744DCA">
        <w:rPr>
          <w:noProof/>
          <w:lang w:val="en-IE"/>
        </w:rPr>
        <w:t xml:space="preserve">Those agreements </w:t>
      </w:r>
      <w:r w:rsidR="00FB7CE4" w:rsidRPr="00744DCA">
        <w:rPr>
          <w:noProof/>
          <w:lang w:val="en-IE"/>
        </w:rPr>
        <w:t>may</w:t>
      </w:r>
      <w:r w:rsidR="002948F8" w:rsidRPr="00744DCA">
        <w:rPr>
          <w:noProof/>
          <w:lang w:val="en-IE"/>
        </w:rPr>
        <w:t xml:space="preserve"> include a prepayment mechanism for the production of such products in exchange for the right to the result</w:t>
      </w:r>
      <w:r w:rsidR="00F24E4F" w:rsidRPr="00744DCA">
        <w:rPr>
          <w:noProof/>
          <w:lang w:val="en-IE"/>
        </w:rPr>
        <w:t>, which shall not exceed the parts of the contract on non-recurrent costs and/or the reservation of manufacturing capacities</w:t>
      </w:r>
      <w:r w:rsidR="002948F8" w:rsidRPr="00744DCA">
        <w:rPr>
          <w:noProof/>
          <w:lang w:val="en-IE"/>
        </w:rPr>
        <w:t>.</w:t>
      </w:r>
    </w:p>
    <w:p w14:paraId="6966ACBD" w14:textId="77777777" w:rsidR="002948F8" w:rsidRPr="00744DCA" w:rsidRDefault="00FF32E8" w:rsidP="00822411">
      <w:pPr>
        <w:pStyle w:val="ManualNumPar1"/>
        <w:rPr>
          <w:noProof/>
          <w:lang w:val="en-IE"/>
        </w:rPr>
      </w:pPr>
      <w:r>
        <w:rPr>
          <w:noProof/>
        </w:rPr>
        <w:t>2.</w:t>
      </w:r>
      <w:r>
        <w:rPr>
          <w:noProof/>
        </w:rPr>
        <w:tab/>
      </w:r>
      <w:r w:rsidRPr="00744DCA">
        <w:rPr>
          <w:noProof/>
        </w:rPr>
        <w:t xml:space="preserve">Where the agreements </w:t>
      </w:r>
      <w:r w:rsidR="00C163A2" w:rsidRPr="00744DCA">
        <w:rPr>
          <w:noProof/>
        </w:rPr>
        <w:t xml:space="preserve">referred to in paragraph 1 of this Article </w:t>
      </w:r>
      <w:r w:rsidRPr="00744DCA">
        <w:rPr>
          <w:noProof/>
        </w:rPr>
        <w:t xml:space="preserve">include a prepayment mechanism, the up-front payment to the contractor </w:t>
      </w:r>
      <w:r w:rsidR="001C693E" w:rsidRPr="00744DCA">
        <w:rPr>
          <w:noProof/>
        </w:rPr>
        <w:t>shall b</w:t>
      </w:r>
      <w:r w:rsidR="008B6C3B" w:rsidRPr="00744DCA">
        <w:rPr>
          <w:noProof/>
        </w:rPr>
        <w:t>e</w:t>
      </w:r>
      <w:r w:rsidR="002948F8" w:rsidRPr="00744DCA">
        <w:rPr>
          <w:noProof/>
          <w:lang w:val="en-IE"/>
        </w:rPr>
        <w:t xml:space="preserve"> </w:t>
      </w:r>
      <w:r w:rsidR="005B524D" w:rsidRPr="00744DCA">
        <w:rPr>
          <w:noProof/>
          <w:lang w:val="en-IE"/>
        </w:rPr>
        <w:t>covered by the</w:t>
      </w:r>
      <w:r w:rsidR="00196651" w:rsidRPr="00744DCA">
        <w:rPr>
          <w:noProof/>
          <w:lang w:val="en-IE"/>
        </w:rPr>
        <w:t xml:space="preserve"> financial</w:t>
      </w:r>
      <w:r w:rsidR="005B524D" w:rsidRPr="00744DCA">
        <w:rPr>
          <w:noProof/>
          <w:lang w:val="en-IE"/>
        </w:rPr>
        <w:t xml:space="preserve"> </w:t>
      </w:r>
      <w:r w:rsidR="00A56F38" w:rsidRPr="00744DCA">
        <w:rPr>
          <w:noProof/>
          <w:lang w:val="en-IE"/>
        </w:rPr>
        <w:t>envelope referred to A</w:t>
      </w:r>
      <w:r w:rsidR="000F11C6" w:rsidRPr="00744DCA">
        <w:rPr>
          <w:noProof/>
          <w:lang w:val="en-IE"/>
        </w:rPr>
        <w:t>rticle 5</w:t>
      </w:r>
      <w:r w:rsidR="00C163A2" w:rsidRPr="00744DCA">
        <w:rPr>
          <w:noProof/>
          <w:lang w:val="en-IE"/>
        </w:rPr>
        <w:t>(1)</w:t>
      </w:r>
      <w:r w:rsidR="00C00500" w:rsidRPr="00744DCA">
        <w:rPr>
          <w:noProof/>
          <w:lang w:val="en-IE"/>
        </w:rPr>
        <w:t>.</w:t>
      </w:r>
      <w:r w:rsidR="00DD2F34" w:rsidRPr="00744DCA">
        <w:rPr>
          <w:noProof/>
          <w:lang w:val="en-IE"/>
        </w:rPr>
        <w:t xml:space="preserve"> Contributions </w:t>
      </w:r>
      <w:r w:rsidR="00437E65" w:rsidRPr="00744DCA">
        <w:rPr>
          <w:noProof/>
          <w:lang w:val="en-IE"/>
        </w:rPr>
        <w:t>of participating countries as referred to in Article 6</w:t>
      </w:r>
      <w:r w:rsidR="008B6C3B" w:rsidRPr="00744DCA">
        <w:rPr>
          <w:noProof/>
          <w:lang w:val="en-IE"/>
        </w:rPr>
        <w:t xml:space="preserve"> </w:t>
      </w:r>
      <w:r w:rsidR="005911AC" w:rsidRPr="00744DCA">
        <w:rPr>
          <w:noProof/>
          <w:lang w:val="en-IE"/>
        </w:rPr>
        <w:t xml:space="preserve">shall be </w:t>
      </w:r>
      <w:r w:rsidR="002948F8" w:rsidRPr="00744DCA">
        <w:rPr>
          <w:noProof/>
          <w:lang w:val="en-IE"/>
        </w:rPr>
        <w:t>take</w:t>
      </w:r>
      <w:r w:rsidR="005911AC" w:rsidRPr="00744DCA">
        <w:rPr>
          <w:noProof/>
          <w:lang w:val="en-IE"/>
        </w:rPr>
        <w:t>n</w:t>
      </w:r>
      <w:r w:rsidR="002948F8" w:rsidRPr="00744DCA">
        <w:rPr>
          <w:noProof/>
          <w:lang w:val="en-IE"/>
        </w:rPr>
        <w:t xml:space="preserve"> into account in equal terms per item ordered by the participating </w:t>
      </w:r>
      <w:r w:rsidR="003F77C8" w:rsidRPr="00744DCA">
        <w:rPr>
          <w:noProof/>
          <w:lang w:val="en-IE"/>
        </w:rPr>
        <w:t>countries</w:t>
      </w:r>
      <w:r w:rsidR="002948F8" w:rsidRPr="00744DCA">
        <w:rPr>
          <w:noProof/>
          <w:lang w:val="en-IE"/>
        </w:rPr>
        <w:t>.</w:t>
      </w:r>
    </w:p>
    <w:p w14:paraId="22FDB696" w14:textId="77777777" w:rsidR="00711F82" w:rsidRPr="00744DCA" w:rsidRDefault="00711F82" w:rsidP="00822411">
      <w:pPr>
        <w:pStyle w:val="ManualNumPar1"/>
        <w:rPr>
          <w:noProof/>
          <w:lang w:val="en-IE"/>
        </w:rPr>
      </w:pPr>
      <w:r>
        <w:rPr>
          <w:noProof/>
        </w:rPr>
        <w:t>3.</w:t>
      </w:r>
      <w:r>
        <w:rPr>
          <w:noProof/>
        </w:rPr>
        <w:tab/>
      </w:r>
      <w:r w:rsidRPr="00744DCA">
        <w:rPr>
          <w:noProof/>
          <w:lang w:val="en-IE"/>
        </w:rPr>
        <w:t xml:space="preserve">In cases </w:t>
      </w:r>
      <w:r w:rsidRPr="00744DCA">
        <w:rPr>
          <w:noProof/>
        </w:rPr>
        <w:t>where</w:t>
      </w:r>
      <w:r w:rsidRPr="00744DCA">
        <w:rPr>
          <w:noProof/>
          <w:lang w:val="en-IE"/>
        </w:rPr>
        <w:t xml:space="preserve"> the negotiated amounts exceed demand, the Commission, at the request of the Member States concerned, shall elaborate a mechanism for reallocation to national stockpiles</w:t>
      </w:r>
      <w:r w:rsidR="00B36396" w:rsidRPr="00744DCA">
        <w:rPr>
          <w:noProof/>
          <w:lang w:val="en-IE"/>
        </w:rPr>
        <w:t xml:space="preserve"> or </w:t>
      </w:r>
      <w:r w:rsidR="00F471AF" w:rsidRPr="00744DCA">
        <w:rPr>
          <w:noProof/>
          <w:lang w:val="en-IE"/>
        </w:rPr>
        <w:t>building up of the defence industr</w:t>
      </w:r>
      <w:r w:rsidR="00D85DFF" w:rsidRPr="00744DCA">
        <w:rPr>
          <w:noProof/>
          <w:lang w:val="en-IE"/>
        </w:rPr>
        <w:t>ial</w:t>
      </w:r>
      <w:r w:rsidR="00F471AF" w:rsidRPr="00744DCA">
        <w:rPr>
          <w:noProof/>
          <w:lang w:val="en-IE"/>
        </w:rPr>
        <w:t xml:space="preserve"> readiness pool as referred to in Article </w:t>
      </w:r>
      <w:r w:rsidR="00631DEF" w:rsidRPr="00744DCA">
        <w:rPr>
          <w:noProof/>
          <w:lang w:val="en-IE"/>
        </w:rPr>
        <w:t>14(1)</w:t>
      </w:r>
      <w:r w:rsidR="00C163A2" w:rsidRPr="00744DCA">
        <w:rPr>
          <w:noProof/>
          <w:lang w:val="en-IE"/>
        </w:rPr>
        <w:t>, point (b</w:t>
      </w:r>
      <w:r w:rsidR="00631DEF" w:rsidRPr="00744DCA">
        <w:rPr>
          <w:noProof/>
          <w:lang w:val="en-IE"/>
        </w:rPr>
        <w:t>)</w:t>
      </w:r>
      <w:r w:rsidRPr="00744DCA">
        <w:rPr>
          <w:noProof/>
          <w:lang w:val="en-IE"/>
        </w:rPr>
        <w:t>.</w:t>
      </w:r>
    </w:p>
    <w:p w14:paraId="7A526FDB" w14:textId="77777777" w:rsidR="002948F8" w:rsidRPr="00744DCA" w:rsidRDefault="002948F8" w:rsidP="00386522">
      <w:pPr>
        <w:pStyle w:val="Titrearticle"/>
        <w:rPr>
          <w:i w:val="0"/>
          <w:iCs/>
          <w:noProof/>
          <w:szCs w:val="24"/>
        </w:rPr>
      </w:pPr>
      <w:r w:rsidRPr="00744DCA">
        <w:rPr>
          <w:iCs/>
          <w:noProof/>
          <w:szCs w:val="24"/>
        </w:rPr>
        <w:t xml:space="preserve">Article </w:t>
      </w:r>
      <w:r w:rsidR="00C0301B" w:rsidRPr="00744DCA">
        <w:rPr>
          <w:i w:val="0"/>
          <w:iCs/>
          <w:noProof/>
          <w:szCs w:val="24"/>
        </w:rPr>
        <w:t>3</w:t>
      </w:r>
      <w:r w:rsidR="00D048CC" w:rsidRPr="00744DCA">
        <w:rPr>
          <w:i w:val="0"/>
          <w:iCs/>
          <w:noProof/>
          <w:szCs w:val="24"/>
        </w:rPr>
        <w:t>7</w:t>
      </w:r>
    </w:p>
    <w:p w14:paraId="479A1CD2" w14:textId="77777777" w:rsidR="002948F8" w:rsidRPr="00FA1F34" w:rsidRDefault="002948F8" w:rsidP="00386522">
      <w:pPr>
        <w:pStyle w:val="Titrearticle"/>
        <w:rPr>
          <w:b/>
          <w:i w:val="0"/>
          <w:noProof/>
          <w:lang w:val="en-IE"/>
        </w:rPr>
      </w:pPr>
      <w:r w:rsidRPr="00744DCA">
        <w:rPr>
          <w:b/>
          <w:i w:val="0"/>
          <w:noProof/>
        </w:rPr>
        <w:t>Facilitating off-take agreements</w:t>
      </w:r>
    </w:p>
    <w:p w14:paraId="7E506C4B" w14:textId="77777777" w:rsidR="002948F8" w:rsidRPr="00744DCA" w:rsidRDefault="002948F8" w:rsidP="00B2056B">
      <w:pPr>
        <w:pStyle w:val="ManualNumPar1"/>
        <w:rPr>
          <w:noProof/>
        </w:rPr>
      </w:pPr>
      <w:r>
        <w:rPr>
          <w:noProof/>
        </w:rPr>
        <w:t>1.</w:t>
      </w:r>
      <w:r>
        <w:rPr>
          <w:noProof/>
        </w:rPr>
        <w:tab/>
      </w:r>
      <w:r w:rsidRPr="00744DCA">
        <w:rPr>
          <w:noProof/>
        </w:rPr>
        <w:t>The Commission shall set up a system to facilitate the conclusion of off-take agreements related to the industrial ramp</w:t>
      </w:r>
      <w:r w:rsidR="00193659" w:rsidRPr="00744DCA">
        <w:rPr>
          <w:noProof/>
        </w:rPr>
        <w:t>-</w:t>
      </w:r>
      <w:r w:rsidRPr="00744DCA">
        <w:rPr>
          <w:noProof/>
        </w:rPr>
        <w:t>up of the EDTIB’s manufacturing capacities</w:t>
      </w:r>
      <w:r w:rsidR="009A534D" w:rsidRPr="00744DCA">
        <w:rPr>
          <w:noProof/>
        </w:rPr>
        <w:t xml:space="preserve"> as well as those of the Ukrainian DTIB</w:t>
      </w:r>
      <w:r w:rsidR="009139AD" w:rsidRPr="00744DCA">
        <w:rPr>
          <w:noProof/>
        </w:rPr>
        <w:t>, taking into account the opinion</w:t>
      </w:r>
      <w:r w:rsidR="00777E9F" w:rsidRPr="00744DCA">
        <w:rPr>
          <w:noProof/>
        </w:rPr>
        <w:t xml:space="preserve"> and advice of the Defence Industrial Readiness Board</w:t>
      </w:r>
      <w:r w:rsidR="00520087" w:rsidRPr="00744DCA">
        <w:rPr>
          <w:noProof/>
        </w:rPr>
        <w:t xml:space="preserve"> and</w:t>
      </w:r>
      <w:r w:rsidRPr="00744DCA">
        <w:rPr>
          <w:noProof/>
        </w:rPr>
        <w:t xml:space="preserve"> in compliance with competition and procurement rules.</w:t>
      </w:r>
    </w:p>
    <w:p w14:paraId="6E576870" w14:textId="77777777" w:rsidR="002948F8" w:rsidRPr="00744DCA" w:rsidRDefault="002948F8" w:rsidP="00B2056B">
      <w:pPr>
        <w:pStyle w:val="ManualNumPar1"/>
        <w:rPr>
          <w:noProof/>
          <w:szCs w:val="24"/>
        </w:rPr>
      </w:pPr>
      <w:r>
        <w:rPr>
          <w:noProof/>
        </w:rPr>
        <w:t>2.</w:t>
      </w:r>
      <w:r>
        <w:rPr>
          <w:noProof/>
        </w:rPr>
        <w:tab/>
      </w:r>
      <w:r w:rsidRPr="00744DCA">
        <w:rPr>
          <w:noProof/>
        </w:rPr>
        <w:t>The</w:t>
      </w:r>
      <w:r w:rsidRPr="00744DCA">
        <w:rPr>
          <w:noProof/>
          <w:szCs w:val="24"/>
        </w:rPr>
        <w:t xml:space="preserve"> system referred to in paragraph 1 shall allow interested Member States</w:t>
      </w:r>
      <w:r w:rsidR="009A534D" w:rsidRPr="00744DCA">
        <w:rPr>
          <w:noProof/>
          <w:szCs w:val="24"/>
        </w:rPr>
        <w:t xml:space="preserve">, </w:t>
      </w:r>
      <w:r w:rsidR="004F5D4E" w:rsidRPr="00744DCA">
        <w:rPr>
          <w:noProof/>
          <w:szCs w:val="24"/>
        </w:rPr>
        <w:t>a</w:t>
      </w:r>
      <w:r w:rsidR="009A534D" w:rsidRPr="00744DCA">
        <w:rPr>
          <w:noProof/>
          <w:szCs w:val="24"/>
        </w:rPr>
        <w:t xml:space="preserve">ssociated </w:t>
      </w:r>
      <w:r w:rsidR="004F5D4E" w:rsidRPr="00744DCA">
        <w:rPr>
          <w:noProof/>
          <w:szCs w:val="24"/>
        </w:rPr>
        <w:t>c</w:t>
      </w:r>
      <w:r w:rsidR="009A534D" w:rsidRPr="00744DCA">
        <w:rPr>
          <w:noProof/>
          <w:szCs w:val="24"/>
        </w:rPr>
        <w:t>ountries and, where relevant, Ukraine</w:t>
      </w:r>
      <w:r w:rsidRPr="00744DCA">
        <w:rPr>
          <w:noProof/>
          <w:szCs w:val="24"/>
        </w:rPr>
        <w:t xml:space="preserve"> to make bids indicating:</w:t>
      </w:r>
    </w:p>
    <w:p w14:paraId="2A4E7FCF" w14:textId="77777777" w:rsidR="002948F8" w:rsidRPr="00744DCA" w:rsidRDefault="002948F8" w:rsidP="00B2056B">
      <w:pPr>
        <w:pStyle w:val="Point1"/>
        <w:rPr>
          <w:noProof/>
        </w:rPr>
      </w:pPr>
      <w:r>
        <w:rPr>
          <w:noProof/>
        </w:rPr>
        <w:t>(a)</w:t>
      </w:r>
      <w:r>
        <w:rPr>
          <w:noProof/>
        </w:rPr>
        <w:tab/>
      </w:r>
      <w:r w:rsidRPr="00744DCA">
        <w:rPr>
          <w:noProof/>
        </w:rPr>
        <w:t>the volume and quality of defence products they intend to purchase;</w:t>
      </w:r>
    </w:p>
    <w:p w14:paraId="2089EA10" w14:textId="77777777" w:rsidR="002948F8" w:rsidRPr="00744DCA" w:rsidRDefault="002948F8" w:rsidP="002F68B7">
      <w:pPr>
        <w:pStyle w:val="Point1"/>
        <w:rPr>
          <w:noProof/>
        </w:rPr>
      </w:pPr>
      <w:r>
        <w:rPr>
          <w:noProof/>
        </w:rPr>
        <w:t>(b)</w:t>
      </w:r>
      <w:r>
        <w:rPr>
          <w:noProof/>
        </w:rPr>
        <w:tab/>
      </w:r>
      <w:r w:rsidRPr="00744DCA">
        <w:rPr>
          <w:noProof/>
        </w:rPr>
        <w:t>the intended price or price range;</w:t>
      </w:r>
    </w:p>
    <w:p w14:paraId="65E534B0" w14:textId="77777777" w:rsidR="002948F8" w:rsidRPr="00744DCA" w:rsidRDefault="002948F8" w:rsidP="002F68B7">
      <w:pPr>
        <w:pStyle w:val="Point1"/>
        <w:rPr>
          <w:noProof/>
        </w:rPr>
      </w:pPr>
      <w:r>
        <w:rPr>
          <w:noProof/>
        </w:rPr>
        <w:t>(c)</w:t>
      </w:r>
      <w:r>
        <w:rPr>
          <w:noProof/>
        </w:rPr>
        <w:tab/>
      </w:r>
      <w:r w:rsidRPr="00744DCA">
        <w:rPr>
          <w:noProof/>
        </w:rPr>
        <w:t>the intended duration of the off-take agreement.</w:t>
      </w:r>
    </w:p>
    <w:p w14:paraId="25232BB7" w14:textId="77777777" w:rsidR="002948F8" w:rsidRPr="00744DCA" w:rsidRDefault="002948F8" w:rsidP="00B2056B">
      <w:pPr>
        <w:pStyle w:val="ManualNumPar1"/>
        <w:rPr>
          <w:noProof/>
          <w:szCs w:val="24"/>
        </w:rPr>
      </w:pPr>
      <w:r>
        <w:rPr>
          <w:noProof/>
        </w:rPr>
        <w:t>3.</w:t>
      </w:r>
      <w:r>
        <w:rPr>
          <w:noProof/>
        </w:rPr>
        <w:tab/>
      </w:r>
      <w:r w:rsidRPr="00744DCA">
        <w:rPr>
          <w:noProof/>
        </w:rPr>
        <w:t>The</w:t>
      </w:r>
      <w:r w:rsidRPr="00744DCA">
        <w:rPr>
          <w:noProof/>
          <w:szCs w:val="24"/>
        </w:rPr>
        <w:t xml:space="preserve"> system referred to in paragraph 1 shall allow manufacturers of defence products</w:t>
      </w:r>
      <w:r w:rsidR="009A534D" w:rsidRPr="00744DCA">
        <w:rPr>
          <w:noProof/>
          <w:szCs w:val="24"/>
        </w:rPr>
        <w:t xml:space="preserve"> which comply with conditions laid out in Article 10</w:t>
      </w:r>
      <w:r w:rsidRPr="00744DCA">
        <w:rPr>
          <w:noProof/>
          <w:szCs w:val="24"/>
        </w:rPr>
        <w:t xml:space="preserve"> to make offers indicating:</w:t>
      </w:r>
    </w:p>
    <w:p w14:paraId="5150D4E9" w14:textId="77777777" w:rsidR="002948F8" w:rsidRPr="00744DCA" w:rsidRDefault="002948F8" w:rsidP="00B2056B">
      <w:pPr>
        <w:pStyle w:val="Point1"/>
        <w:rPr>
          <w:noProof/>
        </w:rPr>
      </w:pPr>
      <w:r>
        <w:rPr>
          <w:noProof/>
        </w:rPr>
        <w:t>(a)</w:t>
      </w:r>
      <w:r>
        <w:rPr>
          <w:noProof/>
        </w:rPr>
        <w:tab/>
      </w:r>
      <w:r w:rsidRPr="00744DCA">
        <w:rPr>
          <w:noProof/>
        </w:rPr>
        <w:t>the volume and quality of defence products for which they are seeking to conclude off-take agreements;</w:t>
      </w:r>
    </w:p>
    <w:p w14:paraId="2504C8C9" w14:textId="77777777" w:rsidR="002948F8" w:rsidRPr="00744DCA" w:rsidRDefault="002948F8" w:rsidP="00B2056B">
      <w:pPr>
        <w:pStyle w:val="Point1"/>
        <w:rPr>
          <w:noProof/>
        </w:rPr>
      </w:pPr>
      <w:r>
        <w:rPr>
          <w:noProof/>
        </w:rPr>
        <w:t>(b)</w:t>
      </w:r>
      <w:r>
        <w:rPr>
          <w:noProof/>
        </w:rPr>
        <w:tab/>
      </w:r>
      <w:r w:rsidRPr="00744DCA">
        <w:rPr>
          <w:noProof/>
        </w:rPr>
        <w:t>the intended price or price range at which they are willing to sell;</w:t>
      </w:r>
    </w:p>
    <w:p w14:paraId="43978E34" w14:textId="77777777" w:rsidR="002948F8" w:rsidRPr="00744DCA" w:rsidRDefault="002948F8" w:rsidP="00B2056B">
      <w:pPr>
        <w:pStyle w:val="Point1"/>
        <w:rPr>
          <w:noProof/>
          <w:szCs w:val="24"/>
        </w:rPr>
      </w:pPr>
      <w:r>
        <w:rPr>
          <w:noProof/>
        </w:rPr>
        <w:t>(c)</w:t>
      </w:r>
      <w:r>
        <w:rPr>
          <w:noProof/>
        </w:rPr>
        <w:tab/>
      </w:r>
      <w:r w:rsidRPr="00744DCA">
        <w:rPr>
          <w:noProof/>
        </w:rPr>
        <w:t>the intended</w:t>
      </w:r>
      <w:r w:rsidRPr="00744DCA">
        <w:rPr>
          <w:noProof/>
          <w:szCs w:val="24"/>
        </w:rPr>
        <w:t xml:space="preserve"> duration of the off-take agreement.</w:t>
      </w:r>
    </w:p>
    <w:p w14:paraId="283729CC" w14:textId="77777777" w:rsidR="002948F8" w:rsidRPr="00744DCA" w:rsidRDefault="002948F8" w:rsidP="00B2056B">
      <w:pPr>
        <w:pStyle w:val="ManualNumPar1"/>
        <w:rPr>
          <w:noProof/>
          <w:szCs w:val="24"/>
        </w:rPr>
      </w:pPr>
      <w:r>
        <w:rPr>
          <w:noProof/>
        </w:rPr>
        <w:t>4.</w:t>
      </w:r>
      <w:r>
        <w:rPr>
          <w:noProof/>
        </w:rPr>
        <w:tab/>
      </w:r>
      <w:r w:rsidRPr="00744DCA">
        <w:rPr>
          <w:noProof/>
        </w:rPr>
        <w:t>Based</w:t>
      </w:r>
      <w:r w:rsidRPr="00744DCA">
        <w:rPr>
          <w:noProof/>
          <w:szCs w:val="24"/>
        </w:rPr>
        <w:t xml:space="preserve"> on the bids and offers received pursuant to paragraph 2 and 3, the Commission shall bring </w:t>
      </w:r>
      <w:r w:rsidR="009A534D" w:rsidRPr="00744DCA">
        <w:rPr>
          <w:noProof/>
          <w:szCs w:val="24"/>
        </w:rPr>
        <w:t xml:space="preserve">relevant </w:t>
      </w:r>
      <w:r w:rsidRPr="00744DCA">
        <w:rPr>
          <w:noProof/>
          <w:szCs w:val="24"/>
        </w:rPr>
        <w:t>manufacturers of defence products in contact with interested Member States</w:t>
      </w:r>
      <w:r w:rsidR="009A534D" w:rsidRPr="00744DCA">
        <w:rPr>
          <w:noProof/>
          <w:szCs w:val="24"/>
        </w:rPr>
        <w:t xml:space="preserve"> and </w:t>
      </w:r>
      <w:r w:rsidR="00CA4E94" w:rsidRPr="00744DCA">
        <w:rPr>
          <w:noProof/>
          <w:szCs w:val="24"/>
        </w:rPr>
        <w:t>a</w:t>
      </w:r>
      <w:r w:rsidR="009A534D" w:rsidRPr="00744DCA">
        <w:rPr>
          <w:noProof/>
          <w:szCs w:val="24"/>
        </w:rPr>
        <w:t xml:space="preserve">ssociated </w:t>
      </w:r>
      <w:r w:rsidR="00CA4E94" w:rsidRPr="00744DCA">
        <w:rPr>
          <w:noProof/>
          <w:szCs w:val="24"/>
        </w:rPr>
        <w:t>c</w:t>
      </w:r>
      <w:r w:rsidR="009A534D" w:rsidRPr="00744DCA">
        <w:rPr>
          <w:noProof/>
          <w:szCs w:val="24"/>
        </w:rPr>
        <w:t>ountries as well as, where relevant, Ukraine</w:t>
      </w:r>
      <w:r w:rsidRPr="00744DCA">
        <w:rPr>
          <w:noProof/>
          <w:szCs w:val="24"/>
        </w:rPr>
        <w:t>.</w:t>
      </w:r>
    </w:p>
    <w:p w14:paraId="674B46D5" w14:textId="77777777" w:rsidR="009A534D" w:rsidRPr="00744DCA" w:rsidRDefault="009A534D" w:rsidP="00B2056B">
      <w:pPr>
        <w:pStyle w:val="ManualNumPar1"/>
        <w:rPr>
          <w:noProof/>
          <w:lang w:val="en-IE"/>
        </w:rPr>
      </w:pPr>
      <w:r>
        <w:rPr>
          <w:noProof/>
        </w:rPr>
        <w:t>5.</w:t>
      </w:r>
      <w:r>
        <w:rPr>
          <w:noProof/>
        </w:rPr>
        <w:tab/>
      </w:r>
      <w:r w:rsidRPr="00744DCA">
        <w:rPr>
          <w:noProof/>
        </w:rPr>
        <w:t xml:space="preserve">On the basis of the contact referred to in paragraph 4, interested Member States and </w:t>
      </w:r>
      <w:r w:rsidR="00A52C88" w:rsidRPr="00744DCA">
        <w:rPr>
          <w:noProof/>
        </w:rPr>
        <w:t>a</w:t>
      </w:r>
      <w:r w:rsidRPr="00744DCA">
        <w:rPr>
          <w:noProof/>
        </w:rPr>
        <w:t xml:space="preserve">ssociated </w:t>
      </w:r>
      <w:r w:rsidR="00A52C88" w:rsidRPr="00744DCA">
        <w:rPr>
          <w:noProof/>
        </w:rPr>
        <w:t>c</w:t>
      </w:r>
      <w:r w:rsidRPr="00744DCA">
        <w:rPr>
          <w:noProof/>
        </w:rPr>
        <w:t xml:space="preserve">ountries as well as, where relevant, Ukraine may request </w:t>
      </w:r>
      <w:r w:rsidR="00705117" w:rsidRPr="00744DCA">
        <w:rPr>
          <w:noProof/>
        </w:rPr>
        <w:t>the Commission to</w:t>
      </w:r>
      <w:r w:rsidR="00705117" w:rsidRPr="00744DCA">
        <w:rPr>
          <w:noProof/>
          <w:lang w:val="en-IE"/>
        </w:rPr>
        <w:t xml:space="preserve"> engage in a joint procurement procedure </w:t>
      </w:r>
      <w:r w:rsidR="004E58A5" w:rsidRPr="00744DCA">
        <w:rPr>
          <w:noProof/>
          <w:lang w:val="en-IE"/>
        </w:rPr>
        <w:t>or in</w:t>
      </w:r>
      <w:r w:rsidR="00D26CBF" w:rsidRPr="00744DCA">
        <w:rPr>
          <w:noProof/>
          <w:lang w:val="en-IE"/>
        </w:rPr>
        <w:t xml:space="preserve"> a procurement procedure</w:t>
      </w:r>
      <w:r w:rsidR="00705117" w:rsidRPr="00744DCA">
        <w:rPr>
          <w:noProof/>
          <w:lang w:val="en-IE"/>
        </w:rPr>
        <w:t xml:space="preserve"> in their name and</w:t>
      </w:r>
      <w:r w:rsidR="00D26CBF" w:rsidRPr="00744DCA">
        <w:rPr>
          <w:noProof/>
          <w:lang w:val="en-IE"/>
        </w:rPr>
        <w:t>/or</w:t>
      </w:r>
      <w:r w:rsidR="00705117" w:rsidRPr="00744DCA">
        <w:rPr>
          <w:noProof/>
          <w:lang w:val="en-IE"/>
        </w:rPr>
        <w:t xml:space="preserve"> on their behalf pursuant Article </w:t>
      </w:r>
      <w:r w:rsidR="007E1C45" w:rsidRPr="00744DCA">
        <w:rPr>
          <w:noProof/>
          <w:lang w:val="en-IE"/>
        </w:rPr>
        <w:t>3</w:t>
      </w:r>
      <w:r w:rsidR="005B3B5F" w:rsidRPr="00744DCA">
        <w:rPr>
          <w:noProof/>
          <w:lang w:val="en-IE"/>
        </w:rPr>
        <w:t>5</w:t>
      </w:r>
      <w:r w:rsidR="00705117" w:rsidRPr="00744DCA">
        <w:rPr>
          <w:noProof/>
          <w:lang w:val="en-IE"/>
        </w:rPr>
        <w:t>.</w:t>
      </w:r>
    </w:p>
    <w:p w14:paraId="4DE93D68" w14:textId="77777777" w:rsidR="00BB6355" w:rsidRPr="00744DCA" w:rsidRDefault="006F5892" w:rsidP="00B2056B">
      <w:pPr>
        <w:pStyle w:val="ManualNumPar1"/>
        <w:rPr>
          <w:noProof/>
          <w:lang w:val="en-IE"/>
        </w:rPr>
      </w:pPr>
      <w:r>
        <w:rPr>
          <w:noProof/>
        </w:rPr>
        <w:t>6.</w:t>
      </w:r>
      <w:r>
        <w:rPr>
          <w:noProof/>
        </w:rPr>
        <w:tab/>
      </w:r>
      <w:r w:rsidRPr="00744DCA">
        <w:rPr>
          <w:noProof/>
          <w:lang w:val="en-IE"/>
        </w:rPr>
        <w:t>The financial envelope referred to in Article 5</w:t>
      </w:r>
      <w:r w:rsidR="00C163A2" w:rsidRPr="00744DCA">
        <w:rPr>
          <w:noProof/>
          <w:lang w:val="en-IE"/>
        </w:rPr>
        <w:t>(1)</w:t>
      </w:r>
      <w:r w:rsidR="00E56C4C" w:rsidRPr="00744DCA">
        <w:rPr>
          <w:noProof/>
          <w:lang w:val="en-IE"/>
        </w:rPr>
        <w:t xml:space="preserve"> </w:t>
      </w:r>
      <w:r w:rsidR="00895E2F" w:rsidRPr="00744DCA">
        <w:rPr>
          <w:noProof/>
          <w:lang w:val="en-IE"/>
        </w:rPr>
        <w:t>may cover the parts of the contract on non-recurrent costs and</w:t>
      </w:r>
      <w:r w:rsidRPr="00744DCA">
        <w:rPr>
          <w:noProof/>
          <w:lang w:val="en-IE"/>
        </w:rPr>
        <w:t>/or the</w:t>
      </w:r>
      <w:r w:rsidR="00895E2F" w:rsidRPr="00744DCA">
        <w:rPr>
          <w:noProof/>
          <w:lang w:val="en-IE"/>
        </w:rPr>
        <w:t xml:space="preserve"> reservation of manufacturing capacities</w:t>
      </w:r>
      <w:r w:rsidR="00E56C4C" w:rsidRPr="00744DCA">
        <w:rPr>
          <w:noProof/>
          <w:lang w:val="en-IE"/>
        </w:rPr>
        <w:t>.</w:t>
      </w:r>
    </w:p>
    <w:p w14:paraId="07E5AB6E" w14:textId="77777777" w:rsidR="00CB5EDF" w:rsidRPr="00744DCA" w:rsidRDefault="00CB5EDF" w:rsidP="00CB5EDF">
      <w:pPr>
        <w:pStyle w:val="Titrearticle"/>
        <w:rPr>
          <w:noProof/>
          <w:lang w:val="en-IE"/>
        </w:rPr>
      </w:pPr>
      <w:r w:rsidRPr="00744DCA">
        <w:rPr>
          <w:noProof/>
          <w:lang w:val="en-IE"/>
        </w:rPr>
        <w:t xml:space="preserve">Article </w:t>
      </w:r>
      <w:r w:rsidR="00C0301B" w:rsidRPr="00744DCA">
        <w:rPr>
          <w:noProof/>
          <w:lang w:val="en-IE"/>
        </w:rPr>
        <w:t>3</w:t>
      </w:r>
      <w:r w:rsidR="00D048CC" w:rsidRPr="00744DCA">
        <w:rPr>
          <w:noProof/>
          <w:lang w:val="en-IE"/>
        </w:rPr>
        <w:t>8</w:t>
      </w:r>
    </w:p>
    <w:p w14:paraId="10EE5CFA" w14:textId="77777777" w:rsidR="00CB5EDF" w:rsidRPr="00744DCA" w:rsidRDefault="00CB5EDF" w:rsidP="00CB5EDF">
      <w:pPr>
        <w:pStyle w:val="Titrearticle"/>
        <w:rPr>
          <w:noProof/>
        </w:rPr>
      </w:pPr>
      <w:r w:rsidRPr="00744DCA">
        <w:rPr>
          <w:b/>
          <w:i w:val="0"/>
          <w:noProof/>
        </w:rPr>
        <w:t>Acceleration of the permit-granting process for the timely availability and supply of relevant defence products</w:t>
      </w:r>
    </w:p>
    <w:p w14:paraId="23719746" w14:textId="77777777" w:rsidR="00CB5EDF" w:rsidRPr="00744DCA" w:rsidRDefault="00CB5EDF" w:rsidP="00B2056B">
      <w:pPr>
        <w:pStyle w:val="ManualNumPar1"/>
        <w:rPr>
          <w:noProof/>
        </w:rPr>
      </w:pPr>
      <w:r>
        <w:rPr>
          <w:noProof/>
        </w:rPr>
        <w:t>1.</w:t>
      </w:r>
      <w:r>
        <w:rPr>
          <w:noProof/>
        </w:rPr>
        <w:tab/>
      </w:r>
      <w:r w:rsidRPr="00744DCA">
        <w:rPr>
          <w:noProof/>
        </w:rPr>
        <w:t>Member States shall ensure that administrative applications related to the planning, construction and operation of production facilities, transfer of inputs within the Union as well as qualification and certification of end products are processed in an efficient and timely manner. To that end, all national authorities concerned shall ensure that the most rapid treatment legally possible is given to such applications.</w:t>
      </w:r>
    </w:p>
    <w:p w14:paraId="57C51199" w14:textId="77777777" w:rsidR="00B62A51" w:rsidRPr="00744DCA" w:rsidRDefault="00CB5EDF" w:rsidP="00B2056B">
      <w:pPr>
        <w:pStyle w:val="ManualNumPar1"/>
        <w:rPr>
          <w:noProof/>
        </w:rPr>
      </w:pPr>
      <w:r>
        <w:rPr>
          <w:noProof/>
        </w:rPr>
        <w:t>2.</w:t>
      </w:r>
      <w:r>
        <w:rPr>
          <w:noProof/>
        </w:rPr>
        <w:tab/>
      </w:r>
      <w:r w:rsidRPr="00744DCA">
        <w:rPr>
          <w:noProof/>
        </w:rPr>
        <w:t>Member States shall ensure that in the planning and permit-granting process, the construction and operation of plants and installations for the production of relevant defence products are given priority when balancing legal interests in the individual case concerned.</w:t>
      </w:r>
    </w:p>
    <w:p w14:paraId="3E410B20" w14:textId="77777777" w:rsidR="00CB5EDF" w:rsidRPr="00744DCA" w:rsidRDefault="00CB5EDF" w:rsidP="00CB5EDF">
      <w:pPr>
        <w:pStyle w:val="Titrearticle"/>
        <w:rPr>
          <w:noProof/>
        </w:rPr>
      </w:pPr>
      <w:r w:rsidRPr="00744DCA">
        <w:rPr>
          <w:noProof/>
        </w:rPr>
        <w:t xml:space="preserve">Article </w:t>
      </w:r>
      <w:r w:rsidR="00C0301B" w:rsidRPr="00744DCA">
        <w:rPr>
          <w:noProof/>
        </w:rPr>
        <w:t>3</w:t>
      </w:r>
      <w:r w:rsidR="00D048CC" w:rsidRPr="00744DCA">
        <w:rPr>
          <w:noProof/>
        </w:rPr>
        <w:t>9</w:t>
      </w:r>
    </w:p>
    <w:p w14:paraId="60549DB8" w14:textId="77777777" w:rsidR="00CB5EDF" w:rsidRPr="00744DCA" w:rsidRDefault="00CB5EDF" w:rsidP="00CB5EDF">
      <w:pPr>
        <w:pStyle w:val="Titrearticle"/>
        <w:rPr>
          <w:b/>
          <w:i w:val="0"/>
          <w:noProof/>
        </w:rPr>
      </w:pPr>
      <w:r w:rsidRPr="00744DCA">
        <w:rPr>
          <w:b/>
          <w:i w:val="0"/>
          <w:noProof/>
        </w:rPr>
        <w:t>Easing cross-certification process</w:t>
      </w:r>
    </w:p>
    <w:p w14:paraId="2933868B" w14:textId="77777777" w:rsidR="00CB5EDF" w:rsidRPr="00744DCA" w:rsidRDefault="00CB5EDF" w:rsidP="00B2056B">
      <w:pPr>
        <w:pStyle w:val="ManualNumPar1"/>
        <w:rPr>
          <w:noProof/>
        </w:rPr>
      </w:pPr>
      <w:r>
        <w:rPr>
          <w:noProof/>
        </w:rPr>
        <w:t>1.</w:t>
      </w:r>
      <w:r>
        <w:rPr>
          <w:noProof/>
        </w:rPr>
        <w:tab/>
      </w:r>
      <w:r w:rsidRPr="00744DCA">
        <w:rPr>
          <w:noProof/>
        </w:rPr>
        <w:t>Member States shall adopt a list of national certification authorities for defence purposes and notify it to the Commission, which shall make it available to Member States.</w:t>
      </w:r>
    </w:p>
    <w:p w14:paraId="38BD4F26" w14:textId="77777777" w:rsidR="00CB5EDF" w:rsidRPr="00744DCA" w:rsidRDefault="00CB5EDF" w:rsidP="00B2056B">
      <w:pPr>
        <w:pStyle w:val="ManualNumPar1"/>
        <w:rPr>
          <w:noProof/>
        </w:rPr>
      </w:pPr>
      <w:r>
        <w:rPr>
          <w:noProof/>
        </w:rPr>
        <w:t>2.</w:t>
      </w:r>
      <w:r>
        <w:rPr>
          <w:noProof/>
        </w:rPr>
        <w:tab/>
      </w:r>
      <w:r w:rsidRPr="00744DCA">
        <w:rPr>
          <w:noProof/>
        </w:rPr>
        <w:t>The Commission shall, by the mean of implementing acts, draw and keep updated an official list of national certification authorities for defence purposes as identified by Member States.</w:t>
      </w:r>
      <w:r w:rsidR="00C163A2" w:rsidRPr="00744DCA">
        <w:rPr>
          <w:noProof/>
        </w:rPr>
        <w:t xml:space="preserve"> Those implementing acts shall be adopted in accordance with the examination procedure referred to in Article 5</w:t>
      </w:r>
      <w:r w:rsidR="005B3B5F" w:rsidRPr="00744DCA">
        <w:rPr>
          <w:noProof/>
        </w:rPr>
        <w:t>8</w:t>
      </w:r>
      <w:r w:rsidR="00C163A2" w:rsidRPr="00744DCA">
        <w:rPr>
          <w:noProof/>
        </w:rPr>
        <w:t>(3).</w:t>
      </w:r>
    </w:p>
    <w:p w14:paraId="519237AD" w14:textId="77777777" w:rsidR="00CB5EDF" w:rsidRPr="00744DCA" w:rsidRDefault="00CB5EDF" w:rsidP="00CB5EDF">
      <w:pPr>
        <w:pStyle w:val="ManualNumPar1"/>
        <w:rPr>
          <w:noProof/>
        </w:rPr>
      </w:pPr>
      <w:r>
        <w:rPr>
          <w:noProof/>
        </w:rPr>
        <w:t>3.</w:t>
      </w:r>
      <w:r>
        <w:rPr>
          <w:noProof/>
        </w:rPr>
        <w:tab/>
      </w:r>
      <w:r w:rsidRPr="00744DCA">
        <w:rPr>
          <w:noProof/>
        </w:rPr>
        <w:t xml:space="preserve">A certification authority from one Member State may request from the certification authority of another Member State basic information about the scope of the certification of a certain defence product. </w:t>
      </w:r>
    </w:p>
    <w:p w14:paraId="716EBDA3" w14:textId="77777777" w:rsidR="00CB5EDF" w:rsidRPr="00744DCA" w:rsidRDefault="00CB5EDF" w:rsidP="00CB5EDF">
      <w:pPr>
        <w:pStyle w:val="SectionTitle"/>
        <w:rPr>
          <w:noProof/>
        </w:rPr>
      </w:pPr>
      <w:r w:rsidRPr="00744DCA">
        <w:rPr>
          <w:noProof/>
        </w:rPr>
        <w:t>Section 2</w:t>
      </w:r>
    </w:p>
    <w:p w14:paraId="406E1598" w14:textId="77777777" w:rsidR="00CB5EDF" w:rsidRPr="00744DCA" w:rsidRDefault="00CB5EDF" w:rsidP="00CB5EDF">
      <w:pPr>
        <w:pStyle w:val="SectionTitle"/>
        <w:rPr>
          <w:noProof/>
        </w:rPr>
      </w:pPr>
      <w:r w:rsidRPr="00744DCA">
        <w:rPr>
          <w:noProof/>
        </w:rPr>
        <w:t>Supply chain surveillance and monitoring</w:t>
      </w:r>
    </w:p>
    <w:p w14:paraId="5A3F39F7" w14:textId="77777777" w:rsidR="00CB5EDF" w:rsidRPr="00744DCA" w:rsidRDefault="00CB5EDF" w:rsidP="00CB5EDF">
      <w:pPr>
        <w:pStyle w:val="Titrearticle"/>
        <w:rPr>
          <w:noProof/>
        </w:rPr>
      </w:pPr>
      <w:r w:rsidRPr="00744DCA">
        <w:rPr>
          <w:noProof/>
        </w:rPr>
        <w:t xml:space="preserve">Article </w:t>
      </w:r>
      <w:r w:rsidR="00D048CC" w:rsidRPr="00744DCA">
        <w:rPr>
          <w:noProof/>
        </w:rPr>
        <w:t>40</w:t>
      </w:r>
    </w:p>
    <w:p w14:paraId="469F9917" w14:textId="77777777" w:rsidR="00CB5EDF" w:rsidRPr="00744DCA" w:rsidRDefault="00CB5EDF" w:rsidP="00CB5EDF">
      <w:pPr>
        <w:pStyle w:val="Titrearticle"/>
        <w:rPr>
          <w:b/>
          <w:i w:val="0"/>
          <w:noProof/>
        </w:rPr>
      </w:pPr>
      <w:r w:rsidRPr="00744DCA">
        <w:rPr>
          <w:b/>
          <w:i w:val="0"/>
          <w:noProof/>
        </w:rPr>
        <w:t>Mapping of defence supply-chains</w:t>
      </w:r>
    </w:p>
    <w:p w14:paraId="73C0D175" w14:textId="77777777" w:rsidR="00CB5EDF" w:rsidRPr="00744DCA" w:rsidRDefault="00CB5EDF" w:rsidP="00B2056B">
      <w:pPr>
        <w:pStyle w:val="ManualNumPar1"/>
        <w:rPr>
          <w:rFonts w:eastAsia="Calibri"/>
          <w:noProof/>
        </w:rPr>
      </w:pPr>
      <w:r>
        <w:rPr>
          <w:noProof/>
        </w:rPr>
        <w:t>1.</w:t>
      </w:r>
      <w:r>
        <w:rPr>
          <w:noProof/>
        </w:rPr>
        <w:tab/>
      </w:r>
      <w:r w:rsidRPr="00744DCA">
        <w:rPr>
          <w:rFonts w:eastAsia="Calibri"/>
          <w:noProof/>
        </w:rPr>
        <w:t xml:space="preserve">The Commission shall carry out a mapping of the Union’s defence supply-chains, in cooperation with the Defence Industrial Readiness Board. </w:t>
      </w:r>
    </w:p>
    <w:p w14:paraId="473067FF" w14:textId="77777777" w:rsidR="00CB5EDF" w:rsidRPr="00744DCA" w:rsidRDefault="00CB5EDF" w:rsidP="00B2056B">
      <w:pPr>
        <w:pStyle w:val="ManualNumPar1"/>
        <w:rPr>
          <w:rFonts w:eastAsia="Calibri"/>
          <w:noProof/>
        </w:rPr>
      </w:pPr>
      <w:r>
        <w:rPr>
          <w:noProof/>
        </w:rPr>
        <w:t>2.</w:t>
      </w:r>
      <w:r>
        <w:rPr>
          <w:noProof/>
        </w:rPr>
        <w:tab/>
      </w:r>
      <w:r w:rsidRPr="00744DCA">
        <w:rPr>
          <w:rFonts w:eastAsia="Calibri"/>
          <w:noProof/>
        </w:rPr>
        <w:t>The Defence Industrial Readiness Board shall draw up a list of defence products which are critical for the security and defence interests of the Union and of its Member States, in particular the reinforcement of Member States</w:t>
      </w:r>
      <w:r w:rsidR="00C962BC" w:rsidRPr="00744DCA">
        <w:rPr>
          <w:rFonts w:eastAsia="Calibri"/>
          <w:noProof/>
        </w:rPr>
        <w:t>’</w:t>
      </w:r>
      <w:r w:rsidRPr="00744DCA">
        <w:rPr>
          <w:rFonts w:eastAsia="Calibri"/>
          <w:noProof/>
        </w:rPr>
        <w:t xml:space="preserve"> defence capabilities and the readiness of the EDTIB (</w:t>
      </w:r>
      <w:r w:rsidR="00C163A2" w:rsidRPr="00744DCA">
        <w:rPr>
          <w:rFonts w:eastAsia="Calibri"/>
          <w:noProof/>
        </w:rPr>
        <w:t>‘</w:t>
      </w:r>
      <w:r w:rsidRPr="00744DCA">
        <w:rPr>
          <w:rFonts w:eastAsia="Calibri"/>
          <w:noProof/>
        </w:rPr>
        <w:t>key defence products</w:t>
      </w:r>
      <w:r w:rsidR="00C163A2" w:rsidRPr="00744DCA">
        <w:rPr>
          <w:rFonts w:eastAsia="Calibri"/>
          <w:noProof/>
        </w:rPr>
        <w:t>’</w:t>
      </w:r>
      <w:r w:rsidRPr="00744DCA">
        <w:rPr>
          <w:rFonts w:eastAsia="Calibri"/>
          <w:noProof/>
        </w:rPr>
        <w:t xml:space="preserve">). </w:t>
      </w:r>
      <w:r w:rsidR="00C163A2" w:rsidRPr="00744DCA">
        <w:rPr>
          <w:rFonts w:eastAsia="Calibri"/>
          <w:noProof/>
        </w:rPr>
        <w:t>That</w:t>
      </w:r>
      <w:r w:rsidRPr="00744DCA">
        <w:rPr>
          <w:rFonts w:eastAsia="Calibri"/>
          <w:noProof/>
        </w:rPr>
        <w:t xml:space="preserve"> list shall be updated on a regular basis, at least every year.</w:t>
      </w:r>
    </w:p>
    <w:p w14:paraId="27126A18" w14:textId="77777777" w:rsidR="00CB5EDF" w:rsidRPr="00744DCA" w:rsidRDefault="00CB5EDF" w:rsidP="00CB5EDF">
      <w:pPr>
        <w:pStyle w:val="ManualNumPar1"/>
        <w:rPr>
          <w:noProof/>
        </w:rPr>
      </w:pPr>
      <w:r>
        <w:rPr>
          <w:noProof/>
        </w:rPr>
        <w:t>3.</w:t>
      </w:r>
      <w:r>
        <w:rPr>
          <w:noProof/>
        </w:rPr>
        <w:tab/>
      </w:r>
      <w:r w:rsidRPr="00744DCA">
        <w:rPr>
          <w:noProof/>
        </w:rPr>
        <w:t xml:space="preserve">The Commission shall, after consulting the Defence Industrial Readiness Board, develop a framework and methodology for the identification of </w:t>
      </w:r>
      <w:r w:rsidR="00F43B65" w:rsidRPr="00744DCA">
        <w:rPr>
          <w:noProof/>
        </w:rPr>
        <w:t>crisis-relevant products</w:t>
      </w:r>
      <w:r w:rsidRPr="00744DCA">
        <w:rPr>
          <w:noProof/>
        </w:rPr>
        <w:t>, with an emphasis on identifying bottlenecks, as well as their related manufacturing capacities in the Union.</w:t>
      </w:r>
    </w:p>
    <w:p w14:paraId="087CE700" w14:textId="77777777" w:rsidR="00CB5EDF" w:rsidRPr="00744DCA" w:rsidRDefault="00CB5EDF" w:rsidP="00CB5EDF">
      <w:pPr>
        <w:pStyle w:val="ManualNumPar1"/>
        <w:rPr>
          <w:noProof/>
        </w:rPr>
      </w:pPr>
      <w:r>
        <w:rPr>
          <w:noProof/>
        </w:rPr>
        <w:t>4.</w:t>
      </w:r>
      <w:r>
        <w:rPr>
          <w:noProof/>
        </w:rPr>
        <w:tab/>
      </w:r>
      <w:r w:rsidRPr="00744DCA">
        <w:rPr>
          <w:noProof/>
        </w:rPr>
        <w:t>Th</w:t>
      </w:r>
      <w:r w:rsidR="00850EDF" w:rsidRPr="00744DCA">
        <w:rPr>
          <w:noProof/>
        </w:rPr>
        <w:t>e</w:t>
      </w:r>
      <w:r w:rsidRPr="00744DCA">
        <w:rPr>
          <w:noProof/>
        </w:rPr>
        <w:t xml:space="preserve"> </w:t>
      </w:r>
      <w:r w:rsidR="00A3392A" w:rsidRPr="00744DCA">
        <w:rPr>
          <w:noProof/>
        </w:rPr>
        <w:t xml:space="preserve">mapping </w:t>
      </w:r>
      <w:r w:rsidR="00850EDF" w:rsidRPr="00744DCA">
        <w:rPr>
          <w:noProof/>
        </w:rPr>
        <w:t xml:space="preserve">referred to in paragraph </w:t>
      </w:r>
      <w:r w:rsidR="00C7697B" w:rsidRPr="00744DCA">
        <w:rPr>
          <w:noProof/>
        </w:rPr>
        <w:t xml:space="preserve">1 and </w:t>
      </w:r>
      <w:r w:rsidR="00A3392A" w:rsidRPr="00744DCA">
        <w:rPr>
          <w:noProof/>
        </w:rPr>
        <w:t xml:space="preserve">identification referred to in paragraph </w:t>
      </w:r>
      <w:r w:rsidR="00B90137" w:rsidRPr="00744DCA">
        <w:rPr>
          <w:noProof/>
        </w:rPr>
        <w:t>6 of this Article</w:t>
      </w:r>
      <w:r w:rsidR="0067126A" w:rsidRPr="00744DCA">
        <w:rPr>
          <w:noProof/>
        </w:rPr>
        <w:t xml:space="preserve"> </w:t>
      </w:r>
      <w:r w:rsidRPr="00744DCA">
        <w:rPr>
          <w:noProof/>
        </w:rPr>
        <w:t xml:space="preserve">shall provide an analysis of the Union’s strengths and weaknesses </w:t>
      </w:r>
      <w:r w:rsidR="00C962BC" w:rsidRPr="00744DCA">
        <w:rPr>
          <w:noProof/>
        </w:rPr>
        <w:t>as regards</w:t>
      </w:r>
      <w:r w:rsidRPr="00744DCA">
        <w:rPr>
          <w:noProof/>
        </w:rPr>
        <w:t xml:space="preserve"> the supply chains of crisis-relevant products and shall inform the programming of the Programme established under Chapter II. </w:t>
      </w:r>
    </w:p>
    <w:p w14:paraId="3AB69B08" w14:textId="77777777" w:rsidR="00CB5EDF" w:rsidRPr="00744DCA" w:rsidRDefault="00CB5EDF" w:rsidP="003506AF">
      <w:pPr>
        <w:pStyle w:val="ManualNumPar1"/>
        <w:rPr>
          <w:noProof/>
        </w:rPr>
      </w:pPr>
      <w:r>
        <w:rPr>
          <w:noProof/>
        </w:rPr>
        <w:t>5.</w:t>
      </w:r>
      <w:r>
        <w:rPr>
          <w:noProof/>
        </w:rPr>
        <w:tab/>
      </w:r>
      <w:r w:rsidRPr="00744DCA">
        <w:rPr>
          <w:noProof/>
        </w:rPr>
        <w:t xml:space="preserve">To do so, the Commission shall use, inter alia, publicly and commercially available data and relevant non-confidential information from undertakings, the result of similar analysis performed, including in the context of Union law on raw materials and renewable energy, as well as the evaluations carried out pursuant to Article </w:t>
      </w:r>
      <w:r w:rsidR="00104797" w:rsidRPr="00744DCA">
        <w:rPr>
          <w:noProof/>
        </w:rPr>
        <w:t>6</w:t>
      </w:r>
      <w:r w:rsidR="009A4C98" w:rsidRPr="00744DCA">
        <w:rPr>
          <w:noProof/>
        </w:rPr>
        <w:t>6</w:t>
      </w:r>
      <w:r w:rsidRPr="00744DCA">
        <w:rPr>
          <w:noProof/>
        </w:rPr>
        <w:t>(1).</w:t>
      </w:r>
      <w:r w:rsidRPr="00744DCA">
        <w:rPr>
          <w:rFonts w:ascii="Cambria" w:eastAsia="Cambria" w:hAnsi="Cambria" w:cs="Cambria"/>
          <w:noProof/>
          <w:spacing w:val="-6"/>
          <w:sz w:val="19"/>
        </w:rPr>
        <w:t xml:space="preserve"> </w:t>
      </w:r>
      <w:r w:rsidRPr="00744DCA">
        <w:rPr>
          <w:noProof/>
        </w:rPr>
        <w:t>Where this is not enough to identify the crisis-relevant products, the Commission may issue voluntary information requests to relevant actors involved in the concerned value chains and based in the Union, after consulting the Defence Industrial Readiness Board.</w:t>
      </w:r>
    </w:p>
    <w:p w14:paraId="0A6645F2" w14:textId="77777777" w:rsidR="00CB5EDF" w:rsidRPr="00744DCA" w:rsidRDefault="00CB5EDF" w:rsidP="002F255F">
      <w:pPr>
        <w:pStyle w:val="ManualNumPar1"/>
        <w:rPr>
          <w:noProof/>
        </w:rPr>
      </w:pPr>
      <w:r>
        <w:rPr>
          <w:noProof/>
        </w:rPr>
        <w:t>6.</w:t>
      </w:r>
      <w:r>
        <w:rPr>
          <w:noProof/>
        </w:rPr>
        <w:tab/>
      </w:r>
      <w:r w:rsidRPr="00744DCA">
        <w:rPr>
          <w:noProof/>
        </w:rPr>
        <w:t xml:space="preserve">The Commission shall, by means of implementing act, draw up and regularly update a list of crisis-relevant products. </w:t>
      </w:r>
      <w:r w:rsidR="0079361C" w:rsidRPr="00744DCA">
        <w:rPr>
          <w:noProof/>
        </w:rPr>
        <w:t>Those implementing acts shall be adopted in accordance with the examination procedure referred to in Article 5</w:t>
      </w:r>
      <w:r w:rsidR="009A4C98" w:rsidRPr="00744DCA">
        <w:rPr>
          <w:noProof/>
        </w:rPr>
        <w:t>8</w:t>
      </w:r>
      <w:r w:rsidR="0079361C" w:rsidRPr="00744DCA">
        <w:rPr>
          <w:noProof/>
        </w:rPr>
        <w:t>(3).</w:t>
      </w:r>
    </w:p>
    <w:p w14:paraId="109605B2" w14:textId="77777777" w:rsidR="00CB5EDF" w:rsidRPr="00744DCA" w:rsidRDefault="00CB5EDF" w:rsidP="00CB5EDF">
      <w:pPr>
        <w:pStyle w:val="ManualNumPar1"/>
        <w:rPr>
          <w:rFonts w:ascii="Cambria" w:eastAsia="Cambria" w:hAnsi="Cambria" w:cs="Cambria"/>
          <w:noProof/>
          <w:w w:val="90"/>
          <w:sz w:val="19"/>
          <w:szCs w:val="19"/>
        </w:rPr>
      </w:pPr>
      <w:r>
        <w:rPr>
          <w:noProof/>
        </w:rPr>
        <w:t>7.</w:t>
      </w:r>
      <w:r>
        <w:rPr>
          <w:noProof/>
        </w:rPr>
        <w:tab/>
      </w:r>
      <w:r w:rsidRPr="00744DCA">
        <w:rPr>
          <w:noProof/>
        </w:rPr>
        <w:t>The Commission shall inform the Defence Industrial Readiness Board of the aggregate results of the activities carried out pursuant to paragraph 4 on a regular basis.</w:t>
      </w:r>
      <w:r w:rsidRPr="00744DCA">
        <w:rPr>
          <w:rFonts w:ascii="Cambria" w:eastAsia="Cambria" w:hAnsi="Cambria" w:cs="Cambria"/>
          <w:noProof/>
          <w:w w:val="90"/>
          <w:sz w:val="19"/>
          <w:szCs w:val="19"/>
        </w:rPr>
        <w:t xml:space="preserve"> </w:t>
      </w:r>
    </w:p>
    <w:p w14:paraId="66653AA7" w14:textId="77777777" w:rsidR="00CB5EDF" w:rsidRPr="00744DCA" w:rsidRDefault="00CB5EDF" w:rsidP="00CB5EDF">
      <w:pPr>
        <w:pStyle w:val="ManualNumPar1"/>
        <w:rPr>
          <w:noProof/>
        </w:rPr>
      </w:pPr>
      <w:r>
        <w:rPr>
          <w:noProof/>
        </w:rPr>
        <w:t>8.</w:t>
      </w:r>
      <w:r>
        <w:rPr>
          <w:noProof/>
        </w:rPr>
        <w:tab/>
      </w:r>
      <w:r w:rsidRPr="00744DCA">
        <w:rPr>
          <w:noProof/>
        </w:rPr>
        <w:t>The Commission shall, on the basis of the outcome of the activities carried out pursuant to paragraph 4 and after consulting the Defence Industrial Readiness Board, develop a list of early warning indicators. The Commission, after consulting the Defence Industrial Readiness Board, shall review the list of early warning indicators on a regular basis, at least every two years.</w:t>
      </w:r>
    </w:p>
    <w:p w14:paraId="54881353" w14:textId="77777777" w:rsidR="00CB5EDF" w:rsidRPr="00744DCA" w:rsidRDefault="00CB5EDF" w:rsidP="00CB5EDF">
      <w:pPr>
        <w:pStyle w:val="ManualNumPar1"/>
        <w:rPr>
          <w:noProof/>
        </w:rPr>
      </w:pPr>
      <w:r>
        <w:rPr>
          <w:noProof/>
        </w:rPr>
        <w:t>9.</w:t>
      </w:r>
      <w:r>
        <w:rPr>
          <w:noProof/>
        </w:rPr>
        <w:tab/>
      </w:r>
      <w:r w:rsidRPr="00744DCA">
        <w:rPr>
          <w:noProof/>
        </w:rPr>
        <w:t xml:space="preserve">Any information obtained pursuant to this Article shall be treated in compliance with the confidentiality obligations set out in Article </w:t>
      </w:r>
      <w:r w:rsidR="00C61538" w:rsidRPr="00744DCA">
        <w:rPr>
          <w:noProof/>
        </w:rPr>
        <w:t>6</w:t>
      </w:r>
      <w:r w:rsidR="009A4C98" w:rsidRPr="00744DCA">
        <w:rPr>
          <w:noProof/>
        </w:rPr>
        <w:t>1</w:t>
      </w:r>
      <w:r w:rsidRPr="00744DCA">
        <w:rPr>
          <w:noProof/>
        </w:rPr>
        <w:t>.</w:t>
      </w:r>
    </w:p>
    <w:p w14:paraId="035A3E42" w14:textId="77777777" w:rsidR="00CB5EDF" w:rsidRPr="00744DCA" w:rsidRDefault="00CB5EDF" w:rsidP="00CB5EDF">
      <w:pPr>
        <w:pStyle w:val="ManualNumPar1"/>
        <w:rPr>
          <w:rFonts w:eastAsia="Calibri"/>
          <w:noProof/>
        </w:rPr>
      </w:pPr>
      <w:r>
        <w:rPr>
          <w:noProof/>
        </w:rPr>
        <w:t>10.</w:t>
      </w:r>
      <w:r>
        <w:rPr>
          <w:noProof/>
        </w:rPr>
        <w:tab/>
      </w:r>
      <w:r w:rsidRPr="00744DCA">
        <w:rPr>
          <w:rFonts w:eastAsia="Calibri"/>
          <w:noProof/>
        </w:rPr>
        <w:t>This Article shall be without prejudice to the protection of Member States’ essential security interests, as referred to in Article 346 TFEU (1) (a).</w:t>
      </w:r>
    </w:p>
    <w:p w14:paraId="38131B0E" w14:textId="77777777" w:rsidR="00CB5EDF" w:rsidRPr="00744DCA" w:rsidRDefault="00CB5EDF" w:rsidP="00CB5EDF">
      <w:pPr>
        <w:pStyle w:val="Titrearticle"/>
        <w:rPr>
          <w:noProof/>
        </w:rPr>
      </w:pPr>
      <w:r w:rsidRPr="00744DCA">
        <w:rPr>
          <w:noProof/>
        </w:rPr>
        <w:t xml:space="preserve">Article </w:t>
      </w:r>
      <w:r w:rsidR="00C0301B" w:rsidRPr="00744DCA">
        <w:rPr>
          <w:noProof/>
        </w:rPr>
        <w:t>4</w:t>
      </w:r>
      <w:r w:rsidR="00D048CC" w:rsidRPr="00744DCA">
        <w:rPr>
          <w:noProof/>
        </w:rPr>
        <w:t>1</w:t>
      </w:r>
    </w:p>
    <w:p w14:paraId="5001C0F3" w14:textId="77777777" w:rsidR="00CB5EDF" w:rsidRPr="00FA1F34" w:rsidRDefault="00CB5EDF" w:rsidP="00CB5EDF">
      <w:pPr>
        <w:pStyle w:val="Titrearticle"/>
        <w:rPr>
          <w:b/>
          <w:i w:val="0"/>
          <w:noProof/>
        </w:rPr>
      </w:pPr>
      <w:r w:rsidRPr="00FA1F34">
        <w:rPr>
          <w:b/>
          <w:i w:val="0"/>
          <w:noProof/>
        </w:rPr>
        <w:t>Monitoring</w:t>
      </w:r>
    </w:p>
    <w:p w14:paraId="6E541473" w14:textId="77777777" w:rsidR="00CB5EDF" w:rsidRPr="00744DCA" w:rsidRDefault="00CB5EDF" w:rsidP="00B2056B">
      <w:pPr>
        <w:pStyle w:val="ManualNumPar1"/>
        <w:rPr>
          <w:noProof/>
        </w:rPr>
      </w:pPr>
      <w:r>
        <w:rPr>
          <w:noProof/>
        </w:rPr>
        <w:t>1.</w:t>
      </w:r>
      <w:r>
        <w:rPr>
          <w:noProof/>
        </w:rPr>
        <w:tab/>
      </w:r>
      <w:r w:rsidRPr="00744DCA">
        <w:rPr>
          <w:noProof/>
        </w:rPr>
        <w:t xml:space="preserve">The Commission, in consultation with the Defence Industrial Readiness Board, shall carry out regular monitoring of the Union’s manufacturing capacities necessary for the supply of crisis-relevant products, identified in accordance with Article </w:t>
      </w:r>
      <w:r w:rsidR="009A4C98" w:rsidRPr="00744DCA">
        <w:rPr>
          <w:noProof/>
        </w:rPr>
        <w:t>40</w:t>
      </w:r>
      <w:r w:rsidRPr="00744DCA">
        <w:rPr>
          <w:noProof/>
        </w:rPr>
        <w:t xml:space="preserve">, </w:t>
      </w:r>
      <w:r w:rsidR="000A3845" w:rsidRPr="00744DCA">
        <w:rPr>
          <w:noProof/>
        </w:rPr>
        <w:t xml:space="preserve">paragraph </w:t>
      </w:r>
      <w:r w:rsidR="006B7293" w:rsidRPr="00744DCA">
        <w:rPr>
          <w:noProof/>
        </w:rPr>
        <w:t>(</w:t>
      </w:r>
      <w:r w:rsidR="005870DA" w:rsidRPr="00744DCA">
        <w:rPr>
          <w:noProof/>
        </w:rPr>
        <w:t>6</w:t>
      </w:r>
      <w:r w:rsidR="006B7293" w:rsidRPr="00744DCA">
        <w:rPr>
          <w:noProof/>
        </w:rPr>
        <w:t>)</w:t>
      </w:r>
      <w:r w:rsidRPr="00744DCA">
        <w:rPr>
          <w:noProof/>
        </w:rPr>
        <w:t xml:space="preserve"> with a view to identifying factors that may disrupt, compromise or negatively affect the supply of the key defence products they contribute to provide. </w:t>
      </w:r>
      <w:r w:rsidR="006B7293" w:rsidRPr="00744DCA">
        <w:rPr>
          <w:noProof/>
        </w:rPr>
        <w:t>T</w:t>
      </w:r>
      <w:r w:rsidRPr="00744DCA">
        <w:rPr>
          <w:noProof/>
        </w:rPr>
        <w:t>he monitoring shall consist of the following activities:</w:t>
      </w:r>
    </w:p>
    <w:p w14:paraId="2AA16861" w14:textId="77777777" w:rsidR="00CB5EDF" w:rsidRPr="00744DCA" w:rsidRDefault="00CB5EDF" w:rsidP="00B2056B">
      <w:pPr>
        <w:pStyle w:val="Point1"/>
        <w:rPr>
          <w:noProof/>
        </w:rPr>
      </w:pPr>
      <w:r>
        <w:rPr>
          <w:noProof/>
        </w:rPr>
        <w:t>(a)</w:t>
      </w:r>
      <w:r>
        <w:rPr>
          <w:noProof/>
        </w:rPr>
        <w:tab/>
      </w:r>
      <w:r w:rsidRPr="00744DCA">
        <w:rPr>
          <w:noProof/>
        </w:rPr>
        <w:t xml:space="preserve">monitoring of early warning indicators identified pursuant to Article </w:t>
      </w:r>
      <w:r w:rsidR="009A4C98" w:rsidRPr="00744DCA">
        <w:rPr>
          <w:noProof/>
        </w:rPr>
        <w:t>40</w:t>
      </w:r>
      <w:r w:rsidRPr="00744DCA">
        <w:rPr>
          <w:noProof/>
        </w:rPr>
        <w:t>(</w:t>
      </w:r>
      <w:r w:rsidR="005870DA" w:rsidRPr="00744DCA">
        <w:rPr>
          <w:noProof/>
        </w:rPr>
        <w:t>8</w:t>
      </w:r>
      <w:r w:rsidRPr="00744DCA">
        <w:rPr>
          <w:noProof/>
        </w:rPr>
        <w:t>);</w:t>
      </w:r>
    </w:p>
    <w:p w14:paraId="0D2E1A99" w14:textId="77777777" w:rsidR="00CB5EDF" w:rsidRPr="00744DCA" w:rsidRDefault="00CB5EDF" w:rsidP="00B2056B">
      <w:pPr>
        <w:pStyle w:val="Point1"/>
        <w:rPr>
          <w:noProof/>
        </w:rPr>
      </w:pPr>
      <w:r>
        <w:rPr>
          <w:noProof/>
        </w:rPr>
        <w:t>(b)</w:t>
      </w:r>
      <w:r>
        <w:rPr>
          <w:noProof/>
        </w:rPr>
        <w:tab/>
      </w:r>
      <w:r w:rsidRPr="00744DCA">
        <w:rPr>
          <w:noProof/>
        </w:rPr>
        <w:t xml:space="preserve">monitoring by Member States of the integrity of activities carried out by the key market actors </w:t>
      </w:r>
      <w:r w:rsidR="006B7293" w:rsidRPr="00744DCA">
        <w:rPr>
          <w:noProof/>
        </w:rPr>
        <w:t>referred</w:t>
      </w:r>
      <w:r w:rsidRPr="00744DCA">
        <w:rPr>
          <w:noProof/>
        </w:rPr>
        <w:t xml:space="preserve"> </w:t>
      </w:r>
      <w:r w:rsidRPr="00744DCA" w:rsidDel="006B7293">
        <w:rPr>
          <w:noProof/>
        </w:rPr>
        <w:t xml:space="preserve">to </w:t>
      </w:r>
      <w:r w:rsidR="006B7293" w:rsidRPr="00744DCA">
        <w:rPr>
          <w:noProof/>
        </w:rPr>
        <w:t xml:space="preserve">in </w:t>
      </w:r>
      <w:r w:rsidRPr="00744DCA">
        <w:rPr>
          <w:noProof/>
        </w:rPr>
        <w:t xml:space="preserve">Article </w:t>
      </w:r>
      <w:r w:rsidR="00FF6E4C" w:rsidRPr="00744DCA">
        <w:rPr>
          <w:noProof/>
        </w:rPr>
        <w:t>4</w:t>
      </w:r>
      <w:r w:rsidR="009A4C98" w:rsidRPr="00744DCA">
        <w:rPr>
          <w:noProof/>
        </w:rPr>
        <w:t>2</w:t>
      </w:r>
      <w:r w:rsidR="00FF6E4C" w:rsidRPr="00744DCA">
        <w:rPr>
          <w:noProof/>
        </w:rPr>
        <w:t xml:space="preserve"> </w:t>
      </w:r>
      <w:r w:rsidRPr="00744DCA">
        <w:rPr>
          <w:noProof/>
        </w:rPr>
        <w:t>and reporting by Member States on major events that may hinder the regular operations of such activities;</w:t>
      </w:r>
    </w:p>
    <w:p w14:paraId="3CBF0C64" w14:textId="77777777" w:rsidR="00CB5EDF" w:rsidRPr="00744DCA" w:rsidRDefault="00CB5EDF" w:rsidP="00B2056B">
      <w:pPr>
        <w:pStyle w:val="Point1"/>
        <w:rPr>
          <w:noProof/>
        </w:rPr>
      </w:pPr>
      <w:r>
        <w:rPr>
          <w:noProof/>
        </w:rPr>
        <w:t>(c)</w:t>
      </w:r>
      <w:r>
        <w:rPr>
          <w:noProof/>
        </w:rPr>
        <w:tab/>
      </w:r>
      <w:r w:rsidRPr="00744DCA">
        <w:rPr>
          <w:noProof/>
        </w:rPr>
        <w:t>identifying best practices for preventive risk mitigation and increased transparency of the Union’s manufacturing capacities necessary for the supply of crisis-relevant products.</w:t>
      </w:r>
    </w:p>
    <w:p w14:paraId="084B23A3" w14:textId="77777777" w:rsidR="00CB5EDF" w:rsidRPr="00744DCA" w:rsidRDefault="00CB5EDF" w:rsidP="00CB5EDF">
      <w:pPr>
        <w:pStyle w:val="Text1"/>
        <w:rPr>
          <w:noProof/>
        </w:rPr>
      </w:pPr>
      <w:r w:rsidRPr="00744DCA">
        <w:rPr>
          <w:noProof/>
        </w:rPr>
        <w:t xml:space="preserve">The Commission, after consulting the Defence Industrial Readiness Board, shall </w:t>
      </w:r>
      <w:r w:rsidR="006B7293" w:rsidRPr="00744DCA">
        <w:rPr>
          <w:noProof/>
        </w:rPr>
        <w:t xml:space="preserve">establish </w:t>
      </w:r>
      <w:r w:rsidRPr="00744DCA">
        <w:rPr>
          <w:noProof/>
        </w:rPr>
        <w:t>the frequency of the monitoring.</w:t>
      </w:r>
    </w:p>
    <w:p w14:paraId="45A2C662" w14:textId="77777777" w:rsidR="00CB5EDF" w:rsidRPr="00744DCA" w:rsidRDefault="00CB5EDF" w:rsidP="00CB5EDF">
      <w:pPr>
        <w:pStyle w:val="ManualNumPar1"/>
        <w:rPr>
          <w:noProof/>
        </w:rPr>
      </w:pPr>
      <w:r>
        <w:rPr>
          <w:noProof/>
        </w:rPr>
        <w:t>2.</w:t>
      </w:r>
      <w:r>
        <w:rPr>
          <w:noProof/>
        </w:rPr>
        <w:tab/>
      </w:r>
      <w:r w:rsidRPr="00744DCA">
        <w:rPr>
          <w:noProof/>
        </w:rPr>
        <w:t>The Commission shall pay particular attention to SMEs to minimise administrative burden resulting from the information collection.</w:t>
      </w:r>
    </w:p>
    <w:p w14:paraId="10A170DA" w14:textId="77777777" w:rsidR="00CB5EDF" w:rsidRPr="00744DCA" w:rsidRDefault="00CB5EDF" w:rsidP="00CB5EDF">
      <w:pPr>
        <w:pStyle w:val="ManualNumPar1"/>
        <w:rPr>
          <w:noProof/>
        </w:rPr>
      </w:pPr>
      <w:r>
        <w:rPr>
          <w:noProof/>
        </w:rPr>
        <w:t>3.</w:t>
      </w:r>
      <w:r>
        <w:rPr>
          <w:noProof/>
        </w:rPr>
        <w:tab/>
      </w:r>
      <w:r w:rsidRPr="00744DCA">
        <w:rPr>
          <w:noProof/>
        </w:rPr>
        <w:t>The Commission may invite, after consulting the Defence Industrial Readiness Board, key market actors</w:t>
      </w:r>
      <w:r w:rsidR="006B7293" w:rsidRPr="00744DCA">
        <w:rPr>
          <w:noProof/>
        </w:rPr>
        <w:t xml:space="preserve"> referred to in Article 4</w:t>
      </w:r>
      <w:r w:rsidR="009A4C98" w:rsidRPr="00744DCA">
        <w:rPr>
          <w:noProof/>
        </w:rPr>
        <w:t>2</w:t>
      </w:r>
      <w:r w:rsidRPr="00744DCA">
        <w:rPr>
          <w:noProof/>
        </w:rPr>
        <w:t>, Member States, national defence industry associations and other relevant stakeholders to provide information, on a voluntary basis, for the purpose of carrying out monitoring activities in accordance with paragraph 1, first subparagraph, point (a).</w:t>
      </w:r>
      <w:r w:rsidRPr="00744DCA">
        <w:rPr>
          <w:rFonts w:ascii="Cambria" w:eastAsia="Cambria" w:hAnsi="Cambria" w:cs="Cambria"/>
          <w:noProof/>
          <w:sz w:val="19"/>
          <w:szCs w:val="19"/>
        </w:rPr>
        <w:t xml:space="preserve"> </w:t>
      </w:r>
    </w:p>
    <w:p w14:paraId="1C73071B" w14:textId="77777777" w:rsidR="00CB5EDF" w:rsidRPr="00744DCA" w:rsidRDefault="00CB5EDF" w:rsidP="00CB5EDF">
      <w:pPr>
        <w:pStyle w:val="ManualNumPar1"/>
        <w:rPr>
          <w:noProof/>
        </w:rPr>
      </w:pPr>
      <w:r>
        <w:rPr>
          <w:noProof/>
        </w:rPr>
        <w:t>4.</w:t>
      </w:r>
      <w:r>
        <w:rPr>
          <w:noProof/>
        </w:rPr>
        <w:tab/>
      </w:r>
      <w:r w:rsidRPr="00744DCA">
        <w:rPr>
          <w:noProof/>
        </w:rPr>
        <w:t xml:space="preserve">For the purposes of paragraph 1, first subparagraph, point (b), Member States may request information, on a voluntary basis, from key market actors </w:t>
      </w:r>
      <w:r w:rsidR="00897436" w:rsidRPr="00744DCA">
        <w:rPr>
          <w:noProof/>
        </w:rPr>
        <w:t>referred to in Article 4</w:t>
      </w:r>
      <w:r w:rsidR="009A4C98" w:rsidRPr="00744DCA">
        <w:rPr>
          <w:noProof/>
        </w:rPr>
        <w:t xml:space="preserve">2 </w:t>
      </w:r>
      <w:r w:rsidRPr="00744DCA">
        <w:rPr>
          <w:noProof/>
        </w:rPr>
        <w:t>where necessary and proportionate.</w:t>
      </w:r>
      <w:r w:rsidRPr="00744DCA">
        <w:rPr>
          <w:rFonts w:ascii="Cambria" w:eastAsia="Cambria" w:hAnsi="Cambria" w:cs="Cambria"/>
          <w:noProof/>
          <w:spacing w:val="-6"/>
          <w:sz w:val="19"/>
          <w:szCs w:val="19"/>
        </w:rPr>
        <w:t xml:space="preserve"> </w:t>
      </w:r>
    </w:p>
    <w:p w14:paraId="03E45B39" w14:textId="77777777" w:rsidR="00CB5EDF" w:rsidRPr="00744DCA" w:rsidRDefault="00CB5EDF" w:rsidP="00CB5EDF">
      <w:pPr>
        <w:pStyle w:val="ManualNumPar1"/>
        <w:rPr>
          <w:noProof/>
        </w:rPr>
      </w:pPr>
      <w:r>
        <w:rPr>
          <w:noProof/>
        </w:rPr>
        <w:t>5.</w:t>
      </w:r>
      <w:r>
        <w:rPr>
          <w:noProof/>
        </w:rPr>
        <w:tab/>
      </w:r>
      <w:r w:rsidRPr="00744DCA">
        <w:rPr>
          <w:noProof/>
        </w:rPr>
        <w:t>For the purposes of paragraph 3</w:t>
      </w:r>
      <w:r w:rsidR="00FF6E4C" w:rsidRPr="00744DCA">
        <w:rPr>
          <w:noProof/>
        </w:rPr>
        <w:t>,</w:t>
      </w:r>
      <w:r w:rsidRPr="00744DCA">
        <w:rPr>
          <w:noProof/>
        </w:rPr>
        <w:t xml:space="preserve"> national competent authorities shall establish and maintain a list of contacts of all relevant undertakings contributing effectively or potentially to the supply of the key defence products, which are established in their territory. That list shall be transmitted to the Commission. The Commission shall provide for a standardised format for the list of contacts with a view to ensuring interoperability.</w:t>
      </w:r>
    </w:p>
    <w:p w14:paraId="6A8C46F6" w14:textId="77777777" w:rsidR="00CB5EDF" w:rsidRPr="00744DCA" w:rsidRDefault="00CB5EDF" w:rsidP="00CB5EDF">
      <w:pPr>
        <w:pStyle w:val="ManualNumPar1"/>
        <w:rPr>
          <w:noProof/>
        </w:rPr>
      </w:pPr>
      <w:r>
        <w:rPr>
          <w:noProof/>
        </w:rPr>
        <w:t>6.</w:t>
      </w:r>
      <w:r>
        <w:rPr>
          <w:noProof/>
        </w:rPr>
        <w:tab/>
      </w:r>
      <w:r w:rsidRPr="00744DCA">
        <w:rPr>
          <w:noProof/>
        </w:rPr>
        <w:t>Without prejudice to their essential security interests and the protection of commercially confidential information resulting from agreements entered into by Member States, Member States shall, where appropriate, provide the Defence Industrial Readiness Board with any additional relevant information, in particular on the potential or future adoption at national level measures for the procurement, purchase or manufacturing of crisis-relevant products.</w:t>
      </w:r>
    </w:p>
    <w:p w14:paraId="228B407B" w14:textId="77777777" w:rsidR="00CB5EDF" w:rsidRPr="00744DCA" w:rsidRDefault="00CB5EDF" w:rsidP="00CB5EDF">
      <w:pPr>
        <w:pStyle w:val="ManualNumPar1"/>
        <w:rPr>
          <w:noProof/>
        </w:rPr>
      </w:pPr>
      <w:r>
        <w:rPr>
          <w:noProof/>
        </w:rPr>
        <w:t>7.</w:t>
      </w:r>
      <w:r>
        <w:rPr>
          <w:noProof/>
        </w:rPr>
        <w:tab/>
      </w:r>
      <w:r w:rsidRPr="00744DCA">
        <w:rPr>
          <w:noProof/>
        </w:rPr>
        <w:t>On the basis of the information collected through the activities under paragraph 1, the Commission shall provide a report of the aggregated findings to the Defence Industrial Readiness Board in the form of regular updates. The Defence Industrial Readiness Board shall meet to assess the results of the monitoring.</w:t>
      </w:r>
      <w:r w:rsidRPr="00744DCA">
        <w:rPr>
          <w:rFonts w:ascii="Cambria" w:eastAsia="Cambria" w:hAnsi="Cambria" w:cs="Cambria"/>
          <w:noProof/>
          <w:spacing w:val="-2"/>
          <w:sz w:val="19"/>
          <w:szCs w:val="19"/>
        </w:rPr>
        <w:t xml:space="preserve"> </w:t>
      </w:r>
      <w:r w:rsidRPr="00744DCA">
        <w:rPr>
          <w:noProof/>
        </w:rPr>
        <w:t>Where relevant, the chair of the Defence Industrial Readiness Board may invite national defence industrial associations, key market actors, and experts from academia and civil society to such meetings.</w:t>
      </w:r>
    </w:p>
    <w:p w14:paraId="533584DA" w14:textId="77777777" w:rsidR="00CB5EDF" w:rsidRPr="00744DCA" w:rsidRDefault="00CB5EDF" w:rsidP="00CB5EDF">
      <w:pPr>
        <w:pStyle w:val="ManualNumPar1"/>
        <w:rPr>
          <w:noProof/>
        </w:rPr>
      </w:pPr>
      <w:r>
        <w:rPr>
          <w:noProof/>
        </w:rPr>
        <w:t>8.</w:t>
      </w:r>
      <w:r>
        <w:rPr>
          <w:noProof/>
        </w:rPr>
        <w:tab/>
      </w:r>
      <w:r w:rsidRPr="00744DCA">
        <w:rPr>
          <w:noProof/>
        </w:rPr>
        <w:t>This Article shall be without prejudice to the protection of Member States’ essential security interests as referred to in Article 346 TFEU (1) (a).</w:t>
      </w:r>
    </w:p>
    <w:p w14:paraId="473674B0" w14:textId="77777777" w:rsidR="00CB5EDF" w:rsidRPr="00744DCA" w:rsidRDefault="00CB5EDF" w:rsidP="00CB5EDF">
      <w:pPr>
        <w:pStyle w:val="Titrearticle"/>
        <w:rPr>
          <w:noProof/>
        </w:rPr>
      </w:pPr>
      <w:r w:rsidRPr="00744DCA">
        <w:rPr>
          <w:noProof/>
        </w:rPr>
        <w:t xml:space="preserve">Article </w:t>
      </w:r>
      <w:r w:rsidR="00C0301B" w:rsidRPr="00744DCA">
        <w:rPr>
          <w:noProof/>
        </w:rPr>
        <w:t>4</w:t>
      </w:r>
      <w:r w:rsidR="00D048CC" w:rsidRPr="00744DCA">
        <w:rPr>
          <w:noProof/>
        </w:rPr>
        <w:t>2</w:t>
      </w:r>
    </w:p>
    <w:p w14:paraId="0F276772" w14:textId="77777777" w:rsidR="00CB5EDF" w:rsidRPr="00FA1F34" w:rsidRDefault="00CB5EDF" w:rsidP="00CB5EDF">
      <w:pPr>
        <w:pStyle w:val="Titrearticle"/>
        <w:rPr>
          <w:b/>
          <w:i w:val="0"/>
          <w:noProof/>
        </w:rPr>
      </w:pPr>
      <w:r w:rsidRPr="00FA1F34">
        <w:rPr>
          <w:b/>
          <w:i w:val="0"/>
          <w:noProof/>
        </w:rPr>
        <w:t>Key market actors</w:t>
      </w:r>
    </w:p>
    <w:p w14:paraId="75B83C47" w14:textId="77777777" w:rsidR="00CB5EDF" w:rsidRPr="00744DCA" w:rsidRDefault="00CB5EDF" w:rsidP="00B2056B">
      <w:pPr>
        <w:pStyle w:val="ManualNumPar1"/>
        <w:rPr>
          <w:noProof/>
        </w:rPr>
      </w:pPr>
      <w:r>
        <w:rPr>
          <w:noProof/>
        </w:rPr>
        <w:t>1.</w:t>
      </w:r>
      <w:r>
        <w:rPr>
          <w:noProof/>
        </w:rPr>
        <w:tab/>
      </w:r>
      <w:r w:rsidRPr="00744DCA">
        <w:rPr>
          <w:noProof/>
        </w:rPr>
        <w:t>Member States shall, in cooperation with the Commission, identify key market actors involved in the supply of key defence products established in their territory, taking into account the following elements:</w:t>
      </w:r>
    </w:p>
    <w:p w14:paraId="37ED7504" w14:textId="77777777" w:rsidR="00CB5EDF" w:rsidRPr="00744DCA" w:rsidRDefault="00CB5EDF" w:rsidP="00B2056B">
      <w:pPr>
        <w:pStyle w:val="Point1"/>
        <w:rPr>
          <w:noProof/>
        </w:rPr>
      </w:pPr>
      <w:r>
        <w:rPr>
          <w:noProof/>
        </w:rPr>
        <w:t>(a)</w:t>
      </w:r>
      <w:r>
        <w:rPr>
          <w:noProof/>
        </w:rPr>
        <w:tab/>
      </w:r>
      <w:r w:rsidRPr="00744DCA">
        <w:rPr>
          <w:noProof/>
        </w:rPr>
        <w:t>the Union or global market share of the key market actor in the market for that product;</w:t>
      </w:r>
    </w:p>
    <w:p w14:paraId="2BAEF2CC" w14:textId="77777777" w:rsidR="00CB5EDF" w:rsidRPr="00744DCA" w:rsidRDefault="00CB5EDF" w:rsidP="00B2056B">
      <w:pPr>
        <w:pStyle w:val="Point1"/>
        <w:rPr>
          <w:noProof/>
        </w:rPr>
      </w:pPr>
      <w:r>
        <w:rPr>
          <w:noProof/>
        </w:rPr>
        <w:t>(b)</w:t>
      </w:r>
      <w:r>
        <w:rPr>
          <w:noProof/>
        </w:rPr>
        <w:tab/>
      </w:r>
      <w:r w:rsidRPr="00744DCA">
        <w:rPr>
          <w:noProof/>
        </w:rPr>
        <w:t>the importance of a market actor in maintaining a sufficient level of supply of a product in the Union, taking into account the availability in the Union of alternative means for the provision of that product;</w:t>
      </w:r>
    </w:p>
    <w:p w14:paraId="71A53580" w14:textId="77777777" w:rsidR="00CB5EDF" w:rsidRPr="00744DCA" w:rsidRDefault="00CB5EDF" w:rsidP="00B2056B">
      <w:pPr>
        <w:pStyle w:val="Point1"/>
        <w:rPr>
          <w:noProof/>
        </w:rPr>
      </w:pPr>
      <w:r>
        <w:rPr>
          <w:noProof/>
        </w:rPr>
        <w:t>(c)</w:t>
      </w:r>
      <w:r>
        <w:rPr>
          <w:noProof/>
        </w:rPr>
        <w:tab/>
      </w:r>
      <w:r w:rsidRPr="00744DCA">
        <w:rPr>
          <w:noProof/>
        </w:rPr>
        <w:t xml:space="preserve">the impact </w:t>
      </w:r>
      <w:r w:rsidR="00C962BC" w:rsidRPr="00744DCA">
        <w:rPr>
          <w:noProof/>
        </w:rPr>
        <w:t xml:space="preserve">that </w:t>
      </w:r>
      <w:r w:rsidRPr="00744DCA">
        <w:rPr>
          <w:noProof/>
        </w:rPr>
        <w:t xml:space="preserve">a disruption of supply of the product provided by the market actor </w:t>
      </w:r>
      <w:r w:rsidR="00C962BC" w:rsidRPr="00744DCA">
        <w:rPr>
          <w:noProof/>
        </w:rPr>
        <w:t xml:space="preserve">could </w:t>
      </w:r>
      <w:r w:rsidRPr="00744DCA">
        <w:rPr>
          <w:noProof/>
        </w:rPr>
        <w:t>have on the supply of crisis-relevant products.</w:t>
      </w:r>
    </w:p>
    <w:p w14:paraId="6A0274F2" w14:textId="77777777" w:rsidR="00CB5EDF" w:rsidRPr="00744DCA" w:rsidRDefault="00CB5EDF" w:rsidP="00CB5EDF">
      <w:pPr>
        <w:pStyle w:val="ManualNumPar1"/>
        <w:rPr>
          <w:noProof/>
        </w:rPr>
      </w:pPr>
      <w:r>
        <w:rPr>
          <w:noProof/>
        </w:rPr>
        <w:t>2.</w:t>
      </w:r>
      <w:r>
        <w:rPr>
          <w:noProof/>
        </w:rPr>
        <w:tab/>
      </w:r>
      <w:r w:rsidRPr="00744DCA">
        <w:rPr>
          <w:noProof/>
        </w:rPr>
        <w:t>Member States shall report on major events that may hinder the regular operations of the activities as referred to in paragraph 1.</w:t>
      </w:r>
    </w:p>
    <w:p w14:paraId="7B4D5515" w14:textId="77777777" w:rsidR="00CB5EDF" w:rsidRPr="00744DCA" w:rsidRDefault="00CB5EDF" w:rsidP="00CB5EDF">
      <w:pPr>
        <w:pStyle w:val="SectionTitle"/>
        <w:rPr>
          <w:noProof/>
        </w:rPr>
      </w:pPr>
      <w:r w:rsidRPr="00744DCA">
        <w:rPr>
          <w:noProof/>
        </w:rPr>
        <w:t xml:space="preserve">Section </w:t>
      </w:r>
      <w:r w:rsidR="00170447" w:rsidRPr="00744DCA">
        <w:rPr>
          <w:noProof/>
        </w:rPr>
        <w:t>3</w:t>
      </w:r>
    </w:p>
    <w:p w14:paraId="60C5F96B" w14:textId="77777777" w:rsidR="00CB5EDF" w:rsidRPr="00744DCA" w:rsidRDefault="00CB5EDF" w:rsidP="00CB5EDF">
      <w:pPr>
        <w:pStyle w:val="SectionTitle"/>
        <w:rPr>
          <w:noProof/>
        </w:rPr>
      </w:pPr>
      <w:r w:rsidRPr="00744DCA">
        <w:rPr>
          <w:noProof/>
        </w:rPr>
        <w:t>Supply crisis - prevention and mitigation</w:t>
      </w:r>
    </w:p>
    <w:p w14:paraId="25FE6234" w14:textId="77777777" w:rsidR="00CB5EDF" w:rsidRPr="00744DCA" w:rsidRDefault="00CB5EDF" w:rsidP="00CB5EDF">
      <w:pPr>
        <w:pStyle w:val="Titrearticle"/>
        <w:rPr>
          <w:noProof/>
        </w:rPr>
      </w:pPr>
      <w:r w:rsidRPr="00744DCA">
        <w:rPr>
          <w:noProof/>
        </w:rPr>
        <w:t xml:space="preserve">Article </w:t>
      </w:r>
      <w:r w:rsidR="00C0301B" w:rsidRPr="00744DCA">
        <w:rPr>
          <w:noProof/>
        </w:rPr>
        <w:t>4</w:t>
      </w:r>
      <w:r w:rsidR="00D048CC" w:rsidRPr="00744DCA">
        <w:rPr>
          <w:noProof/>
        </w:rPr>
        <w:t>3</w:t>
      </w:r>
    </w:p>
    <w:p w14:paraId="2B0A20AF" w14:textId="77777777" w:rsidR="00CB5EDF" w:rsidRPr="00FA1F34" w:rsidRDefault="00CB5EDF" w:rsidP="00CB5EDF">
      <w:pPr>
        <w:pStyle w:val="Titrearticle"/>
        <w:rPr>
          <w:b/>
          <w:i w:val="0"/>
          <w:noProof/>
        </w:rPr>
      </w:pPr>
      <w:r w:rsidRPr="00FA1F34">
        <w:rPr>
          <w:b/>
          <w:i w:val="0"/>
          <w:noProof/>
        </w:rPr>
        <w:t>Alerts and preventive action</w:t>
      </w:r>
    </w:p>
    <w:p w14:paraId="3E94B177" w14:textId="77777777" w:rsidR="00CB5EDF" w:rsidRPr="00744DCA" w:rsidRDefault="00CB5EDF" w:rsidP="00B2056B">
      <w:pPr>
        <w:pStyle w:val="ManualNumPar1"/>
        <w:rPr>
          <w:noProof/>
        </w:rPr>
      </w:pPr>
      <w:r>
        <w:rPr>
          <w:noProof/>
        </w:rPr>
        <w:t>1.</w:t>
      </w:r>
      <w:r>
        <w:rPr>
          <w:noProof/>
        </w:rPr>
        <w:tab/>
      </w:r>
      <w:r w:rsidRPr="00744DCA">
        <w:rPr>
          <w:noProof/>
        </w:rPr>
        <w:t>Where a national competent authority becomes aware of a risk of serious disruption of a crisis-relevant products or has concrete and reliable information of any other relevant risk factor or event materializing affecting the supply of a crisis relevant product, it shall alert the Defence Industrial Readiness Board without undue delay.</w:t>
      </w:r>
    </w:p>
    <w:p w14:paraId="6968FE8A" w14:textId="77777777" w:rsidR="00CB5EDF" w:rsidRPr="00744DCA" w:rsidRDefault="00CB5EDF">
      <w:pPr>
        <w:pStyle w:val="ManualNumPar1"/>
        <w:rPr>
          <w:noProof/>
        </w:rPr>
      </w:pPr>
      <w:r>
        <w:rPr>
          <w:noProof/>
        </w:rPr>
        <w:t>2.</w:t>
      </w:r>
      <w:r>
        <w:rPr>
          <w:noProof/>
        </w:rPr>
        <w:tab/>
      </w:r>
      <w:r w:rsidRPr="00744DCA">
        <w:rPr>
          <w:noProof/>
        </w:rPr>
        <w:t>Where the Defence Industrial Readiness Board or the Commission become aware of a risk of serious disruption of a crisis relevant product or has concrete and reliable information of any other relevant risk factor or event materializing affecting the supply of a crisis relevant product, including on the basis of early warning indicators, upon an alert pursuant to paragraph 1 or from international partners, the Commission shall, without undue delay, carry out the following preventive actions:</w:t>
      </w:r>
    </w:p>
    <w:p w14:paraId="7BF9EBF1" w14:textId="77777777" w:rsidR="00CB5EDF" w:rsidRPr="00744DCA" w:rsidRDefault="00CB5EDF" w:rsidP="00B2056B">
      <w:pPr>
        <w:pStyle w:val="Point1"/>
        <w:rPr>
          <w:noProof/>
        </w:rPr>
      </w:pPr>
      <w:r>
        <w:rPr>
          <w:noProof/>
        </w:rPr>
        <w:t>(a)</w:t>
      </w:r>
      <w:r>
        <w:rPr>
          <w:noProof/>
        </w:rPr>
        <w:tab/>
      </w:r>
      <w:r w:rsidRPr="00744DCA">
        <w:rPr>
          <w:noProof/>
        </w:rPr>
        <w:t>conven</w:t>
      </w:r>
      <w:r w:rsidR="006B50D7" w:rsidRPr="00744DCA">
        <w:rPr>
          <w:noProof/>
        </w:rPr>
        <w:t>e</w:t>
      </w:r>
      <w:r w:rsidRPr="00744DCA">
        <w:rPr>
          <w:noProof/>
        </w:rPr>
        <w:t xml:space="preserve"> an extraordinary meeting of the Defence Industrial Readiness Board to coordinate the following actions:</w:t>
      </w:r>
    </w:p>
    <w:p w14:paraId="3DDD6766" w14:textId="77777777" w:rsidR="00CB5EDF" w:rsidRPr="00744DCA" w:rsidRDefault="00CB5EDF" w:rsidP="00CB5EDF">
      <w:pPr>
        <w:pStyle w:val="Point2"/>
        <w:rPr>
          <w:noProof/>
        </w:rPr>
      </w:pPr>
      <w:r>
        <w:rPr>
          <w:noProof/>
        </w:rPr>
        <w:t>(1)</w:t>
      </w:r>
      <w:r>
        <w:rPr>
          <w:noProof/>
        </w:rPr>
        <w:tab/>
      </w:r>
      <w:r w:rsidRPr="00744DCA">
        <w:rPr>
          <w:noProof/>
        </w:rPr>
        <w:t>discuss the severity of the disruptions to the availability and supply of the concerned crisis-relevant products;</w:t>
      </w:r>
    </w:p>
    <w:p w14:paraId="71D48ECA" w14:textId="77777777" w:rsidR="00CB5EDF" w:rsidRPr="00744DCA" w:rsidRDefault="00CB5EDF" w:rsidP="00CB5EDF">
      <w:pPr>
        <w:pStyle w:val="Point2"/>
        <w:rPr>
          <w:noProof/>
        </w:rPr>
      </w:pPr>
      <w:r>
        <w:rPr>
          <w:noProof/>
        </w:rPr>
        <w:t>(2)</w:t>
      </w:r>
      <w:r>
        <w:rPr>
          <w:noProof/>
        </w:rPr>
        <w:tab/>
      </w:r>
      <w:r w:rsidRPr="00744DCA">
        <w:rPr>
          <w:noProof/>
        </w:rPr>
        <w:t xml:space="preserve">recommend to the Commission to initiate action in accordance with Chapter II of this Regulation; </w:t>
      </w:r>
    </w:p>
    <w:p w14:paraId="0276DA51" w14:textId="77777777" w:rsidR="00CB5EDF" w:rsidRPr="00744DCA" w:rsidRDefault="00CB5EDF" w:rsidP="00CB5EDF">
      <w:pPr>
        <w:pStyle w:val="Point2"/>
        <w:rPr>
          <w:noProof/>
        </w:rPr>
      </w:pPr>
      <w:r>
        <w:rPr>
          <w:noProof/>
        </w:rPr>
        <w:t>(3)</w:t>
      </w:r>
      <w:r>
        <w:rPr>
          <w:noProof/>
        </w:rPr>
        <w:tab/>
      </w:r>
      <w:r w:rsidRPr="00744DCA">
        <w:rPr>
          <w:noProof/>
        </w:rPr>
        <w:t>discuss approaches of the national competent authorities, including to assess the state of preparedness of the key market actors;</w:t>
      </w:r>
    </w:p>
    <w:p w14:paraId="24A1FD84" w14:textId="77777777" w:rsidR="00CB5EDF" w:rsidRPr="00744DCA" w:rsidRDefault="00CB5EDF" w:rsidP="00CB5EDF">
      <w:pPr>
        <w:pStyle w:val="Point2"/>
        <w:rPr>
          <w:noProof/>
        </w:rPr>
      </w:pPr>
      <w:r>
        <w:rPr>
          <w:noProof/>
        </w:rPr>
        <w:t>(4)</w:t>
      </w:r>
      <w:r>
        <w:rPr>
          <w:noProof/>
        </w:rPr>
        <w:tab/>
      </w:r>
      <w:r w:rsidRPr="00744DCA">
        <w:rPr>
          <w:noProof/>
        </w:rPr>
        <w:t>enter into dialogue with stakeholders of the Union’s manufacturing capacities necessary for the supply of crisis-relevant products with a view to identifying, preparing and possibly coordinating preventive measures;</w:t>
      </w:r>
    </w:p>
    <w:p w14:paraId="75876B3F" w14:textId="77777777" w:rsidR="00CB5EDF" w:rsidRPr="00744DCA" w:rsidRDefault="00CB5EDF" w:rsidP="00CB5EDF">
      <w:pPr>
        <w:pStyle w:val="Point2"/>
        <w:rPr>
          <w:noProof/>
        </w:rPr>
      </w:pPr>
      <w:r>
        <w:rPr>
          <w:noProof/>
        </w:rPr>
        <w:t>(5)</w:t>
      </w:r>
      <w:r>
        <w:rPr>
          <w:noProof/>
        </w:rPr>
        <w:tab/>
      </w:r>
      <w:r w:rsidRPr="00744DCA">
        <w:rPr>
          <w:noProof/>
        </w:rPr>
        <w:t xml:space="preserve">discuss the activation of the supply crisis state referred to in Article </w:t>
      </w:r>
      <w:r w:rsidR="009A4C98" w:rsidRPr="00744DCA">
        <w:rPr>
          <w:noProof/>
        </w:rPr>
        <w:t xml:space="preserve">44 </w:t>
      </w:r>
      <w:r w:rsidRPr="00744DCA">
        <w:rPr>
          <w:noProof/>
        </w:rPr>
        <w:t>where necessary and proportionate.</w:t>
      </w:r>
    </w:p>
    <w:p w14:paraId="672A4CDD" w14:textId="77777777" w:rsidR="00CB5EDF" w:rsidRPr="00744DCA" w:rsidRDefault="00CB5EDF" w:rsidP="00B2056B">
      <w:pPr>
        <w:pStyle w:val="Point1"/>
        <w:rPr>
          <w:noProof/>
        </w:rPr>
      </w:pPr>
      <w:r>
        <w:rPr>
          <w:noProof/>
        </w:rPr>
        <w:t>(b)</w:t>
      </w:r>
      <w:r>
        <w:rPr>
          <w:noProof/>
        </w:rPr>
        <w:tab/>
      </w:r>
      <w:r w:rsidRPr="00744DCA">
        <w:rPr>
          <w:noProof/>
        </w:rPr>
        <w:t>on behalf of the Union, enter into consultations or cooperation with relevant third countries and international organisations with a view to seeking cooperative solutions to address supply-chain disruptions, in compliance with international obligations, which may involve, where appropriate, carrying out coordination in relevant international fora.</w:t>
      </w:r>
    </w:p>
    <w:p w14:paraId="5CD3B996" w14:textId="77777777" w:rsidR="00CB5EDF" w:rsidRPr="00744DCA" w:rsidRDefault="00CB5EDF" w:rsidP="00CB5EDF">
      <w:pPr>
        <w:pStyle w:val="Titrearticle"/>
        <w:rPr>
          <w:noProof/>
        </w:rPr>
      </w:pPr>
      <w:r w:rsidRPr="00744DCA">
        <w:rPr>
          <w:noProof/>
        </w:rPr>
        <w:t xml:space="preserve">Article </w:t>
      </w:r>
      <w:r w:rsidR="00C0301B" w:rsidRPr="00744DCA">
        <w:rPr>
          <w:noProof/>
        </w:rPr>
        <w:t>4</w:t>
      </w:r>
      <w:r w:rsidR="00D048CC" w:rsidRPr="00744DCA">
        <w:rPr>
          <w:noProof/>
        </w:rPr>
        <w:t>4</w:t>
      </w:r>
    </w:p>
    <w:p w14:paraId="4183A0A2" w14:textId="77777777" w:rsidR="00CB5EDF" w:rsidRPr="00FA1F34" w:rsidRDefault="00CB5EDF" w:rsidP="00CB5EDF">
      <w:pPr>
        <w:pStyle w:val="Titrearticle"/>
        <w:rPr>
          <w:b/>
          <w:i w:val="0"/>
          <w:noProof/>
        </w:rPr>
      </w:pPr>
      <w:r w:rsidRPr="00FA1F34">
        <w:rPr>
          <w:b/>
          <w:i w:val="0"/>
          <w:noProof/>
        </w:rPr>
        <w:t>Activation of the supply crisis state</w:t>
      </w:r>
    </w:p>
    <w:p w14:paraId="71B64B54" w14:textId="77777777" w:rsidR="00CB5EDF" w:rsidRPr="00744DCA" w:rsidRDefault="00CB5EDF" w:rsidP="00B2056B">
      <w:pPr>
        <w:pStyle w:val="ManualNumPar1"/>
        <w:rPr>
          <w:noProof/>
        </w:rPr>
      </w:pPr>
      <w:r>
        <w:rPr>
          <w:noProof/>
        </w:rPr>
        <w:t>1.</w:t>
      </w:r>
      <w:r>
        <w:rPr>
          <w:noProof/>
        </w:rPr>
        <w:tab/>
      </w:r>
      <w:r w:rsidRPr="00744DCA">
        <w:rPr>
          <w:noProof/>
        </w:rPr>
        <w:t>A supply crisis shall be considered to occur where:</w:t>
      </w:r>
    </w:p>
    <w:p w14:paraId="7974C59B" w14:textId="77777777" w:rsidR="00CB5EDF" w:rsidRPr="00744DCA" w:rsidRDefault="00CB5EDF" w:rsidP="00B2056B">
      <w:pPr>
        <w:pStyle w:val="Point1"/>
        <w:rPr>
          <w:noProof/>
        </w:rPr>
      </w:pPr>
      <w:r>
        <w:rPr>
          <w:noProof/>
        </w:rPr>
        <w:t>(a)</w:t>
      </w:r>
      <w:r>
        <w:rPr>
          <w:noProof/>
        </w:rPr>
        <w:tab/>
      </w:r>
      <w:r w:rsidRPr="00744DCA">
        <w:rPr>
          <w:noProof/>
        </w:rPr>
        <w:t>there are serious disruptions in the provision of products, which are not defence products, or serious obstacles to trade in such products within the Union causing their significant shortage; and</w:t>
      </w:r>
    </w:p>
    <w:p w14:paraId="0FCDC153" w14:textId="77777777" w:rsidR="00CB5EDF" w:rsidRPr="00744DCA" w:rsidRDefault="00CB5EDF" w:rsidP="00B2056B">
      <w:pPr>
        <w:pStyle w:val="Point1"/>
        <w:rPr>
          <w:noProof/>
        </w:rPr>
      </w:pPr>
      <w:r>
        <w:rPr>
          <w:noProof/>
        </w:rPr>
        <w:t>(b)</w:t>
      </w:r>
      <w:r>
        <w:rPr>
          <w:noProof/>
        </w:rPr>
        <w:tab/>
      </w:r>
      <w:r w:rsidRPr="00744DCA">
        <w:rPr>
          <w:noProof/>
        </w:rPr>
        <w:t>such significant shortages prevent the supply, repair or maintenance of defence products to the extent that it would have serious detrimental effect on the functioning of the Union’s defence supply chains impact</w:t>
      </w:r>
      <w:r w:rsidR="00C962BC" w:rsidRPr="00744DCA">
        <w:rPr>
          <w:noProof/>
        </w:rPr>
        <w:t>ing</w:t>
      </w:r>
      <w:r w:rsidRPr="00744DCA">
        <w:rPr>
          <w:noProof/>
        </w:rPr>
        <w:t xml:space="preserve"> </w:t>
      </w:r>
      <w:r w:rsidR="00C962BC" w:rsidRPr="00744DCA">
        <w:rPr>
          <w:noProof/>
        </w:rPr>
        <w:t xml:space="preserve">the </w:t>
      </w:r>
      <w:r w:rsidRPr="00744DCA">
        <w:rPr>
          <w:noProof/>
        </w:rPr>
        <w:t>society, economy and security of the Union.</w:t>
      </w:r>
    </w:p>
    <w:p w14:paraId="637E43EC" w14:textId="77777777" w:rsidR="00CB5EDF" w:rsidRPr="00744DCA" w:rsidRDefault="00CB5EDF">
      <w:pPr>
        <w:pStyle w:val="ManualNumPar1"/>
        <w:rPr>
          <w:noProof/>
        </w:rPr>
      </w:pPr>
      <w:r>
        <w:rPr>
          <w:noProof/>
        </w:rPr>
        <w:t>2.</w:t>
      </w:r>
      <w:r>
        <w:rPr>
          <w:noProof/>
        </w:rPr>
        <w:tab/>
      </w:r>
      <w:r w:rsidRPr="00744DCA">
        <w:rPr>
          <w:noProof/>
        </w:rPr>
        <w:t xml:space="preserve">Where the Commission or the Defence Industrial Readiness Board become aware of a potential supply crisis pursuant to Article </w:t>
      </w:r>
      <w:r w:rsidR="00D5236A" w:rsidRPr="00744DCA">
        <w:rPr>
          <w:noProof/>
        </w:rPr>
        <w:t>4</w:t>
      </w:r>
      <w:r w:rsidR="004848D2" w:rsidRPr="00744DCA">
        <w:rPr>
          <w:noProof/>
        </w:rPr>
        <w:t>3</w:t>
      </w:r>
      <w:r w:rsidRPr="00744DCA">
        <w:rPr>
          <w:noProof/>
        </w:rPr>
        <w:t xml:space="preserve">, the Commission shall assess whether the conditions </w:t>
      </w:r>
      <w:r w:rsidR="00915AA7" w:rsidRPr="00744DCA">
        <w:rPr>
          <w:noProof/>
        </w:rPr>
        <w:t xml:space="preserve">set out in </w:t>
      </w:r>
      <w:r w:rsidRPr="00744DCA">
        <w:rPr>
          <w:noProof/>
        </w:rPr>
        <w:t>paragraph 1 of this Article are met. That assessment shall take into account the potential positive and negative impacts and consequences of the supply crisis state on the Union’s defence supply chains</w:t>
      </w:r>
      <w:r w:rsidR="00A939A6" w:rsidRPr="00744DCA">
        <w:rPr>
          <w:noProof/>
        </w:rPr>
        <w:t xml:space="preserve"> as well as </w:t>
      </w:r>
      <w:r w:rsidR="00A939A6" w:rsidRPr="00744DCA">
        <w:rPr>
          <w:noProof/>
          <w:lang w:val="en-IE"/>
        </w:rPr>
        <w:t xml:space="preserve">assessments performed in other relevant Union crisis management </w:t>
      </w:r>
      <w:r w:rsidR="00FA3DB1" w:rsidRPr="00744DCA">
        <w:rPr>
          <w:noProof/>
          <w:lang w:val="en-IE"/>
        </w:rPr>
        <w:t>frameworks</w:t>
      </w:r>
      <w:r w:rsidRPr="00744DCA">
        <w:rPr>
          <w:noProof/>
        </w:rPr>
        <w:t>. Where that assessment provides concrete and reliable evidence, the Commission may, after consulting the Defence Industrial Readiness Board, propose to the Council to activate the supply crisis state.</w:t>
      </w:r>
    </w:p>
    <w:p w14:paraId="7E00AC77" w14:textId="77777777" w:rsidR="00CB5EDF" w:rsidRPr="00744DCA" w:rsidRDefault="00CB5EDF">
      <w:pPr>
        <w:pStyle w:val="ManualNumPar1"/>
        <w:rPr>
          <w:noProof/>
        </w:rPr>
      </w:pPr>
      <w:r>
        <w:rPr>
          <w:noProof/>
        </w:rPr>
        <w:t>3.</w:t>
      </w:r>
      <w:r>
        <w:rPr>
          <w:noProof/>
        </w:rPr>
        <w:tab/>
      </w:r>
      <w:r w:rsidRPr="00744DCA">
        <w:rPr>
          <w:noProof/>
        </w:rPr>
        <w:t xml:space="preserve">The Council, acting by qualified majority, may activate the supply crisis state by means of a Council implementing act. The duration of the </w:t>
      </w:r>
      <w:r w:rsidR="006B50D7" w:rsidRPr="00744DCA">
        <w:rPr>
          <w:noProof/>
        </w:rPr>
        <w:t xml:space="preserve">supply </w:t>
      </w:r>
      <w:r w:rsidRPr="00744DCA">
        <w:rPr>
          <w:noProof/>
        </w:rPr>
        <w:t>crisis state shall be specified in the Implementing Act and shall not exceed 12 months.</w:t>
      </w:r>
    </w:p>
    <w:p w14:paraId="7AE55B78" w14:textId="77777777" w:rsidR="00CB5EDF" w:rsidRPr="00744DCA" w:rsidRDefault="00CB5EDF" w:rsidP="003506AF">
      <w:pPr>
        <w:pStyle w:val="ManualNumPar1"/>
        <w:rPr>
          <w:noProof/>
        </w:rPr>
      </w:pPr>
      <w:r>
        <w:rPr>
          <w:noProof/>
        </w:rPr>
        <w:t>4.</w:t>
      </w:r>
      <w:r>
        <w:rPr>
          <w:noProof/>
        </w:rPr>
        <w:tab/>
      </w:r>
      <w:r w:rsidRPr="00744DCA">
        <w:rPr>
          <w:noProof/>
        </w:rPr>
        <w:t>The Commission shall report on a regular basis and at least every three months to the Council and to the European Parliament on the state of the crisis.</w:t>
      </w:r>
    </w:p>
    <w:p w14:paraId="4BF30FBE" w14:textId="77777777" w:rsidR="00CB5EDF" w:rsidRPr="00744DCA" w:rsidRDefault="00CB5EDF">
      <w:pPr>
        <w:pStyle w:val="ManualNumPar1"/>
        <w:rPr>
          <w:noProof/>
        </w:rPr>
      </w:pPr>
      <w:r>
        <w:rPr>
          <w:noProof/>
        </w:rPr>
        <w:t>5.</w:t>
      </w:r>
      <w:r>
        <w:rPr>
          <w:noProof/>
        </w:rPr>
        <w:tab/>
      </w:r>
      <w:r w:rsidRPr="00744DCA">
        <w:rPr>
          <w:noProof/>
        </w:rPr>
        <w:t xml:space="preserve">Before the expiry of the duration </w:t>
      </w:r>
      <w:r w:rsidR="00915AA7" w:rsidRPr="00744DCA">
        <w:rPr>
          <w:noProof/>
        </w:rPr>
        <w:t xml:space="preserve">of </w:t>
      </w:r>
      <w:r w:rsidRPr="00744DCA">
        <w:rPr>
          <w:noProof/>
        </w:rPr>
        <w:t xml:space="preserve">the supply crisis, the Commission shall assess whether it is appropriate to prolong the supply crisis state. Where such assessment provides concrete and reliable evidence that the conditions for the activation of the supply crisis state are still met, </w:t>
      </w:r>
      <w:r w:rsidR="000328F9" w:rsidRPr="00744DCA">
        <w:rPr>
          <w:noProof/>
        </w:rPr>
        <w:t>the Commission may,</w:t>
      </w:r>
      <w:r w:rsidRPr="00744DCA">
        <w:rPr>
          <w:noProof/>
        </w:rPr>
        <w:t xml:space="preserve"> after consulting the Defence Industrial Readiness Board, propose to the Council to prolong the supply crisis state.</w:t>
      </w:r>
    </w:p>
    <w:p w14:paraId="46AFBD52" w14:textId="77777777" w:rsidR="00CB5EDF" w:rsidRPr="00744DCA" w:rsidRDefault="00CB5EDF">
      <w:pPr>
        <w:pStyle w:val="ManualNumPar1"/>
        <w:rPr>
          <w:noProof/>
        </w:rPr>
      </w:pPr>
      <w:r>
        <w:rPr>
          <w:noProof/>
        </w:rPr>
        <w:t>6.</w:t>
      </w:r>
      <w:r>
        <w:rPr>
          <w:noProof/>
        </w:rPr>
        <w:tab/>
      </w:r>
      <w:r w:rsidRPr="00744DCA">
        <w:rPr>
          <w:noProof/>
        </w:rPr>
        <w:t>The Council, acting by qualified majority, may prolong the supply crisis state by means of a Council implementing act. The duration of the prolongation shall be limited and specified in the Council implementing act.</w:t>
      </w:r>
    </w:p>
    <w:p w14:paraId="5EFECFB3" w14:textId="77777777" w:rsidR="00CB5EDF" w:rsidRPr="00744DCA" w:rsidRDefault="00CB5EDF">
      <w:pPr>
        <w:pStyle w:val="ManualNumPar1"/>
        <w:rPr>
          <w:noProof/>
        </w:rPr>
      </w:pPr>
      <w:r>
        <w:rPr>
          <w:noProof/>
        </w:rPr>
        <w:t>7.</w:t>
      </w:r>
      <w:r>
        <w:rPr>
          <w:noProof/>
        </w:rPr>
        <w:tab/>
      </w:r>
      <w:r w:rsidRPr="00744DCA">
        <w:rPr>
          <w:noProof/>
        </w:rPr>
        <w:t>The Commission may propose prolonging the supply crisis state once or more frequently where duly justified.</w:t>
      </w:r>
    </w:p>
    <w:p w14:paraId="7072E8DB" w14:textId="77777777" w:rsidR="00CB5EDF" w:rsidRPr="00744DCA" w:rsidRDefault="00CB5EDF">
      <w:pPr>
        <w:pStyle w:val="ManualNumPar1"/>
        <w:rPr>
          <w:noProof/>
        </w:rPr>
      </w:pPr>
      <w:r>
        <w:rPr>
          <w:noProof/>
        </w:rPr>
        <w:t>8.</w:t>
      </w:r>
      <w:r>
        <w:rPr>
          <w:noProof/>
        </w:rPr>
        <w:tab/>
      </w:r>
      <w:r w:rsidRPr="00744DCA">
        <w:rPr>
          <w:noProof/>
        </w:rPr>
        <w:t>During the supply crisis state, the Commission shall, after consulting the Defence Industrial Readiness Board, assess the appropriateness of an early termination of the crisis state. If the assessment indicates so, the Commission may propose to the Council to terminate the crisis state.</w:t>
      </w:r>
    </w:p>
    <w:p w14:paraId="035C09CE" w14:textId="77777777" w:rsidR="00CB5EDF" w:rsidRPr="00744DCA" w:rsidRDefault="00CB5EDF">
      <w:pPr>
        <w:pStyle w:val="ManualNumPar1"/>
        <w:rPr>
          <w:noProof/>
        </w:rPr>
      </w:pPr>
      <w:r>
        <w:rPr>
          <w:noProof/>
        </w:rPr>
        <w:t>9.</w:t>
      </w:r>
      <w:r>
        <w:rPr>
          <w:noProof/>
        </w:rPr>
        <w:tab/>
      </w:r>
      <w:r w:rsidRPr="00744DCA">
        <w:rPr>
          <w:noProof/>
        </w:rPr>
        <w:t>The Council may terminate the supply crisis state by means of a Council implementing act.</w:t>
      </w:r>
    </w:p>
    <w:p w14:paraId="7CF0DB34" w14:textId="77777777" w:rsidR="00CB5EDF" w:rsidRPr="00744DCA" w:rsidRDefault="00CB5EDF">
      <w:pPr>
        <w:pStyle w:val="ManualNumPar1"/>
        <w:rPr>
          <w:noProof/>
        </w:rPr>
      </w:pPr>
      <w:r>
        <w:rPr>
          <w:noProof/>
        </w:rPr>
        <w:t>10.</w:t>
      </w:r>
      <w:r>
        <w:rPr>
          <w:noProof/>
        </w:rPr>
        <w:tab/>
      </w:r>
      <w:r w:rsidRPr="00744DCA">
        <w:rPr>
          <w:noProof/>
        </w:rPr>
        <w:t>During the crisis state, the Commission shall, upon request from a Member State or on their own initiative, convene extraordinary meetings of the Defence Industrial Readiness Board where necessary. Member States shall work closely with the Commission, inform in a timely manner about and coordinate any national measures taken with regard to the concerned defence supply chain within the Defence Industrial Readiness Board.</w:t>
      </w:r>
    </w:p>
    <w:p w14:paraId="3F166303" w14:textId="77777777" w:rsidR="00CB5EDF" w:rsidRPr="00744DCA" w:rsidRDefault="00CB5EDF">
      <w:pPr>
        <w:pStyle w:val="ManualNumPar1"/>
        <w:rPr>
          <w:noProof/>
        </w:rPr>
      </w:pPr>
      <w:r>
        <w:rPr>
          <w:noProof/>
        </w:rPr>
        <w:t>11.</w:t>
      </w:r>
      <w:r>
        <w:rPr>
          <w:noProof/>
        </w:rPr>
        <w:tab/>
      </w:r>
      <w:r w:rsidRPr="00744DCA">
        <w:rPr>
          <w:noProof/>
        </w:rPr>
        <w:t xml:space="preserve">Upon expiry of the period for which the supply crisis state is activated or in the event of its early termination pursuant to paragraph 8 of this Article, the measures taken in accordance with Articles </w:t>
      </w:r>
      <w:r w:rsidR="00D5236A" w:rsidRPr="00744DCA">
        <w:rPr>
          <w:noProof/>
        </w:rPr>
        <w:t>4</w:t>
      </w:r>
      <w:r w:rsidR="004848D2" w:rsidRPr="00744DCA">
        <w:rPr>
          <w:noProof/>
        </w:rPr>
        <w:t>6</w:t>
      </w:r>
      <w:r w:rsidR="00D5236A" w:rsidRPr="00744DCA">
        <w:rPr>
          <w:noProof/>
        </w:rPr>
        <w:t xml:space="preserve"> </w:t>
      </w:r>
      <w:r w:rsidRPr="00744DCA">
        <w:rPr>
          <w:noProof/>
        </w:rPr>
        <w:t xml:space="preserve">and </w:t>
      </w:r>
      <w:r w:rsidR="00D5236A" w:rsidRPr="00744DCA">
        <w:rPr>
          <w:noProof/>
        </w:rPr>
        <w:t>4</w:t>
      </w:r>
      <w:r w:rsidR="004848D2" w:rsidRPr="00744DCA">
        <w:rPr>
          <w:noProof/>
        </w:rPr>
        <w:t>7</w:t>
      </w:r>
      <w:r w:rsidR="00D5236A" w:rsidRPr="00744DCA">
        <w:rPr>
          <w:noProof/>
        </w:rPr>
        <w:t xml:space="preserve"> </w:t>
      </w:r>
      <w:r w:rsidRPr="00744DCA">
        <w:rPr>
          <w:noProof/>
        </w:rPr>
        <w:t>shall cease to apply immediately.</w:t>
      </w:r>
    </w:p>
    <w:p w14:paraId="58E12D26" w14:textId="77777777" w:rsidR="00CB5EDF" w:rsidRPr="00744DCA" w:rsidRDefault="00CB5EDF">
      <w:pPr>
        <w:pStyle w:val="ManualNumPar1"/>
        <w:rPr>
          <w:noProof/>
        </w:rPr>
      </w:pPr>
      <w:r>
        <w:rPr>
          <w:noProof/>
        </w:rPr>
        <w:t>12.</w:t>
      </w:r>
      <w:r>
        <w:rPr>
          <w:noProof/>
        </w:rPr>
        <w:tab/>
      </w:r>
      <w:r w:rsidRPr="00744DCA">
        <w:rPr>
          <w:noProof/>
        </w:rPr>
        <w:t xml:space="preserve">The Commission shall update the mapping and the monitoring of the Union’s defence supply chains pursuant to Articles </w:t>
      </w:r>
      <w:r w:rsidR="00054965" w:rsidRPr="00744DCA">
        <w:rPr>
          <w:noProof/>
        </w:rPr>
        <w:t>40</w:t>
      </w:r>
      <w:r w:rsidR="00453869" w:rsidRPr="00744DCA">
        <w:rPr>
          <w:noProof/>
        </w:rPr>
        <w:t xml:space="preserve"> </w:t>
      </w:r>
      <w:r w:rsidRPr="00744DCA">
        <w:rPr>
          <w:noProof/>
        </w:rPr>
        <w:t xml:space="preserve">and </w:t>
      </w:r>
      <w:r w:rsidR="00453869" w:rsidRPr="00744DCA">
        <w:rPr>
          <w:noProof/>
        </w:rPr>
        <w:t>4</w:t>
      </w:r>
      <w:r w:rsidR="00054965" w:rsidRPr="00744DCA">
        <w:rPr>
          <w:noProof/>
        </w:rPr>
        <w:t>1</w:t>
      </w:r>
      <w:r w:rsidR="00453869" w:rsidRPr="00744DCA">
        <w:rPr>
          <w:noProof/>
        </w:rPr>
        <w:t xml:space="preserve"> </w:t>
      </w:r>
      <w:r w:rsidRPr="00744DCA">
        <w:rPr>
          <w:noProof/>
        </w:rPr>
        <w:t xml:space="preserve">taking into account the experience from the crisis no later than six months after the expiry of the </w:t>
      </w:r>
      <w:r w:rsidR="002D0257" w:rsidRPr="00744DCA">
        <w:rPr>
          <w:noProof/>
        </w:rPr>
        <w:t>supply</w:t>
      </w:r>
      <w:r w:rsidRPr="00744DCA">
        <w:rPr>
          <w:noProof/>
        </w:rPr>
        <w:t xml:space="preserve"> crisis state.</w:t>
      </w:r>
    </w:p>
    <w:p w14:paraId="518DFA72" w14:textId="77777777" w:rsidR="00CB5EDF" w:rsidRPr="00744DCA" w:rsidRDefault="00CB5EDF" w:rsidP="00CB5EDF">
      <w:pPr>
        <w:pStyle w:val="Titrearticle"/>
        <w:rPr>
          <w:noProof/>
        </w:rPr>
      </w:pPr>
      <w:r w:rsidRPr="00744DCA">
        <w:rPr>
          <w:noProof/>
        </w:rPr>
        <w:t xml:space="preserve">Article </w:t>
      </w:r>
      <w:r w:rsidR="00C0301B" w:rsidRPr="00744DCA">
        <w:rPr>
          <w:noProof/>
        </w:rPr>
        <w:t>4</w:t>
      </w:r>
      <w:r w:rsidR="00D048CC" w:rsidRPr="00744DCA">
        <w:rPr>
          <w:noProof/>
        </w:rPr>
        <w:t>5</w:t>
      </w:r>
    </w:p>
    <w:p w14:paraId="4ECDD9FB" w14:textId="77777777" w:rsidR="00CB5EDF" w:rsidRPr="00FA1F34" w:rsidRDefault="00CB5EDF" w:rsidP="00CB5EDF">
      <w:pPr>
        <w:pStyle w:val="Titrearticle"/>
        <w:rPr>
          <w:b/>
          <w:i w:val="0"/>
          <w:noProof/>
        </w:rPr>
      </w:pPr>
      <w:r w:rsidRPr="00FA1F34">
        <w:rPr>
          <w:b/>
          <w:i w:val="0"/>
          <w:noProof/>
        </w:rPr>
        <w:t>Supply-crisis emergency toolbox</w:t>
      </w:r>
    </w:p>
    <w:p w14:paraId="4A30419B" w14:textId="77777777" w:rsidR="00CB5EDF" w:rsidRPr="00744DCA" w:rsidRDefault="00CB5EDF" w:rsidP="00B2056B">
      <w:pPr>
        <w:pStyle w:val="ManualNumPar1"/>
        <w:rPr>
          <w:noProof/>
        </w:rPr>
      </w:pPr>
      <w:r>
        <w:rPr>
          <w:noProof/>
        </w:rPr>
        <w:t>1.</w:t>
      </w:r>
      <w:r>
        <w:rPr>
          <w:noProof/>
        </w:rPr>
        <w:tab/>
      </w:r>
      <w:r w:rsidRPr="00744DCA">
        <w:rPr>
          <w:noProof/>
        </w:rPr>
        <w:t xml:space="preserve">Where the supply crisis state is activated pursuant to Article </w:t>
      </w:r>
      <w:r w:rsidR="008D3154" w:rsidRPr="00744DCA">
        <w:rPr>
          <w:noProof/>
        </w:rPr>
        <w:t>4</w:t>
      </w:r>
      <w:r w:rsidR="00054965" w:rsidRPr="00744DCA">
        <w:rPr>
          <w:noProof/>
        </w:rPr>
        <w:t>4</w:t>
      </w:r>
      <w:r w:rsidR="008D3154" w:rsidRPr="00744DCA">
        <w:rPr>
          <w:noProof/>
        </w:rPr>
        <w:t xml:space="preserve"> </w:t>
      </w:r>
      <w:r w:rsidRPr="00744DCA">
        <w:rPr>
          <w:noProof/>
        </w:rPr>
        <w:t>and where necessary in order to address the supply crisis in the Union, the Commission may take the measure</w:t>
      </w:r>
      <w:r w:rsidR="00C962BC" w:rsidRPr="00744DCA">
        <w:rPr>
          <w:noProof/>
        </w:rPr>
        <w:t>s</w:t>
      </w:r>
      <w:r w:rsidRPr="00744DCA">
        <w:rPr>
          <w:noProof/>
        </w:rPr>
        <w:t xml:space="preserve"> provided for in Article </w:t>
      </w:r>
      <w:r w:rsidR="00C31BDE" w:rsidRPr="00744DCA">
        <w:rPr>
          <w:noProof/>
        </w:rPr>
        <w:t xml:space="preserve">45 </w:t>
      </w:r>
      <w:r w:rsidRPr="00744DCA">
        <w:rPr>
          <w:noProof/>
        </w:rPr>
        <w:t xml:space="preserve">and </w:t>
      </w:r>
      <w:r w:rsidR="00C31BDE" w:rsidRPr="00744DCA">
        <w:rPr>
          <w:noProof/>
        </w:rPr>
        <w:t>46</w:t>
      </w:r>
      <w:r w:rsidRPr="00744DCA">
        <w:rPr>
          <w:noProof/>
        </w:rPr>
        <w:t xml:space="preserve">, under the conditions laid down therein. </w:t>
      </w:r>
    </w:p>
    <w:p w14:paraId="3851C5D4" w14:textId="77777777" w:rsidR="00CB5EDF" w:rsidRPr="00744DCA" w:rsidRDefault="00CB5EDF">
      <w:pPr>
        <w:pStyle w:val="ManualNumPar1"/>
        <w:rPr>
          <w:noProof/>
        </w:rPr>
      </w:pPr>
      <w:r>
        <w:rPr>
          <w:noProof/>
        </w:rPr>
        <w:t>2.</w:t>
      </w:r>
      <w:r>
        <w:rPr>
          <w:noProof/>
        </w:rPr>
        <w:tab/>
      </w:r>
      <w:r w:rsidRPr="00744DCA">
        <w:rPr>
          <w:noProof/>
        </w:rPr>
        <w:t xml:space="preserve">The Commission shall, after consulting the Defence Industrial Readiness Board, restrict the application of the measures provided for in Articles </w:t>
      </w:r>
      <w:r w:rsidR="008D3154" w:rsidRPr="00744DCA">
        <w:rPr>
          <w:noProof/>
        </w:rPr>
        <w:t>4</w:t>
      </w:r>
      <w:r w:rsidR="00054965" w:rsidRPr="00744DCA">
        <w:rPr>
          <w:noProof/>
        </w:rPr>
        <w:t>6</w:t>
      </w:r>
      <w:r w:rsidR="008D3154" w:rsidRPr="00744DCA">
        <w:rPr>
          <w:noProof/>
        </w:rPr>
        <w:t xml:space="preserve"> </w:t>
      </w:r>
      <w:r w:rsidRPr="00744DCA">
        <w:rPr>
          <w:noProof/>
        </w:rPr>
        <w:t xml:space="preserve">and </w:t>
      </w:r>
      <w:r w:rsidR="008D3154" w:rsidRPr="00744DCA">
        <w:rPr>
          <w:noProof/>
        </w:rPr>
        <w:t>4</w:t>
      </w:r>
      <w:r w:rsidR="00054965" w:rsidRPr="00744DCA">
        <w:rPr>
          <w:noProof/>
        </w:rPr>
        <w:t>7</w:t>
      </w:r>
      <w:r w:rsidR="008D3154" w:rsidRPr="00744DCA">
        <w:rPr>
          <w:noProof/>
        </w:rPr>
        <w:t xml:space="preserve"> </w:t>
      </w:r>
      <w:r w:rsidRPr="00744DCA">
        <w:rPr>
          <w:noProof/>
        </w:rPr>
        <w:t>to the crisis-relevant products disturbed or under threat of disturbance on account of the supply crisis. The use of the measures referred to in paragraph 1 of this Article shall be proportionate and restricted to what is necessary for addressing serious disruptions affecting the supply chains of the crisis-relevant products in the Union and must be in the best interest of the Union. The use of those measures shall avoid placing disproportionate administrative burden in particular on SMEs.</w:t>
      </w:r>
    </w:p>
    <w:p w14:paraId="341F2CC9" w14:textId="77777777" w:rsidR="00CB5EDF" w:rsidRPr="00744DCA" w:rsidRDefault="00CB5EDF">
      <w:pPr>
        <w:pStyle w:val="ManualNumPar1"/>
        <w:rPr>
          <w:noProof/>
        </w:rPr>
      </w:pPr>
      <w:r>
        <w:rPr>
          <w:noProof/>
        </w:rPr>
        <w:t>3.</w:t>
      </w:r>
      <w:r>
        <w:rPr>
          <w:noProof/>
        </w:rPr>
        <w:tab/>
      </w:r>
      <w:r w:rsidRPr="00744DCA">
        <w:rPr>
          <w:noProof/>
        </w:rPr>
        <w:t xml:space="preserve">Where the supply crisis state is activated pursuant to Article </w:t>
      </w:r>
      <w:r w:rsidR="008D3154" w:rsidRPr="00744DCA">
        <w:rPr>
          <w:noProof/>
        </w:rPr>
        <w:t>4</w:t>
      </w:r>
      <w:r w:rsidR="00054965" w:rsidRPr="00744DCA">
        <w:rPr>
          <w:noProof/>
        </w:rPr>
        <w:t>4</w:t>
      </w:r>
      <w:r w:rsidR="008D3154" w:rsidRPr="00744DCA">
        <w:rPr>
          <w:noProof/>
        </w:rPr>
        <w:t xml:space="preserve"> </w:t>
      </w:r>
      <w:r w:rsidRPr="00744DCA">
        <w:rPr>
          <w:noProof/>
        </w:rPr>
        <w:t>and where appropriate in order to address the supply crisis in the Union, the Defence Industrial Readiness Board may assess and advise on appropriate and effective emergency measures.</w:t>
      </w:r>
    </w:p>
    <w:p w14:paraId="2B05DB89" w14:textId="77777777" w:rsidR="00CB5EDF" w:rsidRPr="00744DCA" w:rsidRDefault="00CB5EDF">
      <w:pPr>
        <w:pStyle w:val="ManualNumPar1"/>
        <w:rPr>
          <w:noProof/>
        </w:rPr>
      </w:pPr>
      <w:r>
        <w:rPr>
          <w:noProof/>
        </w:rPr>
        <w:t>4.</w:t>
      </w:r>
      <w:r>
        <w:rPr>
          <w:noProof/>
        </w:rPr>
        <w:tab/>
      </w:r>
      <w:r w:rsidRPr="00744DCA">
        <w:rPr>
          <w:noProof/>
        </w:rPr>
        <w:t xml:space="preserve">The Commission shall regularly inform the European Parliament and the Council of any measures taken in accordance with paragraph 1 and explain the reasons for its </w:t>
      </w:r>
      <w:r w:rsidR="00D36773" w:rsidRPr="00744DCA">
        <w:rPr>
          <w:noProof/>
        </w:rPr>
        <w:t>action</w:t>
      </w:r>
      <w:r w:rsidRPr="00744DCA">
        <w:rPr>
          <w:noProof/>
        </w:rPr>
        <w:t>.</w:t>
      </w:r>
    </w:p>
    <w:p w14:paraId="1AC3D94F" w14:textId="77777777" w:rsidR="00CB5EDF" w:rsidRPr="00744DCA" w:rsidRDefault="00CB5EDF">
      <w:pPr>
        <w:pStyle w:val="ManualNumPar1"/>
        <w:rPr>
          <w:noProof/>
        </w:rPr>
      </w:pPr>
      <w:r>
        <w:rPr>
          <w:noProof/>
        </w:rPr>
        <w:t>5.</w:t>
      </w:r>
      <w:r>
        <w:rPr>
          <w:noProof/>
        </w:rPr>
        <w:tab/>
      </w:r>
      <w:r w:rsidRPr="00744DCA">
        <w:rPr>
          <w:noProof/>
        </w:rPr>
        <w:t>The Commission may, after consulting the Defence Industrial Readiness Board, issue guidance on the implementation and the use of the emergency measures.</w:t>
      </w:r>
    </w:p>
    <w:p w14:paraId="66746A90" w14:textId="77777777" w:rsidR="00CB5EDF" w:rsidRPr="00744DCA" w:rsidRDefault="00CB5EDF" w:rsidP="00CB5EDF">
      <w:pPr>
        <w:pStyle w:val="Titrearticle"/>
        <w:rPr>
          <w:noProof/>
        </w:rPr>
      </w:pPr>
      <w:r w:rsidRPr="00744DCA">
        <w:rPr>
          <w:noProof/>
        </w:rPr>
        <w:t xml:space="preserve">Article </w:t>
      </w:r>
      <w:r w:rsidR="00C0301B" w:rsidRPr="00744DCA">
        <w:rPr>
          <w:noProof/>
        </w:rPr>
        <w:t>4</w:t>
      </w:r>
      <w:r w:rsidR="00D048CC" w:rsidRPr="00744DCA">
        <w:rPr>
          <w:noProof/>
        </w:rPr>
        <w:t>6</w:t>
      </w:r>
    </w:p>
    <w:p w14:paraId="1B28FF5D" w14:textId="77777777" w:rsidR="00CB5EDF" w:rsidRPr="00744DCA" w:rsidRDefault="00CB5EDF" w:rsidP="00CB5EDF">
      <w:pPr>
        <w:pStyle w:val="Titrearticle"/>
        <w:rPr>
          <w:b/>
          <w:i w:val="0"/>
          <w:noProof/>
        </w:rPr>
      </w:pPr>
      <w:r w:rsidRPr="00744DCA">
        <w:rPr>
          <w:b/>
          <w:i w:val="0"/>
          <w:noProof/>
        </w:rPr>
        <w:t>Information gathering</w:t>
      </w:r>
    </w:p>
    <w:p w14:paraId="0ED95F97" w14:textId="77777777" w:rsidR="00CB5EDF" w:rsidRPr="00744DCA" w:rsidRDefault="00CB5EDF" w:rsidP="00B2056B">
      <w:pPr>
        <w:pStyle w:val="ManualNumPar1"/>
        <w:rPr>
          <w:noProof/>
        </w:rPr>
      </w:pPr>
      <w:r>
        <w:rPr>
          <w:noProof/>
        </w:rPr>
        <w:t>1.</w:t>
      </w:r>
      <w:r>
        <w:rPr>
          <w:noProof/>
        </w:rPr>
        <w:tab/>
      </w:r>
      <w:r w:rsidRPr="00744DCA">
        <w:rPr>
          <w:noProof/>
        </w:rPr>
        <w:t xml:space="preserve">Where the supply crisis state is activated pursuant to Article </w:t>
      </w:r>
      <w:r w:rsidR="008D3154" w:rsidRPr="00744DCA">
        <w:rPr>
          <w:noProof/>
        </w:rPr>
        <w:t>4</w:t>
      </w:r>
      <w:r w:rsidR="00054965" w:rsidRPr="00744DCA">
        <w:rPr>
          <w:noProof/>
        </w:rPr>
        <w:t>4</w:t>
      </w:r>
      <w:r w:rsidRPr="00744DCA">
        <w:rPr>
          <w:noProof/>
        </w:rPr>
        <w:t>, the Commission may request the relevant undertakings contributing to the production of crisis-relevant products, which are not defence products, with the prior agreement of the Member State in which it is established, to provide information about their production capabilities, production capacities and current primary disruptions within a set time limit. The requested information shall be limited to what is necessary to assess the nature of the supply crisis or to identify and assess potential mitigation or emergency measures at Union or national level. The information requests shall not entail the supply of information the disclosure of which would be contrary to the Member States’ essential security interests.</w:t>
      </w:r>
    </w:p>
    <w:p w14:paraId="4434DE4D" w14:textId="77777777" w:rsidR="00CB5EDF" w:rsidRPr="00744DCA" w:rsidRDefault="00CB5EDF">
      <w:pPr>
        <w:pStyle w:val="ManualNumPar1"/>
        <w:rPr>
          <w:noProof/>
        </w:rPr>
      </w:pPr>
      <w:r>
        <w:rPr>
          <w:noProof/>
        </w:rPr>
        <w:t>2.</w:t>
      </w:r>
      <w:r>
        <w:rPr>
          <w:noProof/>
        </w:rPr>
        <w:tab/>
      </w:r>
      <w:r w:rsidRPr="00744DCA">
        <w:rPr>
          <w:noProof/>
        </w:rPr>
        <w:t xml:space="preserve">Before launching a request for information, the Commission may carry out a voluntary consultation of a representative number of relevant undertakings with a view to identifying the appropriate and proportionate content of such a request. The Commission shall </w:t>
      </w:r>
      <w:r w:rsidR="00881CBE" w:rsidRPr="00744DCA">
        <w:rPr>
          <w:noProof/>
        </w:rPr>
        <w:t xml:space="preserve">prepare </w:t>
      </w:r>
      <w:r w:rsidRPr="00744DCA">
        <w:rPr>
          <w:noProof/>
        </w:rPr>
        <w:t>the request for information in cooperation with the Defence Industrial Readiness Board.</w:t>
      </w:r>
    </w:p>
    <w:p w14:paraId="3B40FD86" w14:textId="77777777" w:rsidR="00CB5EDF" w:rsidRPr="00744DCA" w:rsidRDefault="00CB5EDF">
      <w:pPr>
        <w:pStyle w:val="ManualNumPar1"/>
        <w:rPr>
          <w:noProof/>
        </w:rPr>
      </w:pPr>
      <w:r>
        <w:rPr>
          <w:noProof/>
        </w:rPr>
        <w:t>3.</w:t>
      </w:r>
      <w:r>
        <w:rPr>
          <w:noProof/>
        </w:rPr>
        <w:tab/>
      </w:r>
      <w:r w:rsidRPr="00744DCA">
        <w:rPr>
          <w:noProof/>
        </w:rPr>
        <w:t xml:space="preserve">The Commission shall use secure means </w:t>
      </w:r>
      <w:r w:rsidR="00E6037B" w:rsidRPr="00744DCA">
        <w:rPr>
          <w:noProof/>
        </w:rPr>
        <w:t xml:space="preserve">to launch the request for information </w:t>
      </w:r>
      <w:r w:rsidRPr="00744DCA">
        <w:rPr>
          <w:noProof/>
        </w:rPr>
        <w:t xml:space="preserve">and handle any acquired information in accordance with Article </w:t>
      </w:r>
      <w:r w:rsidR="00D232E0" w:rsidRPr="00744DCA">
        <w:rPr>
          <w:noProof/>
        </w:rPr>
        <w:t>6</w:t>
      </w:r>
      <w:r w:rsidR="00054965" w:rsidRPr="00744DCA">
        <w:rPr>
          <w:noProof/>
        </w:rPr>
        <w:t>1</w:t>
      </w:r>
      <w:r w:rsidRPr="00744DCA">
        <w:rPr>
          <w:noProof/>
        </w:rPr>
        <w:t xml:space="preserve">. For this purpose, national competent authorities shall transmit to the Commission the list of contacts established under Article </w:t>
      </w:r>
      <w:r w:rsidR="00FC09CD" w:rsidRPr="00744DCA">
        <w:rPr>
          <w:noProof/>
        </w:rPr>
        <w:t>4</w:t>
      </w:r>
      <w:r w:rsidR="00054965" w:rsidRPr="00744DCA">
        <w:rPr>
          <w:noProof/>
        </w:rPr>
        <w:t>1</w:t>
      </w:r>
      <w:r w:rsidRPr="00744DCA">
        <w:rPr>
          <w:noProof/>
        </w:rPr>
        <w:t>(5).</w:t>
      </w:r>
    </w:p>
    <w:p w14:paraId="474AD772" w14:textId="77777777" w:rsidR="00CB5EDF" w:rsidRPr="00744DCA" w:rsidRDefault="00CB5EDF">
      <w:pPr>
        <w:pStyle w:val="ManualNumPar1"/>
        <w:rPr>
          <w:noProof/>
        </w:rPr>
      </w:pPr>
      <w:r>
        <w:rPr>
          <w:noProof/>
        </w:rPr>
        <w:t>4.</w:t>
      </w:r>
      <w:r>
        <w:rPr>
          <w:noProof/>
        </w:rPr>
        <w:tab/>
      </w:r>
      <w:r w:rsidRPr="00744DCA">
        <w:rPr>
          <w:noProof/>
        </w:rPr>
        <w:t xml:space="preserve">The Commission shall without </w:t>
      </w:r>
      <w:r w:rsidR="00E6037B" w:rsidRPr="00744DCA">
        <w:rPr>
          <w:noProof/>
        </w:rPr>
        <w:t xml:space="preserve">undue </w:t>
      </w:r>
      <w:r w:rsidRPr="00744DCA">
        <w:rPr>
          <w:noProof/>
        </w:rPr>
        <w:t>delay forward a copy of the request for information to the national competent authority of the Member State in whose territory the production site of the addressed undertaking is situated. If the national competent authority so requires, the Commission shall transmit the information acquired from the relevant undertaking in accordance with Union law.</w:t>
      </w:r>
    </w:p>
    <w:p w14:paraId="1D37FB1F" w14:textId="77777777" w:rsidR="00CB5EDF" w:rsidRPr="00744DCA" w:rsidRDefault="00CB5EDF">
      <w:pPr>
        <w:pStyle w:val="ManualNumPar1"/>
        <w:rPr>
          <w:noProof/>
        </w:rPr>
      </w:pPr>
      <w:r>
        <w:rPr>
          <w:noProof/>
        </w:rPr>
        <w:t>5.</w:t>
      </w:r>
      <w:r>
        <w:rPr>
          <w:noProof/>
        </w:rPr>
        <w:tab/>
      </w:r>
      <w:r w:rsidRPr="00744DCA">
        <w:rPr>
          <w:noProof/>
        </w:rPr>
        <w:t xml:space="preserve">The request for information shall state its legal basis, be limited to the minimum necessary and be proportionate in terms of the granularity and volume of the data and frequency of access to the data requested, have regard for the legitimate aims of the undertaking and the cost and effort required to make the data available, and set out the time limit within which the information is to be provided. It shall also state the penalties provided for in Article </w:t>
      </w:r>
      <w:r w:rsidR="003A7392" w:rsidRPr="00744DCA">
        <w:rPr>
          <w:noProof/>
        </w:rPr>
        <w:t>5</w:t>
      </w:r>
      <w:r w:rsidR="00054965" w:rsidRPr="00744DCA">
        <w:rPr>
          <w:noProof/>
        </w:rPr>
        <w:t>5</w:t>
      </w:r>
      <w:r w:rsidRPr="00744DCA">
        <w:rPr>
          <w:noProof/>
        </w:rPr>
        <w:t>.</w:t>
      </w:r>
    </w:p>
    <w:p w14:paraId="07A98B6A" w14:textId="77777777" w:rsidR="00CB5EDF" w:rsidRPr="00744DCA" w:rsidRDefault="00CB5EDF">
      <w:pPr>
        <w:pStyle w:val="ManualNumPar1"/>
        <w:rPr>
          <w:noProof/>
        </w:rPr>
      </w:pPr>
      <w:r>
        <w:rPr>
          <w:noProof/>
        </w:rPr>
        <w:t>6.</w:t>
      </w:r>
      <w:r>
        <w:rPr>
          <w:noProof/>
        </w:rPr>
        <w:tab/>
      </w:r>
      <w:r w:rsidRPr="00744DCA">
        <w:rPr>
          <w:noProof/>
        </w:rPr>
        <w:t>The owners of the undertakings or their representatives and, in the case of legal persons or associations having no legal personality, the persons authorised to represent them by law or by their constitution shall supply the information requested on behalf of the undertaking or the association of undertakings concerned.</w:t>
      </w:r>
    </w:p>
    <w:p w14:paraId="0E560900" w14:textId="77777777" w:rsidR="00CB5EDF" w:rsidRPr="00744DCA" w:rsidRDefault="00CB5EDF" w:rsidP="00CB5EDF">
      <w:pPr>
        <w:pStyle w:val="ManualNumPar1"/>
        <w:rPr>
          <w:noProof/>
        </w:rPr>
      </w:pPr>
      <w:r>
        <w:rPr>
          <w:noProof/>
        </w:rPr>
        <w:t>7.</w:t>
      </w:r>
      <w:r>
        <w:rPr>
          <w:noProof/>
        </w:rPr>
        <w:tab/>
      </w:r>
      <w:r w:rsidRPr="00744DCA">
        <w:rPr>
          <w:noProof/>
        </w:rPr>
        <w:t>If an undertaking established in the Union is subject to a request for information from a third country, related to its activities for a Union’s critical defence supply chain, it shall inform the Commission, in due time, in such a manner as to enable the Commission to request similar information from the undertaking. The Commission shall inform the Defence Industrial Readiness Board of the existence of such request from a third country.</w:t>
      </w:r>
    </w:p>
    <w:p w14:paraId="15A3EDEA" w14:textId="77777777" w:rsidR="00CB5EDF" w:rsidRPr="00744DCA" w:rsidRDefault="00CB5EDF">
      <w:pPr>
        <w:pStyle w:val="ManualNumPar1"/>
        <w:rPr>
          <w:noProof/>
        </w:rPr>
      </w:pPr>
      <w:r>
        <w:rPr>
          <w:noProof/>
        </w:rPr>
        <w:t>8.</w:t>
      </w:r>
      <w:r>
        <w:rPr>
          <w:noProof/>
        </w:rPr>
        <w:tab/>
      </w:r>
      <w:r w:rsidRPr="00744DCA">
        <w:rPr>
          <w:noProof/>
        </w:rPr>
        <w:t xml:space="preserve">If an undertaking supplies incorrect, incomplete or misleading information in response to a request made pursuant to this Article, or does not supply the information within the prescribed time limit, it shall be subject to fines set in accordance with Article </w:t>
      </w:r>
      <w:r w:rsidR="002E612F" w:rsidRPr="00744DCA">
        <w:rPr>
          <w:noProof/>
        </w:rPr>
        <w:t>5</w:t>
      </w:r>
      <w:r w:rsidR="00054965" w:rsidRPr="00744DCA">
        <w:rPr>
          <w:noProof/>
        </w:rPr>
        <w:t>5</w:t>
      </w:r>
      <w:r w:rsidRPr="00744DCA">
        <w:rPr>
          <w:noProof/>
        </w:rPr>
        <w:t>, except where the undertaking has sufficient reasons for not supplying the requested information.</w:t>
      </w:r>
    </w:p>
    <w:p w14:paraId="4CEAE43A" w14:textId="77777777" w:rsidR="00CB5EDF" w:rsidRPr="00744DCA" w:rsidRDefault="00CB5EDF" w:rsidP="00CB5EDF">
      <w:pPr>
        <w:pStyle w:val="Titrearticle"/>
        <w:rPr>
          <w:noProof/>
        </w:rPr>
      </w:pPr>
      <w:r w:rsidRPr="00744DCA">
        <w:rPr>
          <w:noProof/>
        </w:rPr>
        <w:t xml:space="preserve">Article </w:t>
      </w:r>
      <w:r w:rsidR="00C0301B" w:rsidRPr="00744DCA">
        <w:rPr>
          <w:noProof/>
        </w:rPr>
        <w:t>4</w:t>
      </w:r>
      <w:r w:rsidR="00D048CC" w:rsidRPr="00744DCA">
        <w:rPr>
          <w:noProof/>
        </w:rPr>
        <w:t>7</w:t>
      </w:r>
    </w:p>
    <w:p w14:paraId="6A426414" w14:textId="77777777" w:rsidR="00CB5EDF" w:rsidRPr="00744DCA" w:rsidRDefault="00CB5EDF" w:rsidP="00CB5EDF">
      <w:pPr>
        <w:pStyle w:val="Titrearticle"/>
        <w:rPr>
          <w:b/>
          <w:i w:val="0"/>
          <w:noProof/>
        </w:rPr>
      </w:pPr>
      <w:r w:rsidRPr="00744DCA">
        <w:rPr>
          <w:b/>
          <w:i w:val="0"/>
          <w:noProof/>
        </w:rPr>
        <w:t>Priority-rated orders</w:t>
      </w:r>
    </w:p>
    <w:p w14:paraId="10063965" w14:textId="77777777" w:rsidR="00CB5EDF" w:rsidRPr="00744DCA" w:rsidRDefault="00CB5EDF" w:rsidP="00B2056B">
      <w:pPr>
        <w:pStyle w:val="ManualNumPar1"/>
        <w:rPr>
          <w:noProof/>
        </w:rPr>
      </w:pPr>
      <w:r>
        <w:rPr>
          <w:noProof/>
        </w:rPr>
        <w:t>1.</w:t>
      </w:r>
      <w:r>
        <w:rPr>
          <w:noProof/>
        </w:rPr>
        <w:tab/>
      </w:r>
      <w:r w:rsidRPr="00744DCA">
        <w:rPr>
          <w:noProof/>
        </w:rPr>
        <w:t xml:space="preserve">Where the crisis state is activated pursuant to Article </w:t>
      </w:r>
      <w:r w:rsidR="00027579" w:rsidRPr="00744DCA">
        <w:rPr>
          <w:noProof/>
        </w:rPr>
        <w:t>4</w:t>
      </w:r>
      <w:r w:rsidR="00054965" w:rsidRPr="00744DCA">
        <w:rPr>
          <w:noProof/>
        </w:rPr>
        <w:t>4</w:t>
      </w:r>
      <w:r w:rsidRPr="00744DCA">
        <w:rPr>
          <w:noProof/>
        </w:rPr>
        <w:t xml:space="preserve">, a Member State which faces or may face severe difficulties either in the placing of an order or in the execution of a contract for the supply of key defence products due to shortages or serious risks of shortages along a Union’s critical defence supply chain, may </w:t>
      </w:r>
      <w:r w:rsidRPr="00744DCA">
        <w:rPr>
          <w:noProof/>
          <w:lang w:val="en-IE"/>
        </w:rPr>
        <w:t>request</w:t>
      </w:r>
      <w:r w:rsidRPr="00744DCA">
        <w:rPr>
          <w:noProof/>
        </w:rPr>
        <w:t xml:space="preserve"> the Commission to require an undertaking to accept, or to prioritise an order of crisis-relevant products, which are not defence products (‘priority rated </w:t>
      </w:r>
      <w:r w:rsidRPr="00744DCA">
        <w:rPr>
          <w:noProof/>
          <w:lang w:val="en-IE"/>
        </w:rPr>
        <w:t>order</w:t>
      </w:r>
      <w:r w:rsidRPr="00744DCA">
        <w:rPr>
          <w:noProof/>
        </w:rPr>
        <w:t>’).</w:t>
      </w:r>
    </w:p>
    <w:p w14:paraId="59D4A145" w14:textId="77777777" w:rsidR="00CB5EDF" w:rsidRPr="00744DCA" w:rsidRDefault="00CB5EDF">
      <w:pPr>
        <w:pStyle w:val="ManualNumPar1"/>
        <w:rPr>
          <w:noProof/>
        </w:rPr>
      </w:pPr>
      <w:r>
        <w:rPr>
          <w:noProof/>
        </w:rPr>
        <w:t>2.</w:t>
      </w:r>
      <w:r>
        <w:rPr>
          <w:noProof/>
        </w:rPr>
        <w:tab/>
      </w:r>
      <w:r w:rsidRPr="00744DCA">
        <w:rPr>
          <w:noProof/>
        </w:rPr>
        <w:t xml:space="preserve">Upon </w:t>
      </w:r>
      <w:r w:rsidR="00E6037B" w:rsidRPr="00744DCA">
        <w:rPr>
          <w:noProof/>
        </w:rPr>
        <w:t xml:space="preserve">a </w:t>
      </w:r>
      <w:r w:rsidRPr="00744DCA">
        <w:rPr>
          <w:noProof/>
        </w:rPr>
        <w:t>request</w:t>
      </w:r>
      <w:r w:rsidR="00E6037B" w:rsidRPr="00744DCA">
        <w:rPr>
          <w:noProof/>
        </w:rPr>
        <w:t xml:space="preserve"> referred to in paragraph 1</w:t>
      </w:r>
      <w:r w:rsidRPr="00744DCA">
        <w:rPr>
          <w:noProof/>
        </w:rPr>
        <w:t xml:space="preserve">, the Commission may, after </w:t>
      </w:r>
      <w:r w:rsidR="00054965" w:rsidRPr="00744DCA">
        <w:rPr>
          <w:noProof/>
        </w:rPr>
        <w:t>consulting</w:t>
      </w:r>
      <w:r w:rsidRPr="00744DCA">
        <w:rPr>
          <w:noProof/>
        </w:rPr>
        <w:t xml:space="preserve"> the Member State of establishment of the undertaking concerned and with its agreement, notify the </w:t>
      </w:r>
      <w:r w:rsidR="00E6037B" w:rsidRPr="00744DCA">
        <w:rPr>
          <w:noProof/>
        </w:rPr>
        <w:t xml:space="preserve">undertaking concerned </w:t>
      </w:r>
      <w:r w:rsidRPr="00744DCA">
        <w:rPr>
          <w:noProof/>
        </w:rPr>
        <w:t xml:space="preserve">of its intent to impose a priority rated </w:t>
      </w:r>
      <w:r w:rsidRPr="00744DCA">
        <w:rPr>
          <w:noProof/>
          <w:lang w:val="en-IE"/>
        </w:rPr>
        <w:t>order</w:t>
      </w:r>
      <w:r w:rsidRPr="00744DCA">
        <w:rPr>
          <w:noProof/>
        </w:rPr>
        <w:t>.</w:t>
      </w:r>
    </w:p>
    <w:p w14:paraId="4D3BBC24" w14:textId="77777777" w:rsidR="00CB5EDF" w:rsidRPr="00744DCA" w:rsidRDefault="00CB5EDF" w:rsidP="003506AF">
      <w:pPr>
        <w:pStyle w:val="ManualNumPar1"/>
        <w:rPr>
          <w:noProof/>
        </w:rPr>
      </w:pPr>
      <w:r>
        <w:rPr>
          <w:noProof/>
        </w:rPr>
        <w:t>3.</w:t>
      </w:r>
      <w:r>
        <w:rPr>
          <w:noProof/>
        </w:rPr>
        <w:tab/>
      </w:r>
      <w:r w:rsidRPr="00744DCA">
        <w:rPr>
          <w:noProof/>
        </w:rPr>
        <w:t xml:space="preserve">The notification </w:t>
      </w:r>
      <w:r w:rsidR="004B29CA" w:rsidRPr="00744DCA">
        <w:rPr>
          <w:noProof/>
        </w:rPr>
        <w:t xml:space="preserve">referred to in paragraph 2 </w:t>
      </w:r>
      <w:r w:rsidRPr="00744DCA">
        <w:rPr>
          <w:noProof/>
        </w:rPr>
        <w:t xml:space="preserve">shall include information about </w:t>
      </w:r>
      <w:r w:rsidR="004B29CA" w:rsidRPr="00744DCA">
        <w:rPr>
          <w:noProof/>
        </w:rPr>
        <w:t xml:space="preserve">the </w:t>
      </w:r>
      <w:r w:rsidRPr="00744DCA">
        <w:rPr>
          <w:noProof/>
        </w:rPr>
        <w:t>legal basis</w:t>
      </w:r>
      <w:r w:rsidR="008C3183" w:rsidRPr="00744DCA">
        <w:rPr>
          <w:noProof/>
        </w:rPr>
        <w:t xml:space="preserve"> for the request</w:t>
      </w:r>
      <w:r w:rsidRPr="00744DCA">
        <w:rPr>
          <w:noProof/>
        </w:rPr>
        <w:t xml:space="preserve">, specify the product, specifications and quantities concerned </w:t>
      </w:r>
      <w:r w:rsidR="008C3183" w:rsidRPr="00744DCA">
        <w:rPr>
          <w:noProof/>
        </w:rPr>
        <w:t xml:space="preserve">as well as </w:t>
      </w:r>
      <w:r w:rsidRPr="00744DCA">
        <w:rPr>
          <w:noProof/>
        </w:rPr>
        <w:t xml:space="preserve">the schedule and time-limit within which the order would have to be performed, and state the reasons justifying the use of the priority rated </w:t>
      </w:r>
      <w:r w:rsidRPr="00744DCA">
        <w:rPr>
          <w:noProof/>
          <w:lang w:val="en-IE"/>
        </w:rPr>
        <w:t>order</w:t>
      </w:r>
      <w:r w:rsidRPr="00744DCA">
        <w:rPr>
          <w:noProof/>
        </w:rPr>
        <w:t>.</w:t>
      </w:r>
    </w:p>
    <w:p w14:paraId="07AD9663" w14:textId="77777777" w:rsidR="00CB5EDF" w:rsidRPr="00744DCA" w:rsidRDefault="00CB5EDF" w:rsidP="003506AF">
      <w:pPr>
        <w:pStyle w:val="ManualNumPar1"/>
        <w:rPr>
          <w:noProof/>
        </w:rPr>
      </w:pPr>
      <w:r>
        <w:rPr>
          <w:noProof/>
        </w:rPr>
        <w:t>4.</w:t>
      </w:r>
      <w:r>
        <w:rPr>
          <w:noProof/>
        </w:rPr>
        <w:tab/>
      </w:r>
      <w:r w:rsidRPr="00744DCA">
        <w:rPr>
          <w:noProof/>
        </w:rPr>
        <w:t xml:space="preserve">From the notification </w:t>
      </w:r>
      <w:r w:rsidR="008C3183" w:rsidRPr="00744DCA">
        <w:rPr>
          <w:noProof/>
        </w:rPr>
        <w:t>referred to in paragraph 2</w:t>
      </w:r>
      <w:r w:rsidRPr="00744DCA">
        <w:rPr>
          <w:noProof/>
        </w:rPr>
        <w:t xml:space="preserve">, the undertaking shall reply to the Commission, within five working days and state whether it can accept or not the </w:t>
      </w:r>
      <w:r w:rsidRPr="00744DCA">
        <w:rPr>
          <w:noProof/>
          <w:lang w:val="en-IE"/>
        </w:rPr>
        <w:t>order</w:t>
      </w:r>
      <w:r w:rsidRPr="00744DCA">
        <w:rPr>
          <w:noProof/>
        </w:rPr>
        <w:t>. Where the urgency of the situation requires it, the Commission may, based on a justification of such urgency, reduce the deadline for the undertaking to reply.</w:t>
      </w:r>
    </w:p>
    <w:p w14:paraId="296EF742" w14:textId="77777777" w:rsidR="00CB5EDF" w:rsidRPr="00744DCA" w:rsidRDefault="00CB5EDF" w:rsidP="003506AF">
      <w:pPr>
        <w:pStyle w:val="ManualNumPar1"/>
        <w:rPr>
          <w:noProof/>
        </w:rPr>
      </w:pPr>
      <w:r>
        <w:rPr>
          <w:noProof/>
        </w:rPr>
        <w:t>5.</w:t>
      </w:r>
      <w:r>
        <w:rPr>
          <w:noProof/>
        </w:rPr>
        <w:tab/>
      </w:r>
      <w:r w:rsidRPr="00744DCA">
        <w:rPr>
          <w:noProof/>
        </w:rPr>
        <w:t xml:space="preserve">Where the undertaking declines the </w:t>
      </w:r>
      <w:r w:rsidR="00340974" w:rsidRPr="00744DCA">
        <w:rPr>
          <w:noProof/>
        </w:rPr>
        <w:t xml:space="preserve">priority rated </w:t>
      </w:r>
      <w:r w:rsidRPr="00744DCA">
        <w:rPr>
          <w:noProof/>
          <w:lang w:val="en-IE"/>
        </w:rPr>
        <w:t>order</w:t>
      </w:r>
      <w:r w:rsidRPr="00744DCA">
        <w:rPr>
          <w:noProof/>
        </w:rPr>
        <w:t xml:space="preserve">, it shall provide the Commission with a detailed justification </w:t>
      </w:r>
      <w:r w:rsidR="008C3183" w:rsidRPr="00744DCA">
        <w:rPr>
          <w:noProof/>
        </w:rPr>
        <w:t>hereor</w:t>
      </w:r>
      <w:r w:rsidRPr="00744DCA">
        <w:rPr>
          <w:noProof/>
        </w:rPr>
        <w:t>.</w:t>
      </w:r>
    </w:p>
    <w:p w14:paraId="211067A9" w14:textId="77777777" w:rsidR="00CB5EDF" w:rsidRPr="00744DCA" w:rsidRDefault="00CB5EDF" w:rsidP="003506AF">
      <w:pPr>
        <w:pStyle w:val="ManualNumPar1"/>
        <w:rPr>
          <w:noProof/>
        </w:rPr>
      </w:pPr>
      <w:r>
        <w:rPr>
          <w:noProof/>
        </w:rPr>
        <w:t>6.</w:t>
      </w:r>
      <w:r>
        <w:rPr>
          <w:noProof/>
        </w:rPr>
        <w:tab/>
      </w:r>
      <w:r w:rsidRPr="00744DCA">
        <w:rPr>
          <w:noProof/>
        </w:rPr>
        <w:t xml:space="preserve">Where the undertaking accepts the </w:t>
      </w:r>
      <w:r w:rsidR="00340974" w:rsidRPr="00744DCA">
        <w:rPr>
          <w:noProof/>
        </w:rPr>
        <w:t xml:space="preserve">priority rated </w:t>
      </w:r>
      <w:r w:rsidRPr="00744DCA">
        <w:rPr>
          <w:noProof/>
          <w:lang w:val="en-IE"/>
        </w:rPr>
        <w:t>order</w:t>
      </w:r>
      <w:r w:rsidRPr="00744DCA">
        <w:rPr>
          <w:noProof/>
        </w:rPr>
        <w:t xml:space="preserve">, the order shall be deemed accepted under the conditions described in the Commission’s </w:t>
      </w:r>
      <w:r w:rsidRPr="00744DCA">
        <w:rPr>
          <w:noProof/>
          <w:lang w:val="en-IE"/>
        </w:rPr>
        <w:t xml:space="preserve">order </w:t>
      </w:r>
      <w:r w:rsidRPr="00744DCA">
        <w:rPr>
          <w:noProof/>
        </w:rPr>
        <w:t>in accordance with the meaning of paragraph 1 and the undertaking shall be legally bound.</w:t>
      </w:r>
    </w:p>
    <w:p w14:paraId="0D657937" w14:textId="77777777" w:rsidR="00CB5EDF" w:rsidRPr="00744DCA" w:rsidRDefault="00CB5EDF">
      <w:pPr>
        <w:pStyle w:val="ManualNumPar1"/>
        <w:rPr>
          <w:noProof/>
        </w:rPr>
      </w:pPr>
      <w:r>
        <w:rPr>
          <w:noProof/>
        </w:rPr>
        <w:t>7.</w:t>
      </w:r>
      <w:r>
        <w:rPr>
          <w:noProof/>
        </w:rPr>
        <w:tab/>
      </w:r>
      <w:r w:rsidRPr="00744DCA">
        <w:rPr>
          <w:noProof/>
        </w:rPr>
        <w:t xml:space="preserve">Where the notified undertaking declines the </w:t>
      </w:r>
      <w:r w:rsidR="00340974" w:rsidRPr="00744DCA">
        <w:rPr>
          <w:noProof/>
        </w:rPr>
        <w:t xml:space="preserve">priority rated </w:t>
      </w:r>
      <w:r w:rsidRPr="00744DCA">
        <w:rPr>
          <w:noProof/>
          <w:lang w:val="en-IE"/>
        </w:rPr>
        <w:t>order</w:t>
      </w:r>
      <w:r w:rsidRPr="00744DCA">
        <w:rPr>
          <w:noProof/>
        </w:rPr>
        <w:t>, the order shall be deemed refused. Having due regard to the justifications invoked by the undertaking, the Commission may:</w:t>
      </w:r>
    </w:p>
    <w:p w14:paraId="08E7FD03" w14:textId="77777777" w:rsidR="00CB5EDF" w:rsidRPr="00744DCA" w:rsidRDefault="00CB5EDF" w:rsidP="00B2056B">
      <w:pPr>
        <w:pStyle w:val="Point1"/>
        <w:rPr>
          <w:noProof/>
        </w:rPr>
      </w:pPr>
      <w:r>
        <w:rPr>
          <w:noProof/>
        </w:rPr>
        <w:t>(a)</w:t>
      </w:r>
      <w:r>
        <w:rPr>
          <w:noProof/>
        </w:rPr>
        <w:tab/>
      </w:r>
      <w:r w:rsidRPr="00744DCA">
        <w:rPr>
          <w:noProof/>
        </w:rPr>
        <w:t xml:space="preserve">abstain from pursuing the </w:t>
      </w:r>
      <w:r w:rsidRPr="00744DCA">
        <w:rPr>
          <w:noProof/>
          <w:lang w:val="en-IE"/>
        </w:rPr>
        <w:t>order</w:t>
      </w:r>
      <w:r w:rsidRPr="00744DCA">
        <w:rPr>
          <w:noProof/>
        </w:rPr>
        <w:t>;</w:t>
      </w:r>
    </w:p>
    <w:p w14:paraId="46E22140" w14:textId="77777777" w:rsidR="00CB5EDF" w:rsidRPr="00744DCA" w:rsidRDefault="00340974" w:rsidP="00B2056B">
      <w:pPr>
        <w:pStyle w:val="Point1"/>
        <w:rPr>
          <w:noProof/>
        </w:rPr>
      </w:pPr>
      <w:r>
        <w:rPr>
          <w:noProof/>
        </w:rPr>
        <w:t>(b)</w:t>
      </w:r>
      <w:r>
        <w:rPr>
          <w:noProof/>
        </w:rPr>
        <w:tab/>
      </w:r>
      <w:r w:rsidRPr="00744DCA">
        <w:rPr>
          <w:noProof/>
        </w:rPr>
        <w:t xml:space="preserve">oblige, by way of implementing acts, </w:t>
      </w:r>
      <w:r w:rsidR="00CB5EDF" w:rsidRPr="00744DCA">
        <w:rPr>
          <w:noProof/>
        </w:rPr>
        <w:t xml:space="preserve">the concerned undertakings to accept or perform the priority rated </w:t>
      </w:r>
      <w:r w:rsidR="00CB5EDF" w:rsidRPr="00744DCA">
        <w:rPr>
          <w:noProof/>
          <w:lang w:val="en-IE"/>
        </w:rPr>
        <w:t>order</w:t>
      </w:r>
      <w:r w:rsidR="00CB5EDF" w:rsidRPr="00744DCA">
        <w:rPr>
          <w:noProof/>
        </w:rPr>
        <w:t xml:space="preserve"> at a fair and reasonable price.</w:t>
      </w:r>
    </w:p>
    <w:p w14:paraId="6C2260D3" w14:textId="77777777" w:rsidR="00CB5EDF" w:rsidRPr="00744DCA" w:rsidRDefault="00CB5EDF">
      <w:pPr>
        <w:pStyle w:val="ManualNumPar1"/>
        <w:rPr>
          <w:noProof/>
        </w:rPr>
      </w:pPr>
      <w:r>
        <w:rPr>
          <w:noProof/>
        </w:rPr>
        <w:t>8.</w:t>
      </w:r>
      <w:r>
        <w:rPr>
          <w:noProof/>
        </w:rPr>
        <w:tab/>
      </w:r>
      <w:r w:rsidRPr="00744DCA">
        <w:rPr>
          <w:noProof/>
        </w:rPr>
        <w:t xml:space="preserve">The Commission shall take into account the objections raised by the undertaking under paragraph </w:t>
      </w:r>
      <w:r w:rsidR="007A187B" w:rsidRPr="00744DCA">
        <w:rPr>
          <w:noProof/>
        </w:rPr>
        <w:t xml:space="preserve">7 </w:t>
      </w:r>
      <w:r w:rsidRPr="00744DCA">
        <w:rPr>
          <w:noProof/>
        </w:rPr>
        <w:t xml:space="preserve">and state the reasons why, in line with the proportionality principle and the fundamental rights of the undertaking under the Charter of Fundamental rights of the Union, it was necessary to adopt </w:t>
      </w:r>
      <w:r w:rsidR="00F33A4D" w:rsidRPr="00744DCA">
        <w:rPr>
          <w:noProof/>
        </w:rPr>
        <w:t xml:space="preserve">the implementing act referred to in </w:t>
      </w:r>
      <w:r w:rsidR="00AB4AF4" w:rsidRPr="00744DCA">
        <w:rPr>
          <w:noProof/>
        </w:rPr>
        <w:t>paragraph 7</w:t>
      </w:r>
      <w:r w:rsidR="00D60E78" w:rsidRPr="00744DCA">
        <w:rPr>
          <w:noProof/>
        </w:rPr>
        <w:t>, point (b),</w:t>
      </w:r>
      <w:r w:rsidR="00F33A4D" w:rsidRPr="00744DCA">
        <w:rPr>
          <w:noProof/>
        </w:rPr>
        <w:t xml:space="preserve"> </w:t>
      </w:r>
      <w:r w:rsidRPr="00744DCA">
        <w:rPr>
          <w:noProof/>
        </w:rPr>
        <w:t>in light of the circumstances described in paragraph 1.</w:t>
      </w:r>
    </w:p>
    <w:p w14:paraId="7DE970EA" w14:textId="77777777" w:rsidR="00CB5EDF" w:rsidRPr="00744DCA" w:rsidRDefault="00CB5EDF" w:rsidP="003506AF">
      <w:pPr>
        <w:pStyle w:val="ManualNumPar1"/>
        <w:rPr>
          <w:noProof/>
        </w:rPr>
      </w:pPr>
      <w:r>
        <w:rPr>
          <w:noProof/>
        </w:rPr>
        <w:t>9.</w:t>
      </w:r>
      <w:r>
        <w:rPr>
          <w:noProof/>
        </w:rPr>
        <w:tab/>
      </w:r>
      <w:r w:rsidRPr="00744DCA">
        <w:rPr>
          <w:noProof/>
        </w:rPr>
        <w:t xml:space="preserve">The Commission shall state in the </w:t>
      </w:r>
      <w:r w:rsidR="00D60E78" w:rsidRPr="00744DCA">
        <w:rPr>
          <w:noProof/>
        </w:rPr>
        <w:t>i</w:t>
      </w:r>
      <w:r w:rsidRPr="00744DCA">
        <w:rPr>
          <w:noProof/>
        </w:rPr>
        <w:t xml:space="preserve">mplementing </w:t>
      </w:r>
      <w:r w:rsidR="00D60E78" w:rsidRPr="00744DCA">
        <w:rPr>
          <w:noProof/>
        </w:rPr>
        <w:t>a</w:t>
      </w:r>
      <w:r w:rsidRPr="00744DCA">
        <w:rPr>
          <w:noProof/>
        </w:rPr>
        <w:t xml:space="preserve">ct </w:t>
      </w:r>
      <w:r w:rsidR="00D60E78" w:rsidRPr="00744DCA">
        <w:rPr>
          <w:noProof/>
        </w:rPr>
        <w:t>referred to in paragraph 7, point (b),</w:t>
      </w:r>
      <w:r w:rsidRPr="00744DCA">
        <w:rPr>
          <w:noProof/>
        </w:rPr>
        <w:t xml:space="preserve"> the legal basis of the priority rated </w:t>
      </w:r>
      <w:r w:rsidRPr="00744DCA">
        <w:rPr>
          <w:noProof/>
          <w:lang w:val="en-IE"/>
        </w:rPr>
        <w:t>order</w:t>
      </w:r>
      <w:r w:rsidRPr="00744DCA">
        <w:rPr>
          <w:noProof/>
        </w:rPr>
        <w:t>, fix the time-limit within which the order is to be performed, and set out the product, specifications, volume, and any other parameter to be complied</w:t>
      </w:r>
      <w:r w:rsidR="00E1585A" w:rsidRPr="00744DCA">
        <w:rPr>
          <w:noProof/>
        </w:rPr>
        <w:t xml:space="preserve"> with</w:t>
      </w:r>
      <w:r w:rsidRPr="00744DCA">
        <w:rPr>
          <w:noProof/>
        </w:rPr>
        <w:t xml:space="preserve">. The Commission shall also state the penalties provided for in Article </w:t>
      </w:r>
      <w:r w:rsidR="007A187B" w:rsidRPr="00744DCA">
        <w:rPr>
          <w:noProof/>
        </w:rPr>
        <w:t>5</w:t>
      </w:r>
      <w:r w:rsidR="008A5046" w:rsidRPr="00744DCA">
        <w:rPr>
          <w:noProof/>
        </w:rPr>
        <w:t>5</w:t>
      </w:r>
      <w:r w:rsidR="007A187B" w:rsidRPr="00744DCA">
        <w:rPr>
          <w:noProof/>
        </w:rPr>
        <w:t xml:space="preserve"> </w:t>
      </w:r>
      <w:r w:rsidRPr="00744DCA">
        <w:rPr>
          <w:noProof/>
        </w:rPr>
        <w:t>for non-compliance with the obligation.</w:t>
      </w:r>
    </w:p>
    <w:p w14:paraId="7F9DC15B" w14:textId="77777777" w:rsidR="00CB5EDF" w:rsidRPr="00744DCA" w:rsidRDefault="00CB5EDF">
      <w:pPr>
        <w:pStyle w:val="ManualNumPar1"/>
        <w:rPr>
          <w:noProof/>
        </w:rPr>
      </w:pPr>
      <w:r>
        <w:rPr>
          <w:noProof/>
        </w:rPr>
        <w:t>10.</w:t>
      </w:r>
      <w:r>
        <w:rPr>
          <w:noProof/>
        </w:rPr>
        <w:tab/>
      </w:r>
      <w:r w:rsidRPr="00744DCA">
        <w:rPr>
          <w:noProof/>
        </w:rPr>
        <w:t xml:space="preserve">Where the undertaking has accepted the </w:t>
      </w:r>
      <w:r w:rsidR="009F1A95" w:rsidRPr="00744DCA">
        <w:rPr>
          <w:noProof/>
        </w:rPr>
        <w:t xml:space="preserve">priority rated </w:t>
      </w:r>
      <w:r w:rsidRPr="00744DCA">
        <w:rPr>
          <w:noProof/>
          <w:lang w:val="en-IE"/>
        </w:rPr>
        <w:t>order</w:t>
      </w:r>
      <w:r w:rsidRPr="00744DCA">
        <w:rPr>
          <w:noProof/>
        </w:rPr>
        <w:t xml:space="preserve"> of the Commission under paragraph </w:t>
      </w:r>
      <w:r w:rsidR="007A187B" w:rsidRPr="00744DCA">
        <w:rPr>
          <w:noProof/>
        </w:rPr>
        <w:t xml:space="preserve">6 </w:t>
      </w:r>
      <w:r w:rsidRPr="00744DCA">
        <w:rPr>
          <w:noProof/>
        </w:rPr>
        <w:t xml:space="preserve">or where the Commission has adopted an </w:t>
      </w:r>
      <w:r w:rsidR="009F1A95" w:rsidRPr="00744DCA">
        <w:rPr>
          <w:noProof/>
        </w:rPr>
        <w:t>implementing act</w:t>
      </w:r>
      <w:r w:rsidRPr="00744DCA">
        <w:rPr>
          <w:noProof/>
        </w:rPr>
        <w:t xml:space="preserve"> under paragraph </w:t>
      </w:r>
      <w:r w:rsidR="00312951" w:rsidRPr="00744DCA">
        <w:rPr>
          <w:noProof/>
        </w:rPr>
        <w:t>7(b)</w:t>
      </w:r>
      <w:r w:rsidRPr="00744DCA">
        <w:rPr>
          <w:noProof/>
        </w:rPr>
        <w:t xml:space="preserve">, the priority rated </w:t>
      </w:r>
      <w:r w:rsidRPr="00744DCA">
        <w:rPr>
          <w:noProof/>
          <w:lang w:val="en-IE"/>
        </w:rPr>
        <w:t>order</w:t>
      </w:r>
      <w:r w:rsidRPr="00744DCA">
        <w:rPr>
          <w:noProof/>
        </w:rPr>
        <w:t xml:space="preserve"> shall:</w:t>
      </w:r>
    </w:p>
    <w:p w14:paraId="620FC61B" w14:textId="77777777" w:rsidR="00CB5EDF" w:rsidRPr="00744DCA" w:rsidRDefault="00CB5EDF" w:rsidP="00B2056B">
      <w:pPr>
        <w:pStyle w:val="Point1"/>
        <w:rPr>
          <w:noProof/>
        </w:rPr>
      </w:pPr>
      <w:r>
        <w:rPr>
          <w:noProof/>
        </w:rPr>
        <w:t>(a)</w:t>
      </w:r>
      <w:r>
        <w:rPr>
          <w:noProof/>
        </w:rPr>
        <w:tab/>
      </w:r>
      <w:r w:rsidRPr="00744DCA">
        <w:rPr>
          <w:noProof/>
        </w:rPr>
        <w:t>be placed at a fair and reasonable price</w:t>
      </w:r>
      <w:r w:rsidRPr="00744DCA">
        <w:rPr>
          <w:noProof/>
          <w:lang w:val="en-IE"/>
        </w:rPr>
        <w:t>,</w:t>
      </w:r>
      <w:r w:rsidRPr="00744DCA">
        <w:rPr>
          <w:rFonts w:ascii="Roboto" w:hAnsi="Roboto" w:cstheme="minorBidi"/>
          <w:noProof/>
          <w:kern w:val="2"/>
          <w:sz w:val="22"/>
          <w:lang w:val="en-US"/>
          <w14:ligatures w14:val="standardContextual"/>
        </w:rPr>
        <w:t xml:space="preserve"> </w:t>
      </w:r>
      <w:r w:rsidRPr="00744DCA">
        <w:rPr>
          <w:noProof/>
          <w:lang w:val="en-US"/>
        </w:rPr>
        <w:t>adequately taking into account the economic operator’s opportunity costs when fulfilling the priority rated orders vis-à-vis existing contractual obligations</w:t>
      </w:r>
      <w:r w:rsidRPr="00744DCA">
        <w:rPr>
          <w:noProof/>
        </w:rPr>
        <w:t>;</w:t>
      </w:r>
    </w:p>
    <w:p w14:paraId="122FD201" w14:textId="77777777" w:rsidR="00CB5EDF" w:rsidRPr="00744DCA" w:rsidRDefault="00CB5EDF" w:rsidP="00B2056B">
      <w:pPr>
        <w:pStyle w:val="Point1"/>
        <w:rPr>
          <w:noProof/>
        </w:rPr>
      </w:pPr>
      <w:r>
        <w:rPr>
          <w:noProof/>
        </w:rPr>
        <w:t>(b)</w:t>
      </w:r>
      <w:r>
        <w:rPr>
          <w:noProof/>
        </w:rPr>
        <w:tab/>
      </w:r>
      <w:r w:rsidRPr="00744DCA">
        <w:rPr>
          <w:noProof/>
        </w:rPr>
        <w:t xml:space="preserve">take precedence over any performance obligation under private or public law with the exception of these directly related to military orders. </w:t>
      </w:r>
    </w:p>
    <w:p w14:paraId="4F981BD2" w14:textId="77777777" w:rsidR="00CB5EDF" w:rsidRPr="00744DCA" w:rsidRDefault="00CB5EDF" w:rsidP="00CB5EDF">
      <w:pPr>
        <w:pStyle w:val="ManualNumPar1"/>
        <w:rPr>
          <w:noProof/>
        </w:rPr>
      </w:pPr>
      <w:r>
        <w:rPr>
          <w:noProof/>
        </w:rPr>
        <w:t>11.</w:t>
      </w:r>
      <w:r>
        <w:rPr>
          <w:noProof/>
        </w:rPr>
        <w:tab/>
      </w:r>
      <w:r w:rsidRPr="00744DCA">
        <w:rPr>
          <w:noProof/>
        </w:rPr>
        <w:t xml:space="preserve">Any conflict between a </w:t>
      </w:r>
      <w:r w:rsidR="009F1A95" w:rsidRPr="00744DCA">
        <w:rPr>
          <w:noProof/>
        </w:rPr>
        <w:t>p</w:t>
      </w:r>
      <w:r w:rsidRPr="00744DCA">
        <w:rPr>
          <w:noProof/>
        </w:rPr>
        <w:t xml:space="preserve">riority </w:t>
      </w:r>
      <w:r w:rsidR="009F1A95" w:rsidRPr="00744DCA">
        <w:rPr>
          <w:noProof/>
        </w:rPr>
        <w:t>r</w:t>
      </w:r>
      <w:r w:rsidRPr="00744DCA">
        <w:rPr>
          <w:noProof/>
        </w:rPr>
        <w:t xml:space="preserve">ated </w:t>
      </w:r>
      <w:r w:rsidR="009F1A95" w:rsidRPr="00744DCA">
        <w:rPr>
          <w:noProof/>
        </w:rPr>
        <w:t>o</w:t>
      </w:r>
      <w:r w:rsidRPr="00744DCA">
        <w:rPr>
          <w:noProof/>
        </w:rPr>
        <w:t xml:space="preserve">rder and a measure </w:t>
      </w:r>
      <w:r w:rsidR="009F1A95" w:rsidRPr="00744DCA">
        <w:rPr>
          <w:noProof/>
        </w:rPr>
        <w:t xml:space="preserve">under </w:t>
      </w:r>
      <w:r w:rsidRPr="00744DCA">
        <w:rPr>
          <w:noProof/>
        </w:rPr>
        <w:t xml:space="preserve">any other prioritisation mechanism </w:t>
      </w:r>
      <w:r w:rsidR="009F1A95" w:rsidRPr="00744DCA">
        <w:rPr>
          <w:noProof/>
        </w:rPr>
        <w:t xml:space="preserve">of the Union </w:t>
      </w:r>
      <w:r w:rsidRPr="00744DCA">
        <w:rPr>
          <w:noProof/>
        </w:rPr>
        <w:t>shall be resolved by the Commission, based on the weighing of the public interest.</w:t>
      </w:r>
    </w:p>
    <w:p w14:paraId="19702E9E" w14:textId="77777777" w:rsidR="00CB5EDF" w:rsidRPr="00744DCA" w:rsidRDefault="00CB5EDF">
      <w:pPr>
        <w:pStyle w:val="ManualNumPar1"/>
        <w:rPr>
          <w:noProof/>
        </w:rPr>
      </w:pPr>
      <w:r>
        <w:rPr>
          <w:noProof/>
        </w:rPr>
        <w:t>12.</w:t>
      </w:r>
      <w:r>
        <w:rPr>
          <w:noProof/>
        </w:rPr>
        <w:tab/>
      </w:r>
      <w:r w:rsidRPr="00744DCA">
        <w:rPr>
          <w:noProof/>
        </w:rPr>
        <w:t xml:space="preserve">Where the undertaking has agreed to the </w:t>
      </w:r>
      <w:r w:rsidRPr="00744DCA">
        <w:rPr>
          <w:noProof/>
          <w:lang w:val="en-IE"/>
        </w:rPr>
        <w:t>order</w:t>
      </w:r>
      <w:r w:rsidRPr="00744DCA">
        <w:rPr>
          <w:noProof/>
        </w:rPr>
        <w:t xml:space="preserve"> of the Commission under paragraph </w:t>
      </w:r>
      <w:r w:rsidR="00312951" w:rsidRPr="00744DCA">
        <w:rPr>
          <w:noProof/>
        </w:rPr>
        <w:t xml:space="preserve">6 </w:t>
      </w:r>
      <w:r w:rsidRPr="00744DCA">
        <w:rPr>
          <w:noProof/>
        </w:rPr>
        <w:t xml:space="preserve">or where the Commission has adopted an </w:t>
      </w:r>
      <w:r w:rsidR="006B188D" w:rsidRPr="00744DCA">
        <w:rPr>
          <w:noProof/>
        </w:rPr>
        <w:t>i</w:t>
      </w:r>
      <w:r w:rsidRPr="00744DCA">
        <w:rPr>
          <w:noProof/>
        </w:rPr>
        <w:t>mplementing </w:t>
      </w:r>
      <w:r w:rsidR="006B188D" w:rsidRPr="00744DCA">
        <w:rPr>
          <w:noProof/>
        </w:rPr>
        <w:t>a</w:t>
      </w:r>
      <w:r w:rsidRPr="00744DCA">
        <w:rPr>
          <w:noProof/>
        </w:rPr>
        <w:t xml:space="preserve">ct under paragraph </w:t>
      </w:r>
      <w:r w:rsidR="00312951" w:rsidRPr="00744DCA">
        <w:rPr>
          <w:noProof/>
        </w:rPr>
        <w:t>7(b)</w:t>
      </w:r>
      <w:r w:rsidRPr="00744DCA">
        <w:rPr>
          <w:noProof/>
        </w:rPr>
        <w:t xml:space="preserve">, the undertaking may request the Commission to review the priority rated </w:t>
      </w:r>
      <w:r w:rsidRPr="00744DCA">
        <w:rPr>
          <w:noProof/>
          <w:lang w:val="en-IE"/>
        </w:rPr>
        <w:t>order</w:t>
      </w:r>
      <w:r w:rsidRPr="00744DCA">
        <w:rPr>
          <w:noProof/>
        </w:rPr>
        <w:t xml:space="preserve"> where it considers it to be duly justified based on one of the following grounds:</w:t>
      </w:r>
    </w:p>
    <w:p w14:paraId="7FB92961" w14:textId="77777777" w:rsidR="00CB5EDF" w:rsidRPr="00744DCA" w:rsidRDefault="00CB5EDF" w:rsidP="00B2056B">
      <w:pPr>
        <w:pStyle w:val="Point1"/>
        <w:rPr>
          <w:noProof/>
        </w:rPr>
      </w:pPr>
      <w:r>
        <w:rPr>
          <w:noProof/>
        </w:rPr>
        <w:t>(a)</w:t>
      </w:r>
      <w:r>
        <w:rPr>
          <w:noProof/>
        </w:rPr>
        <w:tab/>
      </w:r>
      <w:r w:rsidRPr="00744DCA">
        <w:rPr>
          <w:noProof/>
        </w:rPr>
        <w:t xml:space="preserve">the undertaking is unable to perform the priority rated </w:t>
      </w:r>
      <w:r w:rsidRPr="00744DCA">
        <w:rPr>
          <w:noProof/>
          <w:lang w:val="en-IE"/>
        </w:rPr>
        <w:t>order</w:t>
      </w:r>
      <w:r w:rsidRPr="00744DCA">
        <w:rPr>
          <w:noProof/>
        </w:rPr>
        <w:t xml:space="preserve"> on account of insufficient production capability or production capacity, even under preferential treatment of the order;</w:t>
      </w:r>
    </w:p>
    <w:p w14:paraId="7D75611A" w14:textId="77777777" w:rsidR="00CB5EDF" w:rsidRPr="00744DCA" w:rsidRDefault="00CB5EDF" w:rsidP="00B2056B">
      <w:pPr>
        <w:pStyle w:val="Point1"/>
        <w:rPr>
          <w:noProof/>
        </w:rPr>
      </w:pPr>
      <w:r>
        <w:rPr>
          <w:noProof/>
        </w:rPr>
        <w:t>(b)</w:t>
      </w:r>
      <w:r>
        <w:rPr>
          <w:noProof/>
        </w:rPr>
        <w:tab/>
      </w:r>
      <w:r w:rsidRPr="00744DCA">
        <w:rPr>
          <w:noProof/>
        </w:rPr>
        <w:t>acceptance of the order would place an unreasonable economic burden and entail particular hardship for the undertaking.</w:t>
      </w:r>
    </w:p>
    <w:p w14:paraId="1B1B0DD2" w14:textId="77777777" w:rsidR="00CB5EDF" w:rsidRPr="00744DCA" w:rsidRDefault="00CB5EDF" w:rsidP="003506AF">
      <w:pPr>
        <w:pStyle w:val="ManualNumPar1"/>
        <w:rPr>
          <w:noProof/>
        </w:rPr>
      </w:pPr>
      <w:r>
        <w:rPr>
          <w:noProof/>
        </w:rPr>
        <w:t>13.</w:t>
      </w:r>
      <w:r>
        <w:rPr>
          <w:noProof/>
        </w:rPr>
        <w:tab/>
      </w:r>
      <w:r w:rsidRPr="00744DCA">
        <w:rPr>
          <w:noProof/>
        </w:rPr>
        <w:t>The undertaking shall provide all relevant and substantiated information to allow the Commission to assess the merits of the objections raised.</w:t>
      </w:r>
    </w:p>
    <w:p w14:paraId="77EDF000" w14:textId="77777777" w:rsidR="00CB5EDF" w:rsidRPr="00744DCA" w:rsidRDefault="00CB5EDF" w:rsidP="003506AF">
      <w:pPr>
        <w:pStyle w:val="ManualNumPar1"/>
        <w:rPr>
          <w:noProof/>
        </w:rPr>
      </w:pPr>
      <w:r>
        <w:rPr>
          <w:noProof/>
        </w:rPr>
        <w:t>14.</w:t>
      </w:r>
      <w:r>
        <w:rPr>
          <w:noProof/>
        </w:rPr>
        <w:tab/>
      </w:r>
      <w:r w:rsidRPr="00744DCA">
        <w:rPr>
          <w:noProof/>
        </w:rPr>
        <w:t xml:space="preserve">Based on the examination of the reasons and evidence provided by the undertaking, the Commission may, after consulting the Member State </w:t>
      </w:r>
      <w:r w:rsidRPr="00744DCA">
        <w:rPr>
          <w:noProof/>
          <w:lang w:val="en-IE"/>
        </w:rPr>
        <w:t>of establishment</w:t>
      </w:r>
      <w:r w:rsidRPr="00744DCA">
        <w:rPr>
          <w:noProof/>
        </w:rPr>
        <w:t xml:space="preserve">, amend its implementing Act to release, partially or in totality the undertaking concerned from its obligations under </w:t>
      </w:r>
      <w:r w:rsidR="002B1BB5" w:rsidRPr="00744DCA">
        <w:rPr>
          <w:noProof/>
        </w:rPr>
        <w:t>this Article</w:t>
      </w:r>
      <w:r w:rsidRPr="00744DCA">
        <w:rPr>
          <w:noProof/>
        </w:rPr>
        <w:t>.</w:t>
      </w:r>
    </w:p>
    <w:p w14:paraId="7E1D3179" w14:textId="77777777" w:rsidR="00CB5EDF" w:rsidRPr="00744DCA" w:rsidRDefault="00CB5EDF" w:rsidP="00CB5EDF">
      <w:pPr>
        <w:pStyle w:val="ManualNumPar1"/>
        <w:rPr>
          <w:noProof/>
        </w:rPr>
      </w:pPr>
      <w:r>
        <w:rPr>
          <w:noProof/>
        </w:rPr>
        <w:t>15.</w:t>
      </w:r>
      <w:r>
        <w:rPr>
          <w:noProof/>
        </w:rPr>
        <w:tab/>
      </w:r>
      <w:r w:rsidRPr="00744DCA">
        <w:rPr>
          <w:noProof/>
        </w:rPr>
        <w:t xml:space="preserve">This Article shall be without prejudice to the use of national mechanisms or initiatives </w:t>
      </w:r>
      <w:r w:rsidR="00881CBE" w:rsidRPr="00744DCA">
        <w:rPr>
          <w:noProof/>
        </w:rPr>
        <w:t xml:space="preserve">having </w:t>
      </w:r>
      <w:r w:rsidRPr="00744DCA">
        <w:rPr>
          <w:noProof/>
        </w:rPr>
        <w:t xml:space="preserve">an equivalent effect. </w:t>
      </w:r>
    </w:p>
    <w:p w14:paraId="40FFEA5D" w14:textId="77777777" w:rsidR="00CB5EDF" w:rsidRPr="00744DCA" w:rsidRDefault="00CB5EDF">
      <w:pPr>
        <w:pStyle w:val="ManualNumPar1"/>
        <w:rPr>
          <w:noProof/>
        </w:rPr>
      </w:pPr>
      <w:r>
        <w:rPr>
          <w:noProof/>
        </w:rPr>
        <w:t>16.</w:t>
      </w:r>
      <w:r>
        <w:rPr>
          <w:noProof/>
        </w:rPr>
        <w:tab/>
      </w:r>
      <w:r w:rsidRPr="00744DCA">
        <w:rPr>
          <w:noProof/>
        </w:rPr>
        <w:t xml:space="preserve">When an undertaking established in the Union is subject to a measure of a third country which entails a priority rated </w:t>
      </w:r>
      <w:r w:rsidRPr="00744DCA">
        <w:rPr>
          <w:noProof/>
          <w:lang w:val="en-IE"/>
        </w:rPr>
        <w:t>order</w:t>
      </w:r>
      <w:r w:rsidRPr="00744DCA">
        <w:rPr>
          <w:noProof/>
        </w:rPr>
        <w:t>, it shall notify the Commission thereof. The Commission shall then inform the Committee of the existence of such measures.</w:t>
      </w:r>
    </w:p>
    <w:p w14:paraId="34CED1EB" w14:textId="77777777" w:rsidR="00CB5EDF" w:rsidRPr="00744DCA" w:rsidRDefault="00CB5EDF">
      <w:pPr>
        <w:pStyle w:val="ManualNumPar1"/>
        <w:rPr>
          <w:noProof/>
        </w:rPr>
      </w:pPr>
      <w:r>
        <w:rPr>
          <w:noProof/>
        </w:rPr>
        <w:t>17.</w:t>
      </w:r>
      <w:r>
        <w:rPr>
          <w:noProof/>
        </w:rPr>
        <w:tab/>
      </w:r>
      <w:r w:rsidRPr="00744DCA">
        <w:rPr>
          <w:noProof/>
        </w:rPr>
        <w:t xml:space="preserve">Where an undertaking accepts or is obliged to accept and prioritise a priority rated </w:t>
      </w:r>
      <w:r w:rsidRPr="00744DCA">
        <w:rPr>
          <w:noProof/>
          <w:lang w:val="en-IE"/>
        </w:rPr>
        <w:t xml:space="preserve">order </w:t>
      </w:r>
      <w:r w:rsidRPr="00744DCA">
        <w:rPr>
          <w:noProof/>
        </w:rPr>
        <w:t xml:space="preserve">in accordance with paragraphs </w:t>
      </w:r>
      <w:r w:rsidR="00144B56" w:rsidRPr="00744DCA">
        <w:rPr>
          <w:noProof/>
        </w:rPr>
        <w:t>6</w:t>
      </w:r>
      <w:r w:rsidR="002B1BB5" w:rsidRPr="00744DCA">
        <w:rPr>
          <w:noProof/>
        </w:rPr>
        <w:t xml:space="preserve"> </w:t>
      </w:r>
      <w:r w:rsidRPr="00744DCA">
        <w:rPr>
          <w:noProof/>
        </w:rPr>
        <w:t xml:space="preserve">or </w:t>
      </w:r>
      <w:r w:rsidR="00144B56" w:rsidRPr="00744DCA">
        <w:rPr>
          <w:noProof/>
        </w:rPr>
        <w:t xml:space="preserve">7(b) </w:t>
      </w:r>
      <w:r w:rsidRPr="00744DCA">
        <w:rPr>
          <w:noProof/>
        </w:rPr>
        <w:t>it shall be shielded from any contractual or extra-contractual liability in relation to comply with the priority rated requests. The liability shall be excluded only to the extent the violation of contractual obligations was necessary for compliance with the mandated prioritisation.</w:t>
      </w:r>
    </w:p>
    <w:p w14:paraId="7D57FFEE" w14:textId="77777777" w:rsidR="00CB5EDF" w:rsidRPr="00744DCA" w:rsidRDefault="00CB5EDF" w:rsidP="00CB5EDF">
      <w:pPr>
        <w:pStyle w:val="ManualNumPar1"/>
        <w:rPr>
          <w:noProof/>
        </w:rPr>
      </w:pPr>
      <w:r>
        <w:rPr>
          <w:noProof/>
        </w:rPr>
        <w:t>18.</w:t>
      </w:r>
      <w:r>
        <w:rPr>
          <w:noProof/>
        </w:rPr>
        <w:tab/>
      </w:r>
      <w:r w:rsidRPr="00744DCA">
        <w:rPr>
          <w:noProof/>
        </w:rPr>
        <w:t xml:space="preserve">Where an economic operator, after having expressly accepted </w:t>
      </w:r>
      <w:r w:rsidRPr="00744DCA">
        <w:rPr>
          <w:noProof/>
          <w:lang w:val="en-IE"/>
        </w:rPr>
        <w:t xml:space="preserve">or been </w:t>
      </w:r>
      <w:r w:rsidRPr="00744DCA">
        <w:rPr>
          <w:noProof/>
        </w:rPr>
        <w:t xml:space="preserve">obliged to accept to prioritise the orders requested by the Commission, intentionally or through gross negligence, does not comply with the obligation to prioritise those orders, it shall be subject to fines set in accordance with Article </w:t>
      </w:r>
      <w:r w:rsidR="00144B56" w:rsidRPr="00744DCA">
        <w:rPr>
          <w:noProof/>
        </w:rPr>
        <w:t>54</w:t>
      </w:r>
      <w:r w:rsidRPr="00744DCA">
        <w:rPr>
          <w:noProof/>
        </w:rPr>
        <w:t>, except where the undertaking has sufficient reasons for not complying with the obligation to prioritise those orders.</w:t>
      </w:r>
    </w:p>
    <w:p w14:paraId="34024C51" w14:textId="77777777" w:rsidR="00CB5EDF" w:rsidRPr="00744DCA" w:rsidRDefault="00CB5EDF">
      <w:pPr>
        <w:pStyle w:val="ManualNumPar1"/>
        <w:rPr>
          <w:noProof/>
        </w:rPr>
      </w:pPr>
      <w:r>
        <w:rPr>
          <w:noProof/>
        </w:rPr>
        <w:t>19.</w:t>
      </w:r>
      <w:r>
        <w:rPr>
          <w:noProof/>
        </w:rPr>
        <w:tab/>
      </w:r>
      <w:r w:rsidRPr="00744DCA">
        <w:rPr>
          <w:noProof/>
        </w:rPr>
        <w:t>The Commission shall adopt an implementing act laying down the practical and operational arrangements for the functioning of priority rated requests.</w:t>
      </w:r>
    </w:p>
    <w:p w14:paraId="573686D5" w14:textId="77777777" w:rsidR="00CB5EDF" w:rsidRPr="00744DCA" w:rsidRDefault="00CB5EDF" w:rsidP="00CB5EDF">
      <w:pPr>
        <w:pStyle w:val="ManualNumPar1"/>
        <w:rPr>
          <w:noProof/>
        </w:rPr>
      </w:pPr>
      <w:r>
        <w:rPr>
          <w:noProof/>
        </w:rPr>
        <w:t>20.</w:t>
      </w:r>
      <w:r>
        <w:rPr>
          <w:noProof/>
        </w:rPr>
        <w:tab/>
      </w:r>
      <w:r w:rsidRPr="00744DCA">
        <w:rPr>
          <w:noProof/>
        </w:rPr>
        <w:t xml:space="preserve">The implementing acts referred to in </w:t>
      </w:r>
      <w:r w:rsidR="006B188D" w:rsidRPr="00744DCA">
        <w:rPr>
          <w:noProof/>
        </w:rPr>
        <w:t>this Article</w:t>
      </w:r>
      <w:r w:rsidR="004942BD" w:rsidRPr="00744DCA">
        <w:rPr>
          <w:noProof/>
        </w:rPr>
        <w:t> </w:t>
      </w:r>
      <w:r w:rsidRPr="00744DCA">
        <w:rPr>
          <w:noProof/>
        </w:rPr>
        <w:t> shall be adopted in accordance with the examination procedure referred to in Article </w:t>
      </w:r>
      <w:r w:rsidR="00027579" w:rsidRPr="00744DCA">
        <w:rPr>
          <w:noProof/>
        </w:rPr>
        <w:t>5</w:t>
      </w:r>
      <w:r w:rsidR="00A854A5" w:rsidRPr="00744DCA">
        <w:rPr>
          <w:noProof/>
        </w:rPr>
        <w:t>8</w:t>
      </w:r>
      <w:r w:rsidR="00027579" w:rsidRPr="00744DCA">
        <w:rPr>
          <w:noProof/>
        </w:rPr>
        <w:t> </w:t>
      </w:r>
      <w:r w:rsidRPr="00744DCA">
        <w:rPr>
          <w:noProof/>
        </w:rPr>
        <w:t>(3).</w:t>
      </w:r>
    </w:p>
    <w:p w14:paraId="61DF7730" w14:textId="77777777" w:rsidR="00CB5EDF" w:rsidRPr="00744DCA" w:rsidRDefault="00CB5EDF" w:rsidP="00CB5EDF">
      <w:pPr>
        <w:pStyle w:val="SectionTitle"/>
        <w:rPr>
          <w:noProof/>
        </w:rPr>
      </w:pPr>
      <w:bookmarkStart w:id="5" w:name="_bookmark63"/>
      <w:bookmarkEnd w:id="5"/>
      <w:r w:rsidRPr="00744DCA">
        <w:rPr>
          <w:noProof/>
        </w:rPr>
        <w:t xml:space="preserve">Section </w:t>
      </w:r>
      <w:r w:rsidR="005A11E2" w:rsidRPr="00744DCA">
        <w:rPr>
          <w:noProof/>
        </w:rPr>
        <w:t>4</w:t>
      </w:r>
    </w:p>
    <w:p w14:paraId="54EC5629" w14:textId="77777777" w:rsidR="00CB5EDF" w:rsidRPr="00744DCA" w:rsidRDefault="00CB5EDF" w:rsidP="00CB5EDF">
      <w:pPr>
        <w:pStyle w:val="SectionTitle"/>
        <w:rPr>
          <w:noProof/>
        </w:rPr>
      </w:pPr>
      <w:r w:rsidRPr="00744DCA">
        <w:rPr>
          <w:noProof/>
        </w:rPr>
        <w:t>Security-related supply crisis state</w:t>
      </w:r>
    </w:p>
    <w:p w14:paraId="09B2480D" w14:textId="77777777" w:rsidR="00CB5EDF" w:rsidRPr="00744DCA" w:rsidRDefault="00CB5EDF" w:rsidP="00CB5EDF">
      <w:pPr>
        <w:pStyle w:val="Titrearticle"/>
        <w:rPr>
          <w:noProof/>
        </w:rPr>
      </w:pPr>
      <w:bookmarkStart w:id="6" w:name="_Hlk156242460"/>
      <w:r w:rsidRPr="00744DCA">
        <w:rPr>
          <w:noProof/>
        </w:rPr>
        <w:t xml:space="preserve">Article </w:t>
      </w:r>
      <w:r w:rsidR="00C0301B" w:rsidRPr="00744DCA">
        <w:rPr>
          <w:noProof/>
        </w:rPr>
        <w:t>4</w:t>
      </w:r>
      <w:r w:rsidR="00D048CC" w:rsidRPr="00744DCA">
        <w:rPr>
          <w:noProof/>
        </w:rPr>
        <w:t>8</w:t>
      </w:r>
    </w:p>
    <w:p w14:paraId="1782D671" w14:textId="77777777" w:rsidR="00CB5EDF" w:rsidRPr="00744DCA" w:rsidRDefault="00CB5EDF" w:rsidP="00CB5EDF">
      <w:pPr>
        <w:pStyle w:val="Titrearticle"/>
        <w:rPr>
          <w:b/>
          <w:noProof/>
        </w:rPr>
      </w:pPr>
      <w:r w:rsidRPr="00744DCA">
        <w:rPr>
          <w:b/>
          <w:i w:val="0"/>
          <w:noProof/>
        </w:rPr>
        <w:t>Activation of the security-related supply crisis state</w:t>
      </w:r>
    </w:p>
    <w:bookmarkEnd w:id="6"/>
    <w:p w14:paraId="11697DFA" w14:textId="77777777" w:rsidR="00CB5EDF" w:rsidRPr="00744DCA" w:rsidRDefault="00CB5EDF" w:rsidP="00B2056B">
      <w:pPr>
        <w:pStyle w:val="ManualNumPar1"/>
        <w:rPr>
          <w:noProof/>
        </w:rPr>
      </w:pPr>
      <w:r>
        <w:rPr>
          <w:noProof/>
        </w:rPr>
        <w:t>1.</w:t>
      </w:r>
      <w:r>
        <w:rPr>
          <w:noProof/>
        </w:rPr>
        <w:tab/>
      </w:r>
      <w:r w:rsidRPr="00744DCA">
        <w:rPr>
          <w:noProof/>
        </w:rPr>
        <w:t>A security-related supply crisis shall be considered to occur where:</w:t>
      </w:r>
    </w:p>
    <w:p w14:paraId="171299E4" w14:textId="77777777" w:rsidR="00CB5EDF" w:rsidRPr="00744DCA" w:rsidRDefault="00CB5EDF" w:rsidP="00B2056B">
      <w:pPr>
        <w:pStyle w:val="Point1"/>
        <w:rPr>
          <w:noProof/>
        </w:rPr>
      </w:pPr>
      <w:r>
        <w:rPr>
          <w:noProof/>
        </w:rPr>
        <w:t>(a)</w:t>
      </w:r>
      <w:r>
        <w:rPr>
          <w:noProof/>
        </w:rPr>
        <w:tab/>
      </w:r>
      <w:r w:rsidRPr="00744DCA">
        <w:rPr>
          <w:noProof/>
        </w:rPr>
        <w:t>A security crisis has arisen or is deemed to have arisen;</w:t>
      </w:r>
    </w:p>
    <w:p w14:paraId="3FA690E7" w14:textId="77777777" w:rsidR="00CB5EDF" w:rsidRPr="00744DCA" w:rsidRDefault="00CB5EDF" w:rsidP="00CB5EDF">
      <w:pPr>
        <w:pStyle w:val="Point1"/>
        <w:rPr>
          <w:noProof/>
        </w:rPr>
      </w:pPr>
      <w:r>
        <w:rPr>
          <w:noProof/>
        </w:rPr>
        <w:t>(b)</w:t>
      </w:r>
      <w:r>
        <w:rPr>
          <w:noProof/>
        </w:rPr>
        <w:tab/>
      </w:r>
      <w:r w:rsidRPr="00744DCA">
        <w:rPr>
          <w:noProof/>
        </w:rPr>
        <w:t>there are serious disruptions in the provision of products or serious obstacles to trade in defence products within the Union causing significant shortages of defence products</w:t>
      </w:r>
      <w:r w:rsidRPr="00744DCA">
        <w:rPr>
          <w:noProof/>
          <w:lang w:val="en-IE"/>
        </w:rPr>
        <w:t xml:space="preserve"> or related</w:t>
      </w:r>
      <w:r w:rsidRPr="00744DCA">
        <w:rPr>
          <w:noProof/>
        </w:rPr>
        <w:t xml:space="preserve"> intermediate products or raw or processed materials</w:t>
      </w:r>
      <w:r w:rsidRPr="00744DCA">
        <w:rPr>
          <w:noProof/>
          <w:lang w:val="en-IE"/>
        </w:rPr>
        <w:t>.</w:t>
      </w:r>
    </w:p>
    <w:p w14:paraId="7411B5EC" w14:textId="77777777" w:rsidR="00CB5EDF" w:rsidRPr="00744DCA" w:rsidRDefault="00CB5EDF">
      <w:pPr>
        <w:pStyle w:val="ManualNumPar1"/>
        <w:rPr>
          <w:noProof/>
        </w:rPr>
      </w:pPr>
      <w:r>
        <w:rPr>
          <w:noProof/>
        </w:rPr>
        <w:t>2.</w:t>
      </w:r>
      <w:r>
        <w:rPr>
          <w:noProof/>
        </w:rPr>
        <w:tab/>
      </w:r>
      <w:r w:rsidRPr="00744DCA">
        <w:rPr>
          <w:noProof/>
        </w:rPr>
        <w:t xml:space="preserve">Where a security-related supply crisis occurs </w:t>
      </w:r>
      <w:r w:rsidRPr="00744DCA">
        <w:rPr>
          <w:noProof/>
          <w:lang w:val="en-IE"/>
        </w:rPr>
        <w:t>or w</w:t>
      </w:r>
      <w:r w:rsidRPr="00744DCA">
        <w:rPr>
          <w:noProof/>
        </w:rPr>
        <w:t xml:space="preserve">here the Commission or the Defence Industrial Readiness Board becomes aware of a potential security-related supply crisis pursuant to Article </w:t>
      </w:r>
      <w:r w:rsidR="00320621" w:rsidRPr="00744DCA">
        <w:rPr>
          <w:noProof/>
        </w:rPr>
        <w:t>4</w:t>
      </w:r>
      <w:r w:rsidR="00C03B2E" w:rsidRPr="00744DCA">
        <w:rPr>
          <w:noProof/>
        </w:rPr>
        <w:t>3</w:t>
      </w:r>
      <w:r w:rsidRPr="00744DCA">
        <w:rPr>
          <w:noProof/>
        </w:rPr>
        <w:t>, the Commission shall assess</w:t>
      </w:r>
      <w:r w:rsidRPr="00744DCA">
        <w:rPr>
          <w:noProof/>
          <w:lang w:val="en-IE"/>
        </w:rPr>
        <w:t>, with the support of the High-Representative,</w:t>
      </w:r>
      <w:r w:rsidRPr="00744DCA">
        <w:rPr>
          <w:noProof/>
        </w:rPr>
        <w:t xml:space="preserve"> whether the conditions of paragraph 1 of this Article are met. That assessment shall take into account the potential positive and negative impacts and consequences of the </w:t>
      </w:r>
      <w:r w:rsidRPr="00744DCA">
        <w:rPr>
          <w:noProof/>
          <w:lang w:val="en-IE"/>
        </w:rPr>
        <w:t xml:space="preserve">security-related </w:t>
      </w:r>
      <w:r w:rsidRPr="00744DCA">
        <w:rPr>
          <w:noProof/>
        </w:rPr>
        <w:t xml:space="preserve">supply crisis state on the Union’s defence supply chains. Where that assessment provides concrete and reliable evidence, the Commission may propose to the Council to activate the </w:t>
      </w:r>
      <w:r w:rsidRPr="00744DCA">
        <w:rPr>
          <w:noProof/>
          <w:lang w:val="en-IE"/>
        </w:rPr>
        <w:t xml:space="preserve">security-related </w:t>
      </w:r>
      <w:r w:rsidRPr="00744DCA">
        <w:rPr>
          <w:noProof/>
        </w:rPr>
        <w:t>supply crisis state.</w:t>
      </w:r>
    </w:p>
    <w:p w14:paraId="667D0DED" w14:textId="77777777" w:rsidR="00CB5EDF" w:rsidRPr="00744DCA" w:rsidRDefault="00CB5EDF">
      <w:pPr>
        <w:pStyle w:val="ManualNumPar1"/>
        <w:rPr>
          <w:noProof/>
        </w:rPr>
      </w:pPr>
      <w:r>
        <w:rPr>
          <w:noProof/>
        </w:rPr>
        <w:t>3.</w:t>
      </w:r>
      <w:r>
        <w:rPr>
          <w:noProof/>
        </w:rPr>
        <w:tab/>
      </w:r>
      <w:r w:rsidRPr="00744DCA">
        <w:rPr>
          <w:noProof/>
          <w:lang w:val="en-IE"/>
        </w:rPr>
        <w:t>T</w:t>
      </w:r>
      <w:r w:rsidRPr="00744DCA">
        <w:rPr>
          <w:noProof/>
        </w:rPr>
        <w:t xml:space="preserve">he Council, upon the proposal of the Commission and acting by qualified majority, may adopt an </w:t>
      </w:r>
      <w:r w:rsidRPr="00744DCA">
        <w:rPr>
          <w:noProof/>
          <w:lang w:val="en-IE"/>
        </w:rPr>
        <w:t xml:space="preserve">Implementing Act </w:t>
      </w:r>
      <w:r w:rsidRPr="00744DCA">
        <w:rPr>
          <w:noProof/>
        </w:rPr>
        <w:t xml:space="preserve">activating the security-related supply crisis state where that is appropriate to address the crisis, taking into account the need to ensure a high level of security of the Union, Member States and </w:t>
      </w:r>
      <w:r w:rsidR="00881CBE" w:rsidRPr="00744DCA">
        <w:rPr>
          <w:noProof/>
        </w:rPr>
        <w:t xml:space="preserve">Union </w:t>
      </w:r>
      <w:r w:rsidRPr="00744DCA">
        <w:rPr>
          <w:noProof/>
        </w:rPr>
        <w:t>citizens.</w:t>
      </w:r>
    </w:p>
    <w:p w14:paraId="668C2C37" w14:textId="77777777" w:rsidR="00CB5EDF" w:rsidRPr="00744DCA" w:rsidRDefault="00CB5EDF">
      <w:pPr>
        <w:pStyle w:val="ManualNumPar1"/>
        <w:rPr>
          <w:noProof/>
        </w:rPr>
      </w:pPr>
      <w:r>
        <w:rPr>
          <w:noProof/>
        </w:rPr>
        <w:t>4.</w:t>
      </w:r>
      <w:r>
        <w:rPr>
          <w:noProof/>
        </w:rPr>
        <w:tab/>
      </w:r>
      <w:r w:rsidRPr="00744DCA">
        <w:rPr>
          <w:noProof/>
        </w:rPr>
        <w:t>The Council shall set out in the Impleme</w:t>
      </w:r>
      <w:r w:rsidR="007C6D51" w:rsidRPr="00744DCA">
        <w:rPr>
          <w:noProof/>
        </w:rPr>
        <w:t>n</w:t>
      </w:r>
      <w:r w:rsidRPr="00744DCA">
        <w:rPr>
          <w:noProof/>
        </w:rPr>
        <w:t xml:space="preserve">ting Act activating the security-related supply crisis state which of the measures set out in Articles </w:t>
      </w:r>
      <w:r w:rsidR="00320621" w:rsidRPr="00744DCA">
        <w:rPr>
          <w:noProof/>
        </w:rPr>
        <w:t>4</w:t>
      </w:r>
      <w:r w:rsidR="00C03B2E" w:rsidRPr="00744DCA">
        <w:rPr>
          <w:noProof/>
        </w:rPr>
        <w:t>9</w:t>
      </w:r>
      <w:r w:rsidR="00320621" w:rsidRPr="00744DCA">
        <w:rPr>
          <w:noProof/>
        </w:rPr>
        <w:t xml:space="preserve"> </w:t>
      </w:r>
      <w:r w:rsidRPr="00744DCA">
        <w:rPr>
          <w:noProof/>
        </w:rPr>
        <w:t xml:space="preserve">to </w:t>
      </w:r>
      <w:r w:rsidR="00320621" w:rsidRPr="00744DCA">
        <w:rPr>
          <w:noProof/>
        </w:rPr>
        <w:t>5</w:t>
      </w:r>
      <w:r w:rsidR="00C03B2E" w:rsidRPr="00744DCA">
        <w:rPr>
          <w:noProof/>
        </w:rPr>
        <w:t>4</w:t>
      </w:r>
      <w:r w:rsidR="00320621" w:rsidRPr="00744DCA">
        <w:rPr>
          <w:noProof/>
        </w:rPr>
        <w:t xml:space="preserve"> </w:t>
      </w:r>
      <w:r w:rsidRPr="00744DCA">
        <w:rPr>
          <w:noProof/>
        </w:rPr>
        <w:t xml:space="preserve">are appropriate to the crisis, taking into account the need to ensure a high level of security of the Union, Member States and </w:t>
      </w:r>
      <w:r w:rsidR="00004A42" w:rsidRPr="00744DCA">
        <w:rPr>
          <w:noProof/>
        </w:rPr>
        <w:t xml:space="preserve">Union </w:t>
      </w:r>
      <w:r w:rsidRPr="00744DCA">
        <w:rPr>
          <w:noProof/>
        </w:rPr>
        <w:t>citizens, and which measures are therefore to be activated.</w:t>
      </w:r>
    </w:p>
    <w:p w14:paraId="2A892222" w14:textId="77777777" w:rsidR="00CB5EDF" w:rsidRPr="00744DCA" w:rsidRDefault="00CB5EDF">
      <w:pPr>
        <w:pStyle w:val="ManualNumPar1"/>
        <w:rPr>
          <w:noProof/>
        </w:rPr>
      </w:pPr>
      <w:r>
        <w:rPr>
          <w:noProof/>
        </w:rPr>
        <w:t>5.</w:t>
      </w:r>
      <w:r>
        <w:rPr>
          <w:noProof/>
        </w:rPr>
        <w:tab/>
      </w:r>
      <w:r w:rsidRPr="00744DCA">
        <w:rPr>
          <w:noProof/>
        </w:rPr>
        <w:t xml:space="preserve">The security-related supply crisis state shall be activated for a maximum period of twelve months. No later than three weeks before the expiry of the period for which the security-related supply crisis state was activated, the Commission with the support of </w:t>
      </w:r>
      <w:r w:rsidRPr="00744DCA">
        <w:rPr>
          <w:noProof/>
          <w:lang w:val="en-IE"/>
        </w:rPr>
        <w:t>the High-Representative</w:t>
      </w:r>
      <w:r w:rsidRPr="00744DCA" w:rsidDel="00345BB8">
        <w:rPr>
          <w:noProof/>
        </w:rPr>
        <w:t xml:space="preserve"> </w:t>
      </w:r>
      <w:r w:rsidRPr="00744DCA">
        <w:rPr>
          <w:noProof/>
        </w:rPr>
        <w:t>shall submit to the Council a report, assessing whether that period should be prolonged. The report shall in particular analyse the security situation and the economic consequences of the security crisis in the Union as a whole and in Member States, as well as the impact of the measures previously activated under this Regulation.</w:t>
      </w:r>
    </w:p>
    <w:p w14:paraId="69EF3842" w14:textId="77777777" w:rsidR="00CB5EDF" w:rsidRPr="00744DCA" w:rsidRDefault="00CB5EDF">
      <w:pPr>
        <w:pStyle w:val="ManualNumPar1"/>
        <w:rPr>
          <w:noProof/>
        </w:rPr>
      </w:pPr>
      <w:r>
        <w:rPr>
          <w:noProof/>
        </w:rPr>
        <w:t>6.</w:t>
      </w:r>
      <w:r>
        <w:rPr>
          <w:noProof/>
        </w:rPr>
        <w:tab/>
      </w:r>
      <w:r w:rsidRPr="00744DCA">
        <w:rPr>
          <w:noProof/>
        </w:rPr>
        <w:t>The Commission may propose prolongation to the Council, specifying which of the measures are appropriate for prolongation, when the assessment referred to in paragraph 4 concludes that it is appropriate that the period for which the security-related supply crisis state is activated be prolonged. The prolongation shall be for up to six months. The Council, acting by qualified majority, may repeatedly decide to prolong the period for which the security-related supply crisis state is activated where that is appropriate to address the crisis, taking into account the need to ensure a high level of security of the Union, Member States and European citizens.</w:t>
      </w:r>
    </w:p>
    <w:p w14:paraId="194E27E0" w14:textId="77777777" w:rsidR="00CB5EDF" w:rsidRPr="00744DCA" w:rsidRDefault="00CB5EDF" w:rsidP="00CB5EDF">
      <w:pPr>
        <w:pStyle w:val="ManualNumPar1"/>
        <w:rPr>
          <w:noProof/>
        </w:rPr>
      </w:pPr>
      <w:r>
        <w:rPr>
          <w:noProof/>
        </w:rPr>
        <w:t>7.</w:t>
      </w:r>
      <w:r>
        <w:rPr>
          <w:noProof/>
        </w:rPr>
        <w:tab/>
      </w:r>
      <w:r w:rsidRPr="00744DCA">
        <w:rPr>
          <w:noProof/>
        </w:rPr>
        <w:t xml:space="preserve">The Commission, after consulting the Defence Industrial Readiness Board, may propose to the Council to adopt an implementing act activating additional measures or deactivating any activated measures set out in Articles </w:t>
      </w:r>
      <w:r w:rsidR="00320621" w:rsidRPr="00744DCA">
        <w:rPr>
          <w:noProof/>
        </w:rPr>
        <w:t>4</w:t>
      </w:r>
      <w:r w:rsidR="00C03B2E" w:rsidRPr="00744DCA">
        <w:rPr>
          <w:noProof/>
        </w:rPr>
        <w:t>9</w:t>
      </w:r>
      <w:r w:rsidR="00320621" w:rsidRPr="00744DCA">
        <w:rPr>
          <w:noProof/>
        </w:rPr>
        <w:t xml:space="preserve"> </w:t>
      </w:r>
      <w:r w:rsidRPr="00744DCA">
        <w:rPr>
          <w:noProof/>
        </w:rPr>
        <w:t xml:space="preserve">to </w:t>
      </w:r>
      <w:r w:rsidR="00320621" w:rsidRPr="00744DCA">
        <w:rPr>
          <w:noProof/>
        </w:rPr>
        <w:t>5</w:t>
      </w:r>
      <w:r w:rsidR="00C03B2E" w:rsidRPr="00744DCA">
        <w:rPr>
          <w:noProof/>
        </w:rPr>
        <w:t>4</w:t>
      </w:r>
      <w:r w:rsidRPr="00744DCA">
        <w:rPr>
          <w:noProof/>
        </w:rPr>
        <w:t xml:space="preserve">, in addition to those measures that it had already activated, where that is appropriate to address the crisis, taking into account the need to ensure a high level of security of the Union, Member States and </w:t>
      </w:r>
      <w:r w:rsidR="00004A42" w:rsidRPr="00744DCA">
        <w:rPr>
          <w:noProof/>
        </w:rPr>
        <w:t xml:space="preserve">Union </w:t>
      </w:r>
      <w:r w:rsidRPr="00744DCA">
        <w:rPr>
          <w:noProof/>
        </w:rPr>
        <w:t>citizens.</w:t>
      </w:r>
    </w:p>
    <w:p w14:paraId="665C856E" w14:textId="77777777" w:rsidR="00CB5EDF" w:rsidRPr="00744DCA" w:rsidRDefault="00CB5EDF">
      <w:pPr>
        <w:pStyle w:val="ManualNumPar1"/>
        <w:rPr>
          <w:noProof/>
        </w:rPr>
      </w:pPr>
      <w:r>
        <w:rPr>
          <w:noProof/>
        </w:rPr>
        <w:t>8.</w:t>
      </w:r>
      <w:r>
        <w:rPr>
          <w:noProof/>
        </w:rPr>
        <w:tab/>
      </w:r>
      <w:r w:rsidRPr="00744DCA">
        <w:rPr>
          <w:noProof/>
        </w:rPr>
        <w:t xml:space="preserve">Upon expiry of the period for which the security-related supply crisis state is activated, the measures taken in accordance with Articles </w:t>
      </w:r>
      <w:r w:rsidR="00320621" w:rsidRPr="00744DCA">
        <w:rPr>
          <w:noProof/>
        </w:rPr>
        <w:t>4</w:t>
      </w:r>
      <w:r w:rsidR="00C03B2E" w:rsidRPr="00744DCA">
        <w:rPr>
          <w:noProof/>
        </w:rPr>
        <w:t>9</w:t>
      </w:r>
      <w:r w:rsidR="00320621" w:rsidRPr="00744DCA">
        <w:rPr>
          <w:noProof/>
        </w:rPr>
        <w:t xml:space="preserve"> to 5</w:t>
      </w:r>
      <w:r w:rsidR="00C03B2E" w:rsidRPr="00744DCA">
        <w:rPr>
          <w:noProof/>
        </w:rPr>
        <w:t>4</w:t>
      </w:r>
      <w:r w:rsidR="00320621" w:rsidRPr="00744DCA">
        <w:rPr>
          <w:noProof/>
        </w:rPr>
        <w:t xml:space="preserve"> </w:t>
      </w:r>
      <w:r w:rsidRPr="00744DCA">
        <w:rPr>
          <w:noProof/>
        </w:rPr>
        <w:t>shall cease to apply.</w:t>
      </w:r>
    </w:p>
    <w:p w14:paraId="0677AAA0" w14:textId="54B4D0AF" w:rsidR="00CB5EDF" w:rsidRPr="00744DCA" w:rsidRDefault="00CB5EDF" w:rsidP="2039F218">
      <w:pPr>
        <w:pStyle w:val="ManualNumPar1"/>
        <w:ind w:left="0" w:firstLine="0"/>
        <w:rPr>
          <w:noProof/>
        </w:rPr>
      </w:pPr>
      <w:r w:rsidRPr="00744DCA">
        <w:rPr>
          <w:noProof/>
        </w:rPr>
        <w:t xml:space="preserve">In the course of the preparation and implementation of the measures set out in Articles </w:t>
      </w:r>
      <w:r w:rsidR="00C03B2E" w:rsidRPr="00744DCA">
        <w:rPr>
          <w:noProof/>
        </w:rPr>
        <w:t>49 to 54</w:t>
      </w:r>
      <w:r w:rsidRPr="00744DCA">
        <w:rPr>
          <w:noProof/>
        </w:rPr>
        <w:t>, the Commission shall</w:t>
      </w:r>
      <w:r>
        <w:rPr>
          <w:noProof/>
        </w:rPr>
        <w:t>, whenever possible,</w:t>
      </w:r>
      <w:r w:rsidRPr="00744DCA">
        <w:rPr>
          <w:noProof/>
        </w:rPr>
        <w:t xml:space="preserve"> act in close coordination with the Defence Industrial Readiness Board</w:t>
      </w:r>
      <w:r>
        <w:rPr>
          <w:noProof/>
        </w:rPr>
        <w:t>, which shall provide advice</w:t>
      </w:r>
      <w:r w:rsidRPr="00744DCA">
        <w:rPr>
          <w:noProof/>
        </w:rPr>
        <w:t xml:space="preserve"> in a timely manner. The Commission shall </w:t>
      </w:r>
      <w:r>
        <w:rPr>
          <w:noProof/>
        </w:rPr>
        <w:t xml:space="preserve">inform </w:t>
      </w:r>
      <w:r w:rsidRPr="00744DCA">
        <w:rPr>
          <w:noProof/>
        </w:rPr>
        <w:t>the Defence Industrial Readiness Board on the action taken.</w:t>
      </w:r>
    </w:p>
    <w:p w14:paraId="37D9718D" w14:textId="77777777" w:rsidR="00CB5EDF" w:rsidRPr="00744DCA" w:rsidRDefault="00CB5EDF" w:rsidP="00CB5EDF">
      <w:pPr>
        <w:pStyle w:val="ManualNumPar1"/>
        <w:rPr>
          <w:noProof/>
        </w:rPr>
      </w:pPr>
      <w:r>
        <w:rPr>
          <w:noProof/>
        </w:rPr>
        <w:t>9.</w:t>
      </w:r>
      <w:r>
        <w:rPr>
          <w:noProof/>
        </w:rPr>
        <w:tab/>
      </w:r>
      <w:r w:rsidRPr="00744DCA">
        <w:rPr>
          <w:noProof/>
        </w:rPr>
        <w:t>Where the security-related supply crisis state is activated, the Commission may take the measure provided for in Article</w:t>
      </w:r>
      <w:r w:rsidR="00004A42" w:rsidRPr="00744DCA">
        <w:rPr>
          <w:noProof/>
        </w:rPr>
        <w:t>s</w:t>
      </w:r>
      <w:r w:rsidRPr="00744DCA">
        <w:rPr>
          <w:noProof/>
        </w:rPr>
        <w:t xml:space="preserve"> 4</w:t>
      </w:r>
      <w:r w:rsidR="00C03B2E" w:rsidRPr="00744DCA">
        <w:rPr>
          <w:noProof/>
        </w:rPr>
        <w:t>6</w:t>
      </w:r>
      <w:r w:rsidRPr="00744DCA">
        <w:rPr>
          <w:noProof/>
        </w:rPr>
        <w:t xml:space="preserve"> and 4</w:t>
      </w:r>
      <w:r w:rsidR="00C03B2E" w:rsidRPr="00744DCA">
        <w:rPr>
          <w:noProof/>
        </w:rPr>
        <w:t>7</w:t>
      </w:r>
      <w:r w:rsidRPr="00744DCA">
        <w:rPr>
          <w:noProof/>
        </w:rPr>
        <w:t xml:space="preserve">, under the conditions laid down therein and in Article </w:t>
      </w:r>
      <w:r w:rsidR="000F7019" w:rsidRPr="00744DCA">
        <w:rPr>
          <w:noProof/>
        </w:rPr>
        <w:t>4</w:t>
      </w:r>
      <w:r w:rsidR="00C03B2E" w:rsidRPr="00744DCA">
        <w:rPr>
          <w:noProof/>
        </w:rPr>
        <w:t>5</w:t>
      </w:r>
      <w:r w:rsidRPr="00744DCA">
        <w:rPr>
          <w:noProof/>
        </w:rPr>
        <w:t>.</w:t>
      </w:r>
    </w:p>
    <w:p w14:paraId="2BE5F542" w14:textId="77777777" w:rsidR="00CB5EDF" w:rsidRPr="00744DCA" w:rsidRDefault="00CB5EDF" w:rsidP="00CB5EDF">
      <w:pPr>
        <w:pStyle w:val="Titrearticle"/>
        <w:rPr>
          <w:noProof/>
        </w:rPr>
      </w:pPr>
      <w:r w:rsidRPr="00744DCA">
        <w:rPr>
          <w:noProof/>
        </w:rPr>
        <w:t xml:space="preserve">Article </w:t>
      </w:r>
      <w:r w:rsidR="00C0301B" w:rsidRPr="00744DCA">
        <w:rPr>
          <w:noProof/>
        </w:rPr>
        <w:t>4</w:t>
      </w:r>
      <w:r w:rsidR="00D048CC" w:rsidRPr="00744DCA">
        <w:rPr>
          <w:noProof/>
        </w:rPr>
        <w:t>9</w:t>
      </w:r>
    </w:p>
    <w:p w14:paraId="2FFE9FF2" w14:textId="77777777" w:rsidR="00CB5EDF" w:rsidRPr="00744DCA" w:rsidRDefault="00CB5EDF" w:rsidP="00CB5EDF">
      <w:pPr>
        <w:pStyle w:val="Titrearticle"/>
        <w:rPr>
          <w:b/>
          <w:i w:val="0"/>
          <w:noProof/>
        </w:rPr>
      </w:pPr>
      <w:r w:rsidRPr="00744DCA">
        <w:rPr>
          <w:b/>
          <w:i w:val="0"/>
          <w:noProof/>
        </w:rPr>
        <w:t>Information gathering</w:t>
      </w:r>
    </w:p>
    <w:p w14:paraId="564ADEE1" w14:textId="77777777" w:rsidR="00CB5EDF" w:rsidRPr="00744DCA" w:rsidRDefault="00CB5EDF" w:rsidP="00CB5EDF">
      <w:pPr>
        <w:rPr>
          <w:noProof/>
        </w:rPr>
      </w:pPr>
      <w:r w:rsidRPr="00744DCA">
        <w:rPr>
          <w:noProof/>
        </w:rPr>
        <w:t xml:space="preserve">Where </w:t>
      </w:r>
      <w:r w:rsidR="00BC706D" w:rsidRPr="00744DCA">
        <w:rPr>
          <w:noProof/>
        </w:rPr>
        <w:t xml:space="preserve">the Council activates this </w:t>
      </w:r>
      <w:r w:rsidRPr="00744DCA">
        <w:rPr>
          <w:noProof/>
        </w:rPr>
        <w:t>measure</w:t>
      </w:r>
      <w:r w:rsidR="00BC706D" w:rsidRPr="00744DCA">
        <w:rPr>
          <w:noProof/>
        </w:rPr>
        <w:t xml:space="preserve"> in accordance with Article </w:t>
      </w:r>
      <w:r w:rsidR="00E53638" w:rsidRPr="00744DCA">
        <w:rPr>
          <w:noProof/>
        </w:rPr>
        <w:t>48(4)</w:t>
      </w:r>
      <w:r w:rsidRPr="00744DCA">
        <w:rPr>
          <w:noProof/>
        </w:rPr>
        <w:t xml:space="preserve">, the Commission may take the measure provided for in Article </w:t>
      </w:r>
      <w:r w:rsidR="000F7019" w:rsidRPr="00744DCA">
        <w:rPr>
          <w:noProof/>
        </w:rPr>
        <w:t>4</w:t>
      </w:r>
      <w:r w:rsidR="00C03B2E" w:rsidRPr="00744DCA">
        <w:rPr>
          <w:noProof/>
        </w:rPr>
        <w:t>6</w:t>
      </w:r>
      <w:r w:rsidR="000F7019" w:rsidRPr="00744DCA" w:rsidDel="00C2671B">
        <w:rPr>
          <w:noProof/>
        </w:rPr>
        <w:t xml:space="preserve"> </w:t>
      </w:r>
      <w:r w:rsidRPr="00744DCA">
        <w:rPr>
          <w:noProof/>
        </w:rPr>
        <w:t>in relation to defence products, in accordance with the conditions defined therein.</w:t>
      </w:r>
    </w:p>
    <w:p w14:paraId="11554105" w14:textId="77777777" w:rsidR="00CB5EDF" w:rsidRPr="00744DCA" w:rsidRDefault="00CB5EDF" w:rsidP="00CB5EDF">
      <w:pPr>
        <w:pStyle w:val="Titrearticle"/>
        <w:rPr>
          <w:noProof/>
        </w:rPr>
      </w:pPr>
      <w:bookmarkStart w:id="7" w:name="_Hlk156242530"/>
      <w:r w:rsidRPr="00744DCA">
        <w:rPr>
          <w:noProof/>
        </w:rPr>
        <w:t xml:space="preserve">Article </w:t>
      </w:r>
      <w:r w:rsidR="00D048CC" w:rsidRPr="00744DCA">
        <w:rPr>
          <w:noProof/>
        </w:rPr>
        <w:t>50</w:t>
      </w:r>
    </w:p>
    <w:p w14:paraId="0EAC2A25" w14:textId="77777777" w:rsidR="00CB5EDF" w:rsidRPr="00744DCA" w:rsidRDefault="00CB5EDF" w:rsidP="00CB5EDF">
      <w:pPr>
        <w:pStyle w:val="Titrearticle"/>
        <w:rPr>
          <w:b/>
          <w:i w:val="0"/>
          <w:noProof/>
        </w:rPr>
      </w:pPr>
      <w:r w:rsidRPr="00744DCA">
        <w:rPr>
          <w:b/>
          <w:i w:val="0"/>
          <w:noProof/>
        </w:rPr>
        <w:t>Prioritisation of defence products (Priority Rated Requests)</w:t>
      </w:r>
    </w:p>
    <w:bookmarkEnd w:id="7"/>
    <w:p w14:paraId="7DD9924C" w14:textId="77777777" w:rsidR="00CB5EDF" w:rsidRPr="00744DCA" w:rsidRDefault="00CB5EDF" w:rsidP="00B2056B">
      <w:pPr>
        <w:pStyle w:val="ManualNumPar1"/>
        <w:rPr>
          <w:noProof/>
        </w:rPr>
      </w:pPr>
      <w:r>
        <w:rPr>
          <w:noProof/>
        </w:rPr>
        <w:t>1.</w:t>
      </w:r>
      <w:r>
        <w:rPr>
          <w:noProof/>
        </w:rPr>
        <w:tab/>
      </w:r>
      <w:r w:rsidRPr="00744DCA">
        <w:rPr>
          <w:noProof/>
        </w:rPr>
        <w:t xml:space="preserve">Where </w:t>
      </w:r>
      <w:r w:rsidR="00E53638" w:rsidRPr="00744DCA">
        <w:rPr>
          <w:noProof/>
        </w:rPr>
        <w:t xml:space="preserve">the Council activates this </w:t>
      </w:r>
      <w:r w:rsidRPr="00744DCA">
        <w:rPr>
          <w:noProof/>
        </w:rPr>
        <w:t xml:space="preserve">measure </w:t>
      </w:r>
      <w:r w:rsidR="00E53638" w:rsidRPr="00744DCA">
        <w:rPr>
          <w:noProof/>
        </w:rPr>
        <w:t>in accordance with Article 48(4)</w:t>
      </w:r>
      <w:r w:rsidRPr="00744DCA">
        <w:rPr>
          <w:noProof/>
        </w:rPr>
        <w:t>, a Member State, which faces or may face severe difficulties either in the placing of an order or in the execution of a contract for the supply of defence products due to shortages or serious risks of shortages of crisis-relevant products</w:t>
      </w:r>
      <w:r w:rsidRPr="00744DCA">
        <w:rPr>
          <w:noProof/>
          <w:color w:val="333333"/>
          <w:sz w:val="27"/>
          <w:szCs w:val="27"/>
          <w:shd w:val="clear" w:color="auto" w:fill="FFFFFF"/>
        </w:rPr>
        <w:t xml:space="preserve"> </w:t>
      </w:r>
      <w:r w:rsidRPr="00744DCA">
        <w:rPr>
          <w:noProof/>
        </w:rPr>
        <w:t xml:space="preserve">and these difficulties may undermine the security of the Union and of its Member States, may </w:t>
      </w:r>
      <w:r w:rsidRPr="00744DCA">
        <w:rPr>
          <w:noProof/>
          <w:lang w:val="en-IE"/>
        </w:rPr>
        <w:t>ask</w:t>
      </w:r>
      <w:r w:rsidRPr="00744DCA">
        <w:rPr>
          <w:noProof/>
        </w:rPr>
        <w:t xml:space="preserve"> the Commission to require an undertaking to accept, or to prioritise </w:t>
      </w:r>
      <w:r w:rsidRPr="00744DCA">
        <w:rPr>
          <w:noProof/>
          <w:lang w:val="en-IE"/>
        </w:rPr>
        <w:t xml:space="preserve">certain </w:t>
      </w:r>
      <w:r w:rsidR="00226A92" w:rsidRPr="00744DCA">
        <w:rPr>
          <w:noProof/>
          <w:lang w:val="en-IE"/>
        </w:rPr>
        <w:t xml:space="preserve">orders </w:t>
      </w:r>
      <w:r w:rsidRPr="00744DCA">
        <w:rPr>
          <w:noProof/>
        </w:rPr>
        <w:t xml:space="preserve">of crisis-relevant products (‘priority rated </w:t>
      </w:r>
      <w:r w:rsidRPr="00744DCA">
        <w:rPr>
          <w:noProof/>
          <w:lang w:val="en-IE"/>
        </w:rPr>
        <w:t>requests</w:t>
      </w:r>
      <w:r w:rsidRPr="00744DCA">
        <w:rPr>
          <w:noProof/>
        </w:rPr>
        <w:t>’)</w:t>
      </w:r>
      <w:r w:rsidRPr="00744DCA">
        <w:rPr>
          <w:noProof/>
          <w:lang w:val="en-IE"/>
        </w:rPr>
        <w:t>. These requests may only concern defence products.</w:t>
      </w:r>
    </w:p>
    <w:p w14:paraId="1ECE6B0B" w14:textId="77777777" w:rsidR="00CB5EDF" w:rsidRPr="00744DCA" w:rsidRDefault="00CB5EDF" w:rsidP="00CB5EDF">
      <w:pPr>
        <w:pStyle w:val="ManualNumPar1"/>
        <w:rPr>
          <w:noProof/>
          <w:lang w:val="en-IE"/>
        </w:rPr>
      </w:pPr>
      <w:r>
        <w:rPr>
          <w:noProof/>
        </w:rPr>
        <w:t>2.</w:t>
      </w:r>
      <w:r>
        <w:rPr>
          <w:noProof/>
        </w:rPr>
        <w:tab/>
      </w:r>
      <w:r w:rsidRPr="00744DCA">
        <w:rPr>
          <w:noProof/>
        </w:rPr>
        <w:t xml:space="preserve">Upon </w:t>
      </w:r>
      <w:r w:rsidR="00E53638" w:rsidRPr="00744DCA">
        <w:rPr>
          <w:noProof/>
        </w:rPr>
        <w:t xml:space="preserve">a </w:t>
      </w:r>
      <w:r w:rsidRPr="00744DCA">
        <w:rPr>
          <w:noProof/>
        </w:rPr>
        <w:t>request</w:t>
      </w:r>
      <w:r w:rsidR="00E53638" w:rsidRPr="00744DCA">
        <w:rPr>
          <w:noProof/>
        </w:rPr>
        <w:t xml:space="preserve"> referred to in paragraph 1</w:t>
      </w:r>
      <w:r w:rsidRPr="00744DCA">
        <w:rPr>
          <w:noProof/>
        </w:rPr>
        <w:t xml:space="preserve">, the Commission may, after the consultation of the Member State of establishment of the concerned undertaking and with its </w:t>
      </w:r>
      <w:r w:rsidRPr="00744DCA">
        <w:rPr>
          <w:noProof/>
          <w:lang w:val="en-IE"/>
        </w:rPr>
        <w:t xml:space="preserve">prior </w:t>
      </w:r>
      <w:r w:rsidRPr="00744DCA">
        <w:rPr>
          <w:noProof/>
        </w:rPr>
        <w:t xml:space="preserve">agreement, </w:t>
      </w:r>
      <w:r w:rsidRPr="00744DCA">
        <w:rPr>
          <w:noProof/>
          <w:lang w:val="en-IE"/>
        </w:rPr>
        <w:t xml:space="preserve">require </w:t>
      </w:r>
      <w:r w:rsidRPr="00744DCA">
        <w:rPr>
          <w:noProof/>
        </w:rPr>
        <w:t>the latter to accept</w:t>
      </w:r>
      <w:r w:rsidR="00600306" w:rsidRPr="00744DCA">
        <w:rPr>
          <w:noProof/>
        </w:rPr>
        <w:t xml:space="preserve"> </w:t>
      </w:r>
      <w:r w:rsidRPr="00744DCA">
        <w:rPr>
          <w:noProof/>
          <w:lang w:val="en-IE"/>
        </w:rPr>
        <w:t>the priority rated requests</w:t>
      </w:r>
      <w:r w:rsidRPr="00744DCA">
        <w:rPr>
          <w:noProof/>
        </w:rPr>
        <w:t>.</w:t>
      </w:r>
      <w:r w:rsidRPr="00744DCA">
        <w:rPr>
          <w:noProof/>
          <w:lang w:val="en-IE"/>
        </w:rPr>
        <w:t xml:space="preserve"> The Commission’s request shall explicitly indicate that the economic operator remains free to refuse the request.</w:t>
      </w:r>
    </w:p>
    <w:p w14:paraId="6FED3B2B" w14:textId="77777777" w:rsidR="00CB5EDF" w:rsidRPr="00744DCA" w:rsidRDefault="00CB5EDF" w:rsidP="00CB5EDF">
      <w:pPr>
        <w:pStyle w:val="ManualNumPar1"/>
        <w:rPr>
          <w:noProof/>
          <w:lang w:val="en-US"/>
        </w:rPr>
      </w:pPr>
      <w:r>
        <w:rPr>
          <w:noProof/>
        </w:rPr>
        <w:t>3.</w:t>
      </w:r>
      <w:r>
        <w:rPr>
          <w:noProof/>
        </w:rPr>
        <w:tab/>
      </w:r>
      <w:r w:rsidRPr="00744DCA">
        <w:rPr>
          <w:noProof/>
          <w:lang w:val="en-US"/>
        </w:rPr>
        <w:t>Where the undertaking to which the request referred to in paragraph 1 is addressed has expressly accepted the request to prioritise the requests, the Commission shall</w:t>
      </w:r>
      <w:r w:rsidRPr="00744DCA">
        <w:rPr>
          <w:noProof/>
        </w:rPr>
        <w:t xml:space="preserve">, after the consultation of the Member State of establishment of the concerned undertaking and with its </w:t>
      </w:r>
      <w:r w:rsidRPr="00744DCA">
        <w:rPr>
          <w:noProof/>
          <w:lang w:val="en-IE"/>
        </w:rPr>
        <w:t xml:space="preserve">prior </w:t>
      </w:r>
      <w:r w:rsidRPr="00744DCA">
        <w:rPr>
          <w:noProof/>
        </w:rPr>
        <w:t>agreement,</w:t>
      </w:r>
      <w:r w:rsidRPr="00744DCA">
        <w:rPr>
          <w:noProof/>
          <w:lang w:val="en-US"/>
        </w:rPr>
        <w:t xml:space="preserve"> adopt an implementing act providing for:</w:t>
      </w:r>
    </w:p>
    <w:p w14:paraId="7B03C6F8" w14:textId="77777777" w:rsidR="00CB5EDF" w:rsidRPr="00744DCA" w:rsidRDefault="00CB5EDF" w:rsidP="00B2056B">
      <w:pPr>
        <w:pStyle w:val="Point1"/>
        <w:rPr>
          <w:noProof/>
          <w:lang w:val="en-US"/>
        </w:rPr>
      </w:pPr>
      <w:r>
        <w:rPr>
          <w:noProof/>
        </w:rPr>
        <w:t>(a)</w:t>
      </w:r>
      <w:r>
        <w:rPr>
          <w:noProof/>
        </w:rPr>
        <w:tab/>
      </w:r>
      <w:r w:rsidRPr="00744DCA">
        <w:rPr>
          <w:noProof/>
          <w:lang w:val="en-US"/>
        </w:rPr>
        <w:t>the legal basis of the priority rated requests which has to be complied with by the undertaking;</w:t>
      </w:r>
    </w:p>
    <w:p w14:paraId="5AF51D17" w14:textId="77777777" w:rsidR="00CB5EDF" w:rsidRPr="00744DCA" w:rsidRDefault="00CB5EDF" w:rsidP="00B2056B">
      <w:pPr>
        <w:pStyle w:val="Point1"/>
        <w:rPr>
          <w:noProof/>
          <w:lang w:val="en-US"/>
        </w:rPr>
      </w:pPr>
      <w:r>
        <w:rPr>
          <w:noProof/>
        </w:rPr>
        <w:t>(b)</w:t>
      </w:r>
      <w:r>
        <w:rPr>
          <w:noProof/>
        </w:rPr>
        <w:tab/>
      </w:r>
      <w:r w:rsidRPr="00744DCA">
        <w:rPr>
          <w:noProof/>
          <w:lang w:val="en-US"/>
        </w:rPr>
        <w:t xml:space="preserve">the crisis-relevant products </w:t>
      </w:r>
      <w:r w:rsidRPr="00744DCA">
        <w:rPr>
          <w:iCs/>
          <w:noProof/>
          <w:lang w:val="en-US"/>
        </w:rPr>
        <w:t xml:space="preserve">subject to the priority rated request </w:t>
      </w:r>
      <w:r w:rsidRPr="00744DCA">
        <w:rPr>
          <w:noProof/>
          <w:lang w:val="en-US"/>
        </w:rPr>
        <w:t xml:space="preserve">and quantity </w:t>
      </w:r>
      <w:r w:rsidRPr="00744DCA">
        <w:rPr>
          <w:iCs/>
          <w:noProof/>
          <w:lang w:val="en-US"/>
        </w:rPr>
        <w:t>in which they are to be supplied</w:t>
      </w:r>
      <w:r w:rsidRPr="00744DCA">
        <w:rPr>
          <w:noProof/>
          <w:lang w:val="en-US"/>
        </w:rPr>
        <w:t>;</w:t>
      </w:r>
    </w:p>
    <w:p w14:paraId="0869E515" w14:textId="77777777" w:rsidR="00CB5EDF" w:rsidRPr="00744DCA" w:rsidRDefault="00CB5EDF" w:rsidP="00B2056B">
      <w:pPr>
        <w:pStyle w:val="Point1"/>
        <w:rPr>
          <w:noProof/>
          <w:lang w:val="en-US"/>
        </w:rPr>
      </w:pPr>
      <w:r>
        <w:rPr>
          <w:noProof/>
        </w:rPr>
        <w:t>(c)</w:t>
      </w:r>
      <w:r>
        <w:rPr>
          <w:noProof/>
        </w:rPr>
        <w:tab/>
      </w:r>
      <w:r w:rsidRPr="00744DCA">
        <w:rPr>
          <w:noProof/>
          <w:lang w:val="en-US"/>
        </w:rPr>
        <w:t xml:space="preserve">the time limits within which the priority rated request is to be </w:t>
      </w:r>
      <w:r w:rsidRPr="00744DCA">
        <w:rPr>
          <w:iCs/>
          <w:noProof/>
          <w:lang w:val="en-US"/>
        </w:rPr>
        <w:t>completed;</w:t>
      </w:r>
    </w:p>
    <w:p w14:paraId="6186156B" w14:textId="77777777" w:rsidR="00CB5EDF" w:rsidRPr="00744DCA" w:rsidRDefault="00CB5EDF" w:rsidP="00B2056B">
      <w:pPr>
        <w:pStyle w:val="Point1"/>
        <w:rPr>
          <w:noProof/>
          <w:lang w:val="en-US"/>
        </w:rPr>
      </w:pPr>
      <w:r>
        <w:rPr>
          <w:noProof/>
        </w:rPr>
        <w:t>(d)</w:t>
      </w:r>
      <w:r>
        <w:rPr>
          <w:noProof/>
        </w:rPr>
        <w:tab/>
      </w:r>
      <w:r w:rsidRPr="00744DCA">
        <w:rPr>
          <w:noProof/>
          <w:lang w:val="en-US"/>
        </w:rPr>
        <w:t>the beneficiaries of the priority rated request, and</w:t>
      </w:r>
    </w:p>
    <w:p w14:paraId="6FF08BF3" w14:textId="77777777" w:rsidR="00CB5EDF" w:rsidRPr="00744DCA" w:rsidRDefault="00CB5EDF" w:rsidP="00B2056B">
      <w:pPr>
        <w:pStyle w:val="Point1"/>
        <w:rPr>
          <w:noProof/>
          <w:lang w:val="en-US"/>
        </w:rPr>
      </w:pPr>
      <w:r>
        <w:rPr>
          <w:noProof/>
        </w:rPr>
        <w:t>(e)</w:t>
      </w:r>
      <w:r>
        <w:rPr>
          <w:noProof/>
        </w:rPr>
        <w:tab/>
      </w:r>
      <w:r w:rsidRPr="00744DCA">
        <w:rPr>
          <w:noProof/>
          <w:lang w:val="en-US"/>
        </w:rPr>
        <w:t>the waiver of contractual liability under the conditions laid down in paragraph 5.</w:t>
      </w:r>
    </w:p>
    <w:p w14:paraId="7A35E08F" w14:textId="77777777" w:rsidR="00CB5EDF" w:rsidRPr="00744DCA" w:rsidRDefault="00CB5EDF" w:rsidP="00CB5EDF">
      <w:pPr>
        <w:pStyle w:val="ManualNumPar1"/>
        <w:rPr>
          <w:noProof/>
          <w:lang w:val="en-US"/>
        </w:rPr>
      </w:pPr>
      <w:r>
        <w:rPr>
          <w:noProof/>
        </w:rPr>
        <w:t>4.</w:t>
      </w:r>
      <w:r>
        <w:rPr>
          <w:noProof/>
        </w:rPr>
        <w:tab/>
      </w:r>
      <w:r w:rsidRPr="00744DCA">
        <w:rPr>
          <w:noProof/>
          <w:lang w:val="en-US"/>
        </w:rPr>
        <w:t>The priority rated requests shall be placed at a fair and reasonable price adequately taking into account the economic operator’s opportunity costs when fulfilling the priority rated requests vis-à-vis existing contractual obligations. The priority rated requests shall take precedence over any prior private or public contractual obligation related to the products subject to the priority rated request under private or public law.</w:t>
      </w:r>
    </w:p>
    <w:p w14:paraId="7FF4D4BE" w14:textId="77777777" w:rsidR="00CB5EDF" w:rsidRPr="00744DCA" w:rsidRDefault="00CB5EDF" w:rsidP="00CB5EDF">
      <w:pPr>
        <w:pStyle w:val="ManualNumPar1"/>
        <w:rPr>
          <w:noProof/>
          <w:lang w:val="en-US"/>
        </w:rPr>
      </w:pPr>
      <w:r>
        <w:rPr>
          <w:noProof/>
        </w:rPr>
        <w:t>5.</w:t>
      </w:r>
      <w:r>
        <w:rPr>
          <w:noProof/>
        </w:rPr>
        <w:tab/>
      </w:r>
      <w:r w:rsidRPr="00744DCA">
        <w:rPr>
          <w:noProof/>
          <w:lang w:val="en-US"/>
        </w:rPr>
        <w:t xml:space="preserve">The economic operator subject to that priority-rated request shall not be liable for any breach of contractual obligation that is governed by the law of a Member State, </w:t>
      </w:r>
      <w:r w:rsidR="00473A4E" w:rsidRPr="00744DCA">
        <w:rPr>
          <w:noProof/>
          <w:lang w:val="en-US"/>
        </w:rPr>
        <w:t>where</w:t>
      </w:r>
      <w:r w:rsidRPr="00744DCA">
        <w:rPr>
          <w:noProof/>
          <w:lang w:val="en-US"/>
        </w:rPr>
        <w:t>:</w:t>
      </w:r>
    </w:p>
    <w:p w14:paraId="6E927488" w14:textId="77777777" w:rsidR="00CB5EDF" w:rsidRPr="00744DCA" w:rsidRDefault="00CB5EDF" w:rsidP="00B2056B">
      <w:pPr>
        <w:pStyle w:val="Point1"/>
        <w:rPr>
          <w:noProof/>
          <w:lang w:val="en-US"/>
        </w:rPr>
      </w:pPr>
      <w:r>
        <w:rPr>
          <w:noProof/>
        </w:rPr>
        <w:t>(a)</w:t>
      </w:r>
      <w:r>
        <w:rPr>
          <w:noProof/>
        </w:rPr>
        <w:tab/>
      </w:r>
      <w:r w:rsidRPr="00744DCA">
        <w:rPr>
          <w:noProof/>
          <w:lang w:val="en-US"/>
        </w:rPr>
        <w:t>the breach of contractual obligations is strictly necessary for compliance with the required prioritization,</w:t>
      </w:r>
    </w:p>
    <w:p w14:paraId="038D7AD3" w14:textId="77777777" w:rsidR="00CB5EDF" w:rsidRPr="00744DCA" w:rsidRDefault="00CB5EDF" w:rsidP="00B2056B">
      <w:pPr>
        <w:pStyle w:val="Point1"/>
        <w:rPr>
          <w:noProof/>
          <w:lang w:val="en-US"/>
        </w:rPr>
      </w:pPr>
      <w:r>
        <w:rPr>
          <w:noProof/>
        </w:rPr>
        <w:t>(b)</w:t>
      </w:r>
      <w:r>
        <w:rPr>
          <w:noProof/>
        </w:rPr>
        <w:tab/>
      </w:r>
      <w:r w:rsidRPr="00744DCA">
        <w:rPr>
          <w:noProof/>
          <w:lang w:val="en-US"/>
        </w:rPr>
        <w:t>the implementing act referred to in paragraph 3 has been complied with and</w:t>
      </w:r>
    </w:p>
    <w:p w14:paraId="65AD960A" w14:textId="77777777" w:rsidR="00CB5EDF" w:rsidRPr="00744DCA" w:rsidRDefault="00CB5EDF" w:rsidP="00B2056B">
      <w:pPr>
        <w:pStyle w:val="Point1"/>
        <w:rPr>
          <w:noProof/>
          <w:lang w:val="en-US"/>
        </w:rPr>
      </w:pPr>
      <w:r>
        <w:rPr>
          <w:noProof/>
        </w:rPr>
        <w:t>(c)</w:t>
      </w:r>
      <w:r>
        <w:rPr>
          <w:noProof/>
        </w:rPr>
        <w:tab/>
      </w:r>
      <w:r w:rsidRPr="00744DCA">
        <w:rPr>
          <w:noProof/>
          <w:lang w:val="en-US"/>
        </w:rPr>
        <w:t>the acceptance of the priority rated request was not solely made with a view to unduly avoiding a prior performance obligation.</w:t>
      </w:r>
    </w:p>
    <w:p w14:paraId="4F61EFF9" w14:textId="77777777" w:rsidR="00CB5EDF" w:rsidRPr="00744DCA" w:rsidRDefault="00CB5EDF" w:rsidP="00CB5EDF">
      <w:pPr>
        <w:pStyle w:val="ManualNumPar1"/>
        <w:rPr>
          <w:noProof/>
          <w:lang w:val="en-US"/>
        </w:rPr>
      </w:pPr>
      <w:r>
        <w:rPr>
          <w:noProof/>
        </w:rPr>
        <w:t>6.</w:t>
      </w:r>
      <w:r>
        <w:rPr>
          <w:noProof/>
        </w:rPr>
        <w:tab/>
      </w:r>
      <w:r w:rsidRPr="00744DCA">
        <w:rPr>
          <w:noProof/>
          <w:lang w:val="en-US"/>
        </w:rPr>
        <w:t xml:space="preserve">Where an economic operator, after having expressly accepted to prioritise the orders requested by the Commission, intentionally or through gross negligence, does not comply with the obligation to prioritise those orders, </w:t>
      </w:r>
      <w:r w:rsidRPr="00744DCA">
        <w:rPr>
          <w:noProof/>
        </w:rPr>
        <w:t xml:space="preserve">it shall be subject to fines set in accordance with Article </w:t>
      </w:r>
      <w:r w:rsidR="006864C9" w:rsidRPr="00744DCA">
        <w:rPr>
          <w:noProof/>
        </w:rPr>
        <w:t>5</w:t>
      </w:r>
      <w:r w:rsidR="002B75E5" w:rsidRPr="00744DCA">
        <w:rPr>
          <w:noProof/>
        </w:rPr>
        <w:t>5</w:t>
      </w:r>
      <w:r w:rsidRPr="00744DCA">
        <w:rPr>
          <w:noProof/>
        </w:rPr>
        <w:t>, except where the undertaking has sufficient reasons for not complying with the obligation to prioritise those orders.</w:t>
      </w:r>
      <w:r w:rsidRPr="00744DCA">
        <w:rPr>
          <w:noProof/>
          <w:lang w:val="en-US"/>
        </w:rPr>
        <w:t xml:space="preserve"> </w:t>
      </w:r>
    </w:p>
    <w:p w14:paraId="7B400456" w14:textId="77777777" w:rsidR="00CB5EDF" w:rsidRPr="00744DCA" w:rsidRDefault="00CB5EDF" w:rsidP="00CB5EDF">
      <w:pPr>
        <w:pStyle w:val="ManualNumPar1"/>
        <w:rPr>
          <w:noProof/>
        </w:rPr>
      </w:pPr>
      <w:r>
        <w:rPr>
          <w:noProof/>
        </w:rPr>
        <w:t>7.</w:t>
      </w:r>
      <w:r>
        <w:rPr>
          <w:noProof/>
        </w:rPr>
        <w:tab/>
      </w:r>
      <w:r w:rsidRPr="00744DCA">
        <w:rPr>
          <w:noProof/>
        </w:rPr>
        <w:t xml:space="preserve">This Article shall be without prejudice to the use of national mechanisms or initiatives </w:t>
      </w:r>
      <w:r w:rsidR="00004A42" w:rsidRPr="00744DCA">
        <w:rPr>
          <w:noProof/>
        </w:rPr>
        <w:t xml:space="preserve">having </w:t>
      </w:r>
      <w:r w:rsidRPr="00744DCA">
        <w:rPr>
          <w:noProof/>
        </w:rPr>
        <w:t>an equivalent effect.</w:t>
      </w:r>
    </w:p>
    <w:p w14:paraId="61F3521F" w14:textId="77777777" w:rsidR="00CB5EDF" w:rsidRPr="00744DCA" w:rsidRDefault="00CB5EDF" w:rsidP="00CB5EDF">
      <w:pPr>
        <w:pStyle w:val="ManualNumPar1"/>
        <w:rPr>
          <w:noProof/>
        </w:rPr>
      </w:pPr>
      <w:r>
        <w:rPr>
          <w:noProof/>
        </w:rPr>
        <w:t>8.</w:t>
      </w:r>
      <w:r>
        <w:rPr>
          <w:noProof/>
        </w:rPr>
        <w:tab/>
      </w:r>
      <w:r w:rsidRPr="00744DCA">
        <w:rPr>
          <w:noProof/>
        </w:rPr>
        <w:t xml:space="preserve">When an undertaking established in the Union is subject to a measure of a third country which entails a priority rated </w:t>
      </w:r>
      <w:r w:rsidRPr="00744DCA">
        <w:rPr>
          <w:noProof/>
          <w:lang w:val="en-IE"/>
        </w:rPr>
        <w:t>request</w:t>
      </w:r>
      <w:r w:rsidRPr="00744DCA">
        <w:rPr>
          <w:noProof/>
        </w:rPr>
        <w:t>, it shall notify the Commission thereof. The Commission shall then inform the Committee of the existence of such measures.</w:t>
      </w:r>
    </w:p>
    <w:p w14:paraId="4EA26B44" w14:textId="77777777" w:rsidR="00CB5EDF" w:rsidRPr="00744DCA" w:rsidRDefault="00CB5EDF" w:rsidP="00CB5EDF">
      <w:pPr>
        <w:pStyle w:val="ManualNumPar1"/>
        <w:rPr>
          <w:noProof/>
        </w:rPr>
      </w:pPr>
      <w:r>
        <w:rPr>
          <w:noProof/>
        </w:rPr>
        <w:t>9.</w:t>
      </w:r>
      <w:r>
        <w:rPr>
          <w:noProof/>
        </w:rPr>
        <w:tab/>
      </w:r>
      <w:r w:rsidRPr="00744DCA">
        <w:rPr>
          <w:noProof/>
          <w:lang w:val="en-US"/>
        </w:rPr>
        <w:t xml:space="preserve">The implementing act referred to in paragraph 3 shall be adopted in accordance with the examination procedure referred to in Article </w:t>
      </w:r>
      <w:r w:rsidR="00154F98" w:rsidRPr="00744DCA">
        <w:rPr>
          <w:noProof/>
          <w:lang w:val="en-US"/>
        </w:rPr>
        <w:t>5</w:t>
      </w:r>
      <w:r w:rsidR="002B75E5" w:rsidRPr="00744DCA">
        <w:rPr>
          <w:noProof/>
          <w:lang w:val="en-US"/>
        </w:rPr>
        <w:t>8</w:t>
      </w:r>
      <w:r w:rsidRPr="00744DCA">
        <w:rPr>
          <w:noProof/>
          <w:lang w:val="en-US"/>
        </w:rPr>
        <w:t>(3).</w:t>
      </w:r>
    </w:p>
    <w:p w14:paraId="47FA0125" w14:textId="77777777" w:rsidR="00CB5EDF" w:rsidRPr="00744DCA" w:rsidRDefault="00CB5EDF" w:rsidP="00CB5EDF">
      <w:pPr>
        <w:pStyle w:val="Titrearticle"/>
        <w:rPr>
          <w:noProof/>
        </w:rPr>
      </w:pPr>
      <w:r w:rsidRPr="00744DCA">
        <w:rPr>
          <w:noProof/>
        </w:rPr>
        <w:t xml:space="preserve">Article </w:t>
      </w:r>
      <w:r w:rsidR="00C0301B" w:rsidRPr="00744DCA">
        <w:rPr>
          <w:noProof/>
        </w:rPr>
        <w:t>5</w:t>
      </w:r>
      <w:r w:rsidR="00D048CC" w:rsidRPr="00744DCA">
        <w:rPr>
          <w:noProof/>
        </w:rPr>
        <w:t>1</w:t>
      </w:r>
    </w:p>
    <w:p w14:paraId="5D0AC26E" w14:textId="77777777" w:rsidR="00CB5EDF" w:rsidRPr="00744DCA" w:rsidRDefault="00CB5EDF" w:rsidP="00CB5EDF">
      <w:pPr>
        <w:pStyle w:val="Titrearticle"/>
        <w:rPr>
          <w:b/>
          <w:i w:val="0"/>
          <w:noProof/>
        </w:rPr>
      </w:pPr>
      <w:r w:rsidRPr="00744DCA">
        <w:rPr>
          <w:b/>
          <w:i w:val="0"/>
          <w:noProof/>
        </w:rPr>
        <w:t>Intra-EU transfers of defence products</w:t>
      </w:r>
    </w:p>
    <w:p w14:paraId="00D1D593" w14:textId="77777777" w:rsidR="00CB5EDF" w:rsidRPr="00744DCA" w:rsidRDefault="002B75E5" w:rsidP="00B2056B">
      <w:pPr>
        <w:pStyle w:val="ManualNumPar1"/>
        <w:rPr>
          <w:noProof/>
        </w:rPr>
      </w:pPr>
      <w:r>
        <w:rPr>
          <w:noProof/>
        </w:rPr>
        <w:t>1.</w:t>
      </w:r>
      <w:r>
        <w:rPr>
          <w:noProof/>
        </w:rPr>
        <w:tab/>
      </w:r>
      <w:r w:rsidRPr="00744DCA">
        <w:rPr>
          <w:noProof/>
        </w:rPr>
        <w:t>Where the Council activates this measure in accordance with Article 48(4)</w:t>
      </w:r>
      <w:r w:rsidR="00CB5EDF" w:rsidRPr="00744DCA">
        <w:rPr>
          <w:noProof/>
        </w:rPr>
        <w:t xml:space="preserve"> and without prejudice to Directive 2009/43/EC and Member States</w:t>
      </w:r>
      <w:r w:rsidR="002C3182" w:rsidRPr="00744DCA">
        <w:rPr>
          <w:noProof/>
        </w:rPr>
        <w:t>’</w:t>
      </w:r>
      <w:r w:rsidR="00CB5EDF" w:rsidRPr="00744DCA">
        <w:rPr>
          <w:noProof/>
        </w:rPr>
        <w:t xml:space="preserve"> prerogatives under th</w:t>
      </w:r>
      <w:r w:rsidR="002C3182" w:rsidRPr="00744DCA">
        <w:rPr>
          <w:noProof/>
        </w:rPr>
        <w:t>at</w:t>
      </w:r>
      <w:r w:rsidR="00CB5EDF" w:rsidRPr="00744DCA">
        <w:rPr>
          <w:noProof/>
        </w:rPr>
        <w:t xml:space="preserve"> Directive, Member States shall ensure that applications related to intra-EU transfers are processed in an efficient and timely manner. To that end, all national authorities concerned shall ensure that the treatment of an application does not exceed 2 working days. </w:t>
      </w:r>
    </w:p>
    <w:p w14:paraId="0CFB1331" w14:textId="77777777" w:rsidR="00CB5EDF" w:rsidRPr="00744DCA" w:rsidRDefault="00CB5EDF" w:rsidP="00CB5EDF">
      <w:pPr>
        <w:pStyle w:val="ManualNumPar1"/>
        <w:rPr>
          <w:noProof/>
        </w:rPr>
      </w:pPr>
      <w:r>
        <w:rPr>
          <w:noProof/>
        </w:rPr>
        <w:t>2.</w:t>
      </w:r>
      <w:r>
        <w:rPr>
          <w:noProof/>
        </w:rPr>
        <w:tab/>
      </w:r>
      <w:r w:rsidRPr="00744DCA">
        <w:rPr>
          <w:noProof/>
        </w:rPr>
        <w:t>Transfers of crisis-relevant products cannot be considered as sensitive within the meaning of article 4, paragraph 8 of Directive 2009/43/EC.</w:t>
      </w:r>
    </w:p>
    <w:p w14:paraId="171BE76A" w14:textId="77777777" w:rsidR="00CB5EDF" w:rsidRPr="00744DCA" w:rsidRDefault="00CB5EDF" w:rsidP="00CB5EDF">
      <w:pPr>
        <w:pStyle w:val="ManualNumPar1"/>
        <w:rPr>
          <w:noProof/>
        </w:rPr>
      </w:pPr>
      <w:r>
        <w:rPr>
          <w:noProof/>
        </w:rPr>
        <w:t>3.</w:t>
      </w:r>
      <w:r>
        <w:rPr>
          <w:noProof/>
        </w:rPr>
        <w:tab/>
      </w:r>
      <w:r w:rsidRPr="00744DCA">
        <w:rPr>
          <w:noProof/>
        </w:rPr>
        <w:t xml:space="preserve">Member States shall refrain from imposing restrictions to the transfer of defence-related products as defined in Article 2 of Directive 2009/43/EC within the Union. Where Member States impose such restrictions on grounds of security or defence, it </w:t>
      </w:r>
      <w:r w:rsidR="002C3182" w:rsidRPr="00744DCA">
        <w:rPr>
          <w:noProof/>
        </w:rPr>
        <w:t xml:space="preserve">shall </w:t>
      </w:r>
      <w:r w:rsidRPr="00744DCA">
        <w:rPr>
          <w:noProof/>
        </w:rPr>
        <w:t>be done only if those restrictions are:</w:t>
      </w:r>
    </w:p>
    <w:p w14:paraId="24899DB8" w14:textId="77777777" w:rsidR="00CB5EDF" w:rsidRPr="00744DCA" w:rsidRDefault="00473A4E" w:rsidP="00B2056B">
      <w:pPr>
        <w:pStyle w:val="Point1"/>
        <w:rPr>
          <w:noProof/>
        </w:rPr>
      </w:pPr>
      <w:r>
        <w:rPr>
          <w:noProof/>
        </w:rPr>
        <w:t>(a)</w:t>
      </w:r>
      <w:r>
        <w:rPr>
          <w:noProof/>
        </w:rPr>
        <w:tab/>
      </w:r>
      <w:r w:rsidRPr="00744DCA">
        <w:rPr>
          <w:noProof/>
        </w:rPr>
        <w:t>t</w:t>
      </w:r>
      <w:r w:rsidR="00CB5EDF" w:rsidRPr="00744DCA">
        <w:rPr>
          <w:noProof/>
        </w:rPr>
        <w:t>ransparent, i.e. enshrined in public statements/documents;</w:t>
      </w:r>
    </w:p>
    <w:p w14:paraId="4E74739F" w14:textId="77777777" w:rsidR="00CB5EDF" w:rsidRPr="00744DCA" w:rsidRDefault="00473A4E" w:rsidP="00CB5EDF">
      <w:pPr>
        <w:pStyle w:val="Point1"/>
        <w:rPr>
          <w:noProof/>
        </w:rPr>
      </w:pPr>
      <w:r>
        <w:rPr>
          <w:noProof/>
        </w:rPr>
        <w:t>(b)</w:t>
      </w:r>
      <w:r>
        <w:rPr>
          <w:noProof/>
        </w:rPr>
        <w:tab/>
      </w:r>
      <w:r w:rsidRPr="00744DCA">
        <w:rPr>
          <w:noProof/>
        </w:rPr>
        <w:t>d</w:t>
      </w:r>
      <w:r w:rsidR="00CB5EDF" w:rsidRPr="00744DCA">
        <w:rPr>
          <w:noProof/>
        </w:rPr>
        <w:t>uly motivated, i.e. they need to spell out the reasons and the link to security or defence;</w:t>
      </w:r>
    </w:p>
    <w:p w14:paraId="64847FCD" w14:textId="77777777" w:rsidR="00CB5EDF" w:rsidRPr="00744DCA" w:rsidRDefault="00473A4E" w:rsidP="00CB5EDF">
      <w:pPr>
        <w:pStyle w:val="Point1"/>
        <w:rPr>
          <w:noProof/>
        </w:rPr>
      </w:pPr>
      <w:r>
        <w:rPr>
          <w:noProof/>
        </w:rPr>
        <w:t>(c)</w:t>
      </w:r>
      <w:r>
        <w:rPr>
          <w:noProof/>
        </w:rPr>
        <w:tab/>
      </w:r>
      <w:r w:rsidRPr="00744DCA">
        <w:rPr>
          <w:noProof/>
        </w:rPr>
        <w:t>p</w:t>
      </w:r>
      <w:r w:rsidR="00CB5EDF" w:rsidRPr="00744DCA">
        <w:rPr>
          <w:noProof/>
        </w:rPr>
        <w:t>roportionate, i.e. not going beyond what is strictly necessary;</w:t>
      </w:r>
    </w:p>
    <w:p w14:paraId="4A27C652" w14:textId="77777777" w:rsidR="00CB5EDF" w:rsidRPr="00744DCA" w:rsidRDefault="00473A4E" w:rsidP="00CB5EDF">
      <w:pPr>
        <w:pStyle w:val="Point1"/>
        <w:rPr>
          <w:noProof/>
        </w:rPr>
      </w:pPr>
      <w:r>
        <w:rPr>
          <w:noProof/>
        </w:rPr>
        <w:t>(d)</w:t>
      </w:r>
      <w:r>
        <w:rPr>
          <w:noProof/>
        </w:rPr>
        <w:tab/>
      </w:r>
      <w:r w:rsidRPr="00744DCA">
        <w:rPr>
          <w:noProof/>
        </w:rPr>
        <w:t>r</w:t>
      </w:r>
      <w:r w:rsidR="00CB5EDF" w:rsidRPr="00744DCA">
        <w:rPr>
          <w:noProof/>
        </w:rPr>
        <w:t>elevant and specific, i.e. a restriction needs to be specific to a defence-related product or a category of defence-related products;</w:t>
      </w:r>
    </w:p>
    <w:p w14:paraId="72F01260" w14:textId="77777777" w:rsidR="00CB5EDF" w:rsidRPr="00744DCA" w:rsidRDefault="00473A4E" w:rsidP="00CB5EDF">
      <w:pPr>
        <w:pStyle w:val="Point1"/>
        <w:rPr>
          <w:noProof/>
        </w:rPr>
      </w:pPr>
      <w:r>
        <w:rPr>
          <w:noProof/>
        </w:rPr>
        <w:t>(e)</w:t>
      </w:r>
      <w:r>
        <w:rPr>
          <w:noProof/>
        </w:rPr>
        <w:tab/>
      </w:r>
      <w:r w:rsidRPr="00744DCA">
        <w:rPr>
          <w:noProof/>
        </w:rPr>
        <w:t>n</w:t>
      </w:r>
      <w:r w:rsidR="00CB5EDF" w:rsidRPr="00744DCA">
        <w:rPr>
          <w:noProof/>
        </w:rPr>
        <w:t>on-discriminatory.</w:t>
      </w:r>
    </w:p>
    <w:p w14:paraId="7EFDDDDD" w14:textId="77777777" w:rsidR="00CB5EDF" w:rsidRPr="00744DCA" w:rsidRDefault="00CB5EDF" w:rsidP="00CB5EDF">
      <w:pPr>
        <w:pStyle w:val="Titrearticle"/>
        <w:rPr>
          <w:noProof/>
        </w:rPr>
      </w:pPr>
      <w:r w:rsidRPr="00744DCA">
        <w:rPr>
          <w:noProof/>
        </w:rPr>
        <w:t xml:space="preserve">Article </w:t>
      </w:r>
      <w:r w:rsidR="00C0301B" w:rsidRPr="00744DCA">
        <w:rPr>
          <w:noProof/>
        </w:rPr>
        <w:t>5</w:t>
      </w:r>
      <w:r w:rsidR="00D048CC" w:rsidRPr="00744DCA">
        <w:rPr>
          <w:noProof/>
        </w:rPr>
        <w:t>2</w:t>
      </w:r>
    </w:p>
    <w:p w14:paraId="6C356430" w14:textId="77777777" w:rsidR="00CB5EDF" w:rsidRPr="00744DCA" w:rsidRDefault="00CB5EDF" w:rsidP="00CB5EDF">
      <w:pPr>
        <w:pStyle w:val="Titrearticle"/>
        <w:rPr>
          <w:b/>
          <w:i w:val="0"/>
          <w:noProof/>
        </w:rPr>
      </w:pPr>
      <w:r w:rsidRPr="00744DCA">
        <w:rPr>
          <w:b/>
          <w:bCs/>
          <w:i w:val="0"/>
          <w:iCs/>
          <w:noProof/>
        </w:rPr>
        <w:t>Support to emergency defence innovation actions</w:t>
      </w:r>
    </w:p>
    <w:p w14:paraId="57517DD9" w14:textId="77777777" w:rsidR="00CB5EDF" w:rsidRPr="00744DCA" w:rsidRDefault="002B75E5" w:rsidP="00CB5EDF">
      <w:pPr>
        <w:rPr>
          <w:noProof/>
          <w:lang w:val="en-IE"/>
        </w:rPr>
      </w:pPr>
      <w:r w:rsidRPr="00744DCA">
        <w:rPr>
          <w:noProof/>
        </w:rPr>
        <w:t>Where the Council activates</w:t>
      </w:r>
      <w:r w:rsidRPr="00FA1F34">
        <w:rPr>
          <w:noProof/>
        </w:rPr>
        <w:t xml:space="preserve"> this measure </w:t>
      </w:r>
      <w:r w:rsidRPr="00744DCA">
        <w:rPr>
          <w:noProof/>
        </w:rPr>
        <w:t>in accordance with Article 48(4)</w:t>
      </w:r>
      <w:r w:rsidR="00CB5EDF" w:rsidRPr="00744DCA">
        <w:rPr>
          <w:noProof/>
          <w:lang w:val="en-IE"/>
        </w:rPr>
        <w:t>, innovation actions related to one of the following activities shall be deemed eligible under the Programme, provided for in Chapter II:</w:t>
      </w:r>
    </w:p>
    <w:p w14:paraId="6C55C3C6" w14:textId="77777777" w:rsidR="00CB5EDF" w:rsidRPr="00744DCA" w:rsidRDefault="00CB5EDF" w:rsidP="00B2056B">
      <w:pPr>
        <w:pStyle w:val="Point0"/>
        <w:rPr>
          <w:noProof/>
          <w:lang w:val="en-IE"/>
        </w:rPr>
      </w:pPr>
      <w:r>
        <w:rPr>
          <w:noProof/>
        </w:rPr>
        <w:t>(a)</w:t>
      </w:r>
      <w:r>
        <w:rPr>
          <w:noProof/>
        </w:rPr>
        <w:tab/>
      </w:r>
      <w:r w:rsidRPr="00744DCA">
        <w:rPr>
          <w:noProof/>
          <w:lang w:val="en-IE"/>
        </w:rPr>
        <w:t>activities that aim at rapid adaptation and modification of civilian products for defence applications;</w:t>
      </w:r>
    </w:p>
    <w:p w14:paraId="314469E2" w14:textId="77777777" w:rsidR="00CB5EDF" w:rsidRPr="00744DCA" w:rsidRDefault="00CB5EDF" w:rsidP="00B91A8D">
      <w:pPr>
        <w:pStyle w:val="Point0"/>
        <w:rPr>
          <w:noProof/>
          <w:lang w:val="en-IE"/>
        </w:rPr>
      </w:pPr>
      <w:r>
        <w:rPr>
          <w:noProof/>
        </w:rPr>
        <w:t>(b)</w:t>
      </w:r>
      <w:r>
        <w:rPr>
          <w:noProof/>
        </w:rPr>
        <w:tab/>
      </w:r>
      <w:r w:rsidRPr="00744DCA">
        <w:rPr>
          <w:noProof/>
        </w:rPr>
        <w:t>activities that aim at very significantly shortening the delivery lead time of defence products;</w:t>
      </w:r>
    </w:p>
    <w:p w14:paraId="289ECCC2" w14:textId="77777777" w:rsidR="00CB5EDF" w:rsidRPr="00744DCA" w:rsidRDefault="00CB5EDF" w:rsidP="00B91A8D">
      <w:pPr>
        <w:pStyle w:val="Point0"/>
        <w:rPr>
          <w:noProof/>
          <w:lang w:val="en-IE"/>
        </w:rPr>
      </w:pPr>
      <w:r>
        <w:rPr>
          <w:noProof/>
        </w:rPr>
        <w:t>(c)</w:t>
      </w:r>
      <w:r>
        <w:rPr>
          <w:noProof/>
        </w:rPr>
        <w:tab/>
      </w:r>
      <w:r w:rsidRPr="00744DCA">
        <w:rPr>
          <w:noProof/>
        </w:rPr>
        <w:t>activities that aim at significantly simplifying the technical specifications of defence products in order to enable their mass production;</w:t>
      </w:r>
    </w:p>
    <w:p w14:paraId="6F21F728" w14:textId="77777777" w:rsidR="00CB5EDF" w:rsidRPr="00744DCA" w:rsidRDefault="00CB5EDF" w:rsidP="00B91A8D">
      <w:pPr>
        <w:pStyle w:val="Point0"/>
        <w:rPr>
          <w:noProof/>
          <w:lang w:val="en-IE"/>
        </w:rPr>
      </w:pPr>
      <w:r>
        <w:rPr>
          <w:noProof/>
        </w:rPr>
        <w:t>(d)</w:t>
      </w:r>
      <w:r>
        <w:rPr>
          <w:noProof/>
        </w:rPr>
        <w:tab/>
      </w:r>
      <w:r w:rsidRPr="00744DCA">
        <w:rPr>
          <w:noProof/>
        </w:rPr>
        <w:t>activities that aim at significantly simplifying the production process of defence products to enable their mass production.</w:t>
      </w:r>
    </w:p>
    <w:p w14:paraId="05139AB8" w14:textId="77777777" w:rsidR="00CB5EDF" w:rsidRPr="00744DCA" w:rsidRDefault="00CB5EDF" w:rsidP="00CB5EDF">
      <w:pPr>
        <w:pStyle w:val="Titrearticle"/>
        <w:rPr>
          <w:noProof/>
        </w:rPr>
      </w:pPr>
      <w:r w:rsidRPr="00744DCA">
        <w:rPr>
          <w:noProof/>
        </w:rPr>
        <w:t xml:space="preserve">Article </w:t>
      </w:r>
      <w:r w:rsidR="00C0301B" w:rsidRPr="00744DCA">
        <w:rPr>
          <w:noProof/>
        </w:rPr>
        <w:t>5</w:t>
      </w:r>
      <w:r w:rsidR="00D048CC" w:rsidRPr="00744DCA">
        <w:rPr>
          <w:noProof/>
        </w:rPr>
        <w:t>3</w:t>
      </w:r>
    </w:p>
    <w:p w14:paraId="5C232895" w14:textId="77777777" w:rsidR="00CB5EDF" w:rsidRPr="00744DCA" w:rsidRDefault="00CB5EDF" w:rsidP="00CB5EDF">
      <w:pPr>
        <w:pStyle w:val="Titrearticle"/>
        <w:rPr>
          <w:b/>
          <w:i w:val="0"/>
          <w:noProof/>
        </w:rPr>
      </w:pPr>
      <w:r w:rsidRPr="00744DCA">
        <w:rPr>
          <w:b/>
          <w:i w:val="0"/>
          <w:noProof/>
        </w:rPr>
        <w:t>Certification in security-related supply crisis state</w:t>
      </w:r>
    </w:p>
    <w:p w14:paraId="4BD8CE9E" w14:textId="77777777" w:rsidR="00CB5EDF" w:rsidRPr="00744DCA" w:rsidRDefault="002B75E5" w:rsidP="00B2056B">
      <w:pPr>
        <w:pStyle w:val="ManualNumPar1"/>
        <w:rPr>
          <w:noProof/>
          <w:lang w:val="en-IE"/>
        </w:rPr>
      </w:pPr>
      <w:r>
        <w:rPr>
          <w:noProof/>
        </w:rPr>
        <w:t>1.</w:t>
      </w:r>
      <w:r>
        <w:rPr>
          <w:noProof/>
        </w:rPr>
        <w:tab/>
      </w:r>
      <w:r w:rsidRPr="00744DCA">
        <w:rPr>
          <w:noProof/>
        </w:rPr>
        <w:t>Where the Council activates this measure in accordance with Article 48(4)</w:t>
      </w:r>
      <w:r w:rsidR="00CB5EDF" w:rsidRPr="00744DCA">
        <w:rPr>
          <w:noProof/>
        </w:rPr>
        <w:t xml:space="preserve">, </w:t>
      </w:r>
      <w:r w:rsidR="00CB5EDF" w:rsidRPr="00744DCA">
        <w:rPr>
          <w:noProof/>
          <w:lang w:val="en-IE"/>
        </w:rPr>
        <w:t>Member States shall ensure that administrative procedures related to the certification and where necessary technical adaptations are processed in the most rapid possible way, according to their applicable national laws and regulations.</w:t>
      </w:r>
    </w:p>
    <w:p w14:paraId="577B7237" w14:textId="77777777" w:rsidR="00CB5EDF" w:rsidRPr="00744DCA" w:rsidRDefault="00CB5EDF" w:rsidP="003506AF">
      <w:pPr>
        <w:pStyle w:val="ManualNumPar1"/>
        <w:rPr>
          <w:noProof/>
          <w:lang w:val="en-IE"/>
        </w:rPr>
      </w:pPr>
      <w:r>
        <w:rPr>
          <w:noProof/>
        </w:rPr>
        <w:t>2.</w:t>
      </w:r>
      <w:r>
        <w:rPr>
          <w:noProof/>
        </w:rPr>
        <w:tab/>
      </w:r>
      <w:r w:rsidRPr="00744DCA">
        <w:rPr>
          <w:noProof/>
        </w:rPr>
        <w:t>Where</w:t>
      </w:r>
      <w:r w:rsidRPr="00744DCA">
        <w:rPr>
          <w:noProof/>
          <w:lang w:val="en-IE"/>
        </w:rPr>
        <w:t xml:space="preserve"> such status exists in national law, certification of crisis-relevant defence products shall be allocated the status of the highest national significance possible.</w:t>
      </w:r>
    </w:p>
    <w:p w14:paraId="35D99A9F" w14:textId="77777777" w:rsidR="00CB5EDF" w:rsidRPr="00744DCA" w:rsidRDefault="00CB5EDF" w:rsidP="00B2056B">
      <w:pPr>
        <w:pStyle w:val="ManualNumPar1"/>
        <w:rPr>
          <w:noProof/>
        </w:rPr>
      </w:pPr>
      <w:r>
        <w:rPr>
          <w:noProof/>
        </w:rPr>
        <w:t>3.</w:t>
      </w:r>
      <w:r>
        <w:rPr>
          <w:noProof/>
        </w:rPr>
        <w:tab/>
      </w:r>
      <w:r w:rsidRPr="00744DCA">
        <w:rPr>
          <w:noProof/>
        </w:rPr>
        <w:t>Where this measure is activated, defence products certified in a Member State shall be deemed certified in another Member State without being subject to additional controls.</w:t>
      </w:r>
    </w:p>
    <w:p w14:paraId="780D9C27" w14:textId="77777777" w:rsidR="00CB5EDF" w:rsidRPr="00744DCA" w:rsidRDefault="00CB5EDF" w:rsidP="003506AF">
      <w:pPr>
        <w:pStyle w:val="ManualNumPar1"/>
        <w:rPr>
          <w:noProof/>
        </w:rPr>
      </w:pPr>
      <w:r>
        <w:rPr>
          <w:noProof/>
        </w:rPr>
        <w:t>4.</w:t>
      </w:r>
      <w:r>
        <w:rPr>
          <w:noProof/>
        </w:rPr>
        <w:tab/>
      </w:r>
      <w:r w:rsidRPr="00744DCA">
        <w:rPr>
          <w:noProof/>
        </w:rPr>
        <w:t>The Implementing Act of the Council referred to article 4</w:t>
      </w:r>
      <w:r w:rsidR="00970400" w:rsidRPr="00744DCA">
        <w:rPr>
          <w:noProof/>
        </w:rPr>
        <w:t>8</w:t>
      </w:r>
      <w:r w:rsidRPr="00744DCA">
        <w:rPr>
          <w:noProof/>
        </w:rPr>
        <w:t xml:space="preserve">(3) may </w:t>
      </w:r>
      <w:r w:rsidR="002C3182" w:rsidRPr="00744DCA">
        <w:rPr>
          <w:noProof/>
        </w:rPr>
        <w:t xml:space="preserve">lay down more precise provisions on </w:t>
      </w:r>
      <w:r w:rsidRPr="00744DCA">
        <w:rPr>
          <w:noProof/>
        </w:rPr>
        <w:t>the scope of this measure.</w:t>
      </w:r>
    </w:p>
    <w:p w14:paraId="3D2C6E91" w14:textId="77777777" w:rsidR="00CB5EDF" w:rsidRPr="00744DCA" w:rsidRDefault="00CB5EDF" w:rsidP="00B2056B">
      <w:pPr>
        <w:pStyle w:val="ManualNumPar1"/>
        <w:rPr>
          <w:noProof/>
        </w:rPr>
      </w:pPr>
      <w:r>
        <w:rPr>
          <w:noProof/>
        </w:rPr>
        <w:t>5.</w:t>
      </w:r>
      <w:r>
        <w:rPr>
          <w:noProof/>
        </w:rPr>
        <w:tab/>
      </w:r>
      <w:r w:rsidRPr="00744DCA">
        <w:rPr>
          <w:noProof/>
        </w:rPr>
        <w:t>This measure shall be without prejudice to Member States’ essential security interests.</w:t>
      </w:r>
    </w:p>
    <w:p w14:paraId="6C9A87D1" w14:textId="77777777" w:rsidR="00E7094F" w:rsidRPr="00744DCA" w:rsidRDefault="00E7094F" w:rsidP="004566AC">
      <w:pPr>
        <w:pStyle w:val="Titrearticle"/>
        <w:rPr>
          <w:noProof/>
        </w:rPr>
      </w:pPr>
      <w:r w:rsidRPr="00744DCA">
        <w:rPr>
          <w:noProof/>
        </w:rPr>
        <w:t xml:space="preserve">Article </w:t>
      </w:r>
      <w:r w:rsidR="00C0301B" w:rsidRPr="00744DCA">
        <w:rPr>
          <w:noProof/>
        </w:rPr>
        <w:t>5</w:t>
      </w:r>
      <w:r w:rsidR="00D048CC" w:rsidRPr="00744DCA">
        <w:rPr>
          <w:noProof/>
        </w:rPr>
        <w:t>4</w:t>
      </w:r>
    </w:p>
    <w:p w14:paraId="7F594047" w14:textId="77777777" w:rsidR="00E7094F" w:rsidRPr="00744DCA" w:rsidRDefault="00E7094F" w:rsidP="004566AC">
      <w:pPr>
        <w:pStyle w:val="Titrearticle"/>
        <w:rPr>
          <w:b/>
          <w:i w:val="0"/>
          <w:noProof/>
        </w:rPr>
      </w:pPr>
      <w:r w:rsidRPr="00744DCA">
        <w:rPr>
          <w:b/>
          <w:i w:val="0"/>
          <w:noProof/>
        </w:rPr>
        <w:t>National fast-tracking of permit granting procedures</w:t>
      </w:r>
    </w:p>
    <w:p w14:paraId="1E03DE9A" w14:textId="77777777" w:rsidR="00E7094F" w:rsidRPr="00744DCA" w:rsidRDefault="00970400" w:rsidP="00B2056B">
      <w:pPr>
        <w:pStyle w:val="ManualNumPar1"/>
        <w:rPr>
          <w:noProof/>
        </w:rPr>
      </w:pPr>
      <w:r>
        <w:rPr>
          <w:noProof/>
        </w:rPr>
        <w:t>1.</w:t>
      </w:r>
      <w:r>
        <w:rPr>
          <w:noProof/>
        </w:rPr>
        <w:tab/>
      </w:r>
      <w:r w:rsidRPr="00744DCA">
        <w:rPr>
          <w:noProof/>
        </w:rPr>
        <w:t>Where the Council activates this measure in accordance with Article 48(4)</w:t>
      </w:r>
      <w:r w:rsidR="00E7094F" w:rsidRPr="00744DCA">
        <w:rPr>
          <w:noProof/>
        </w:rPr>
        <w:t>and where such status exists in national law the planning, construction and operation of production facilities of crisis-relevant products shall be allocated the status of the highest national significance possible and be treated as such in permit granting processes, including those relating to environmental assessments and if national law so provides, in spatial planning.</w:t>
      </w:r>
    </w:p>
    <w:p w14:paraId="157F88B3" w14:textId="77777777" w:rsidR="00E7094F" w:rsidRPr="00744DCA" w:rsidRDefault="01AEDC32" w:rsidP="00B2056B">
      <w:pPr>
        <w:pStyle w:val="ManualNumPar1"/>
        <w:rPr>
          <w:noProof/>
        </w:rPr>
      </w:pPr>
      <w:r>
        <w:rPr>
          <w:noProof/>
        </w:rPr>
        <w:t>2.</w:t>
      </w:r>
      <w:r>
        <w:rPr>
          <w:noProof/>
        </w:rPr>
        <w:tab/>
      </w:r>
      <w:r w:rsidRPr="00744DCA">
        <w:rPr>
          <w:noProof/>
        </w:rPr>
        <w:t>The security of supply of defence products may be considered an imperative reason of overriding public interest within the meaning of Article 6(4) and Article 16(1)(c) of Directive 92/43/EEC and of overriding public interest within the meaning of Article 4(7) of Directive 2000/60. Therefore, the planning, construction and operation of related production facilities may be considered of overriding public interest, provided that the remaining other conditions set out in these provisions are fulfilled.</w:t>
      </w:r>
    </w:p>
    <w:p w14:paraId="58ABEAD5" w14:textId="77777777" w:rsidR="00E7094F" w:rsidRPr="00744DCA" w:rsidRDefault="00E7094F" w:rsidP="004566AC">
      <w:pPr>
        <w:pStyle w:val="Text1"/>
        <w:rPr>
          <w:noProof/>
        </w:rPr>
      </w:pPr>
    </w:p>
    <w:p w14:paraId="565CC2DF" w14:textId="77777777" w:rsidR="00CB5EDF" w:rsidRPr="00744DCA" w:rsidRDefault="00CB5EDF" w:rsidP="00CB5EDF">
      <w:pPr>
        <w:pStyle w:val="SectionTitle"/>
        <w:rPr>
          <w:noProof/>
        </w:rPr>
      </w:pPr>
      <w:r w:rsidRPr="00744DCA">
        <w:rPr>
          <w:noProof/>
        </w:rPr>
        <w:t xml:space="preserve">Section </w:t>
      </w:r>
      <w:r w:rsidR="003C1270" w:rsidRPr="00744DCA">
        <w:rPr>
          <w:noProof/>
        </w:rPr>
        <w:t>5</w:t>
      </w:r>
    </w:p>
    <w:p w14:paraId="3FACC884" w14:textId="77777777" w:rsidR="00CB5EDF" w:rsidRPr="00744DCA" w:rsidRDefault="00CB5EDF" w:rsidP="00CB5EDF">
      <w:pPr>
        <w:pStyle w:val="SectionTitle"/>
        <w:rPr>
          <w:noProof/>
        </w:rPr>
      </w:pPr>
      <w:r w:rsidRPr="00744DCA">
        <w:rPr>
          <w:noProof/>
        </w:rPr>
        <w:t>Penalties</w:t>
      </w:r>
    </w:p>
    <w:p w14:paraId="6295522F" w14:textId="77777777" w:rsidR="00CB5EDF" w:rsidRPr="00744DCA" w:rsidRDefault="00CB5EDF" w:rsidP="00CB5EDF">
      <w:pPr>
        <w:pStyle w:val="Titrearticle"/>
        <w:rPr>
          <w:noProof/>
        </w:rPr>
      </w:pPr>
      <w:r w:rsidRPr="00744DCA">
        <w:rPr>
          <w:noProof/>
        </w:rPr>
        <w:t xml:space="preserve">Article </w:t>
      </w:r>
      <w:r w:rsidR="00C0301B" w:rsidRPr="00744DCA">
        <w:rPr>
          <w:noProof/>
        </w:rPr>
        <w:t>5</w:t>
      </w:r>
      <w:r w:rsidR="00D048CC" w:rsidRPr="00744DCA">
        <w:rPr>
          <w:noProof/>
        </w:rPr>
        <w:t>5</w:t>
      </w:r>
    </w:p>
    <w:p w14:paraId="157EB3F0" w14:textId="77777777" w:rsidR="00CB5EDF" w:rsidRPr="00744DCA" w:rsidRDefault="00CB5EDF" w:rsidP="00CB5EDF">
      <w:pPr>
        <w:pStyle w:val="Titrearticle"/>
        <w:rPr>
          <w:b/>
          <w:i w:val="0"/>
          <w:noProof/>
        </w:rPr>
      </w:pPr>
      <w:r w:rsidRPr="00744DCA">
        <w:rPr>
          <w:b/>
          <w:i w:val="0"/>
          <w:noProof/>
        </w:rPr>
        <w:t>Penalties</w:t>
      </w:r>
    </w:p>
    <w:p w14:paraId="38C9B004" w14:textId="77777777" w:rsidR="00CB5EDF" w:rsidRPr="00744DCA" w:rsidRDefault="00CB5EDF" w:rsidP="00B2056B">
      <w:pPr>
        <w:pStyle w:val="ManualNumPar1"/>
        <w:rPr>
          <w:noProof/>
        </w:rPr>
      </w:pPr>
      <w:r>
        <w:rPr>
          <w:noProof/>
        </w:rPr>
        <w:t>1.</w:t>
      </w:r>
      <w:r>
        <w:rPr>
          <w:noProof/>
        </w:rPr>
        <w:tab/>
      </w:r>
      <w:r w:rsidRPr="00744DCA">
        <w:rPr>
          <w:noProof/>
        </w:rPr>
        <w:t>The Commission may</w:t>
      </w:r>
      <w:r w:rsidR="001F3C28" w:rsidRPr="00744DCA">
        <w:rPr>
          <w:noProof/>
        </w:rPr>
        <w:t>,</w:t>
      </w:r>
      <w:r w:rsidR="001F3C28" w:rsidRPr="00744DCA">
        <w:rPr>
          <w:rFonts w:asciiTheme="minorHAnsi" w:hAnsiTheme="minorHAnsi"/>
          <w:noProof/>
          <w:kern w:val="2"/>
          <w:sz w:val="22"/>
          <w:lang w:val="en-IE"/>
          <w14:ligatures w14:val="standardContextual"/>
        </w:rPr>
        <w:t xml:space="preserve"> </w:t>
      </w:r>
      <w:r w:rsidR="001F3C28" w:rsidRPr="00744DCA">
        <w:rPr>
          <w:noProof/>
          <w:lang w:val="en-IE"/>
        </w:rPr>
        <w:t xml:space="preserve">by </w:t>
      </w:r>
      <w:r w:rsidR="00473A4E" w:rsidRPr="00744DCA">
        <w:rPr>
          <w:noProof/>
          <w:lang w:val="en-IE"/>
        </w:rPr>
        <w:t>way of implementing act</w:t>
      </w:r>
      <w:r w:rsidR="001F3C28" w:rsidRPr="00744DCA">
        <w:rPr>
          <w:noProof/>
          <w:lang w:val="en-IE"/>
        </w:rPr>
        <w:t xml:space="preserve">, impose on the </w:t>
      </w:r>
      <w:bookmarkStart w:id="8" w:name="_Hlk159509044"/>
      <w:r w:rsidR="001F3C28" w:rsidRPr="00744DCA">
        <w:rPr>
          <w:noProof/>
          <w:lang w:val="en-IE"/>
        </w:rPr>
        <w:t>undertakings or associations, including their owners or representatives</w:t>
      </w:r>
      <w:bookmarkEnd w:id="8"/>
      <w:r w:rsidR="001F3C28" w:rsidRPr="00744DCA">
        <w:rPr>
          <w:noProof/>
          <w:lang w:val="en-IE"/>
        </w:rPr>
        <w:t xml:space="preserve">, being the addressees of information gathering measures referred to in Articles </w:t>
      </w:r>
      <w:r w:rsidR="00346F2F" w:rsidRPr="00744DCA">
        <w:rPr>
          <w:noProof/>
          <w:lang w:val="en-IE"/>
        </w:rPr>
        <w:t>4</w:t>
      </w:r>
      <w:r w:rsidR="00B36827" w:rsidRPr="00744DCA">
        <w:rPr>
          <w:noProof/>
          <w:lang w:val="en-IE"/>
        </w:rPr>
        <w:t>6</w:t>
      </w:r>
      <w:r w:rsidR="001F3C28" w:rsidRPr="00744DCA">
        <w:rPr>
          <w:noProof/>
          <w:lang w:val="en-IE"/>
        </w:rPr>
        <w:t xml:space="preserve">, and </w:t>
      </w:r>
      <w:r w:rsidR="003364CD" w:rsidRPr="00744DCA">
        <w:rPr>
          <w:noProof/>
          <w:lang w:val="en-IE"/>
        </w:rPr>
        <w:t>4</w:t>
      </w:r>
      <w:r w:rsidR="00B36827" w:rsidRPr="00744DCA">
        <w:rPr>
          <w:noProof/>
          <w:lang w:val="en-IE"/>
        </w:rPr>
        <w:t>8</w:t>
      </w:r>
      <w:r w:rsidR="001F3C28" w:rsidRPr="00744DCA">
        <w:rPr>
          <w:noProof/>
          <w:lang w:val="en-IE"/>
        </w:rPr>
        <w:t xml:space="preserve">, or of any of the obligations to inform the Commission of a third-country obligation pursuant to Articles </w:t>
      </w:r>
      <w:r w:rsidR="003F36B5" w:rsidRPr="00744DCA">
        <w:rPr>
          <w:noProof/>
          <w:lang w:val="en-IE"/>
        </w:rPr>
        <w:t>4</w:t>
      </w:r>
      <w:r w:rsidR="00B36827" w:rsidRPr="00744DCA">
        <w:rPr>
          <w:noProof/>
          <w:lang w:val="en-IE"/>
        </w:rPr>
        <w:t>7</w:t>
      </w:r>
      <w:r w:rsidR="001F3C28" w:rsidRPr="00744DCA">
        <w:rPr>
          <w:noProof/>
          <w:lang w:val="en-IE"/>
        </w:rPr>
        <w:t>(</w:t>
      </w:r>
      <w:r w:rsidR="003F36B5" w:rsidRPr="00744DCA">
        <w:rPr>
          <w:noProof/>
          <w:lang w:val="en-IE"/>
        </w:rPr>
        <w:t>16</w:t>
      </w:r>
      <w:r w:rsidR="001F3C28" w:rsidRPr="00744DCA">
        <w:rPr>
          <w:noProof/>
          <w:lang w:val="en-IE"/>
        </w:rPr>
        <w:t xml:space="preserve">) and </w:t>
      </w:r>
      <w:r w:rsidR="00B36827" w:rsidRPr="00744DCA">
        <w:rPr>
          <w:noProof/>
          <w:lang w:val="en-IE"/>
        </w:rPr>
        <w:t>50</w:t>
      </w:r>
      <w:r w:rsidR="001F3C28" w:rsidRPr="00744DCA">
        <w:rPr>
          <w:noProof/>
          <w:lang w:val="en-IE"/>
        </w:rPr>
        <w:t>(8) or to prioritise the production of crisis-relevant products pursuant to Article</w:t>
      </w:r>
      <w:r w:rsidR="00505D4E" w:rsidRPr="00744DCA">
        <w:rPr>
          <w:noProof/>
          <w:lang w:val="en-IE"/>
        </w:rPr>
        <w:t>s</w:t>
      </w:r>
      <w:r w:rsidR="001F3C28" w:rsidRPr="00744DCA">
        <w:rPr>
          <w:noProof/>
          <w:lang w:val="en-IE"/>
        </w:rPr>
        <w:t xml:space="preserve"> 4</w:t>
      </w:r>
      <w:r w:rsidR="00B36827" w:rsidRPr="00744DCA">
        <w:rPr>
          <w:noProof/>
          <w:lang w:val="en-IE"/>
        </w:rPr>
        <w:t>7</w:t>
      </w:r>
      <w:r w:rsidR="00505D4E" w:rsidRPr="00744DCA">
        <w:rPr>
          <w:noProof/>
          <w:lang w:val="en-IE"/>
        </w:rPr>
        <w:t xml:space="preserve"> or</w:t>
      </w:r>
      <w:r w:rsidR="001E03F3" w:rsidRPr="00744DCA">
        <w:rPr>
          <w:noProof/>
          <w:lang w:val="en-IE"/>
        </w:rPr>
        <w:t xml:space="preserve"> 4</w:t>
      </w:r>
      <w:r w:rsidR="00B36827" w:rsidRPr="00744DCA">
        <w:rPr>
          <w:noProof/>
          <w:lang w:val="en-IE"/>
        </w:rPr>
        <w:t>9</w:t>
      </w:r>
      <w:r w:rsidRPr="00744DCA">
        <w:rPr>
          <w:noProof/>
        </w:rPr>
        <w:t>, where it deems it to be necessary and proportionate:</w:t>
      </w:r>
    </w:p>
    <w:p w14:paraId="2C725B47" w14:textId="77777777" w:rsidR="00CB5EDF" w:rsidRPr="00744DCA" w:rsidRDefault="00CB5EDF" w:rsidP="00CB5EDF">
      <w:pPr>
        <w:pStyle w:val="Point1"/>
        <w:rPr>
          <w:noProof/>
        </w:rPr>
      </w:pPr>
      <w:r>
        <w:rPr>
          <w:noProof/>
        </w:rPr>
        <w:t>(a)</w:t>
      </w:r>
      <w:r>
        <w:rPr>
          <w:noProof/>
        </w:rPr>
        <w:tab/>
      </w:r>
      <w:r w:rsidRPr="00744DCA">
        <w:rPr>
          <w:noProof/>
        </w:rPr>
        <w:t>fines</w:t>
      </w:r>
      <w:r w:rsidR="00B22425" w:rsidRPr="00744DCA">
        <w:rPr>
          <w:noProof/>
          <w:lang w:val="en-IE"/>
        </w:rPr>
        <w:t xml:space="preserve"> not exceeding EUR 300 000</w:t>
      </w:r>
      <w:r w:rsidRPr="00744DCA">
        <w:rPr>
          <w:noProof/>
        </w:rPr>
        <w:t xml:space="preserve">, where </w:t>
      </w:r>
      <w:r w:rsidR="00B22425" w:rsidRPr="00744DCA">
        <w:rPr>
          <w:noProof/>
        </w:rPr>
        <w:t>it</w:t>
      </w:r>
      <w:r w:rsidRPr="00744DCA">
        <w:rPr>
          <w:noProof/>
        </w:rPr>
        <w:t>, intentionally or through gross negligence, supplies incorrect, incomplete or misleading information in response to a request made pursuant to Article 4</w:t>
      </w:r>
      <w:r w:rsidR="00B36827" w:rsidRPr="00744DCA">
        <w:rPr>
          <w:noProof/>
        </w:rPr>
        <w:t>6</w:t>
      </w:r>
      <w:r w:rsidRPr="00744DCA">
        <w:rPr>
          <w:noProof/>
        </w:rPr>
        <w:t xml:space="preserve"> and 4</w:t>
      </w:r>
      <w:r w:rsidR="00B36827" w:rsidRPr="00744DCA">
        <w:rPr>
          <w:noProof/>
        </w:rPr>
        <w:t>8</w:t>
      </w:r>
      <w:r w:rsidRPr="00744DCA">
        <w:rPr>
          <w:noProof/>
        </w:rPr>
        <w:t>, or does not supply the information within the prescribed time limit;</w:t>
      </w:r>
    </w:p>
    <w:p w14:paraId="3A2473C2" w14:textId="77777777" w:rsidR="00CB5EDF" w:rsidRPr="00744DCA" w:rsidRDefault="00CB5EDF" w:rsidP="00CB5EDF">
      <w:pPr>
        <w:pStyle w:val="Point1"/>
        <w:rPr>
          <w:noProof/>
        </w:rPr>
      </w:pPr>
      <w:r>
        <w:rPr>
          <w:noProof/>
        </w:rPr>
        <w:t>(b)</w:t>
      </w:r>
      <w:r>
        <w:rPr>
          <w:noProof/>
        </w:rPr>
        <w:tab/>
      </w:r>
      <w:r w:rsidRPr="00744DCA">
        <w:rPr>
          <w:noProof/>
        </w:rPr>
        <w:t>fines</w:t>
      </w:r>
      <w:r w:rsidR="00A55913" w:rsidRPr="00744DCA">
        <w:rPr>
          <w:rFonts w:asciiTheme="minorHAnsi" w:hAnsiTheme="minorHAnsi" w:cstheme="minorBidi"/>
          <w:noProof/>
          <w:kern w:val="2"/>
          <w:sz w:val="22"/>
          <w:lang w:val="en-IE"/>
          <w14:ligatures w14:val="standardContextual"/>
        </w:rPr>
        <w:t xml:space="preserve"> </w:t>
      </w:r>
      <w:r w:rsidR="00A55913" w:rsidRPr="00744DCA">
        <w:rPr>
          <w:noProof/>
          <w:lang w:val="en-IE"/>
        </w:rPr>
        <w:t>not exceeding EUR 150 000</w:t>
      </w:r>
      <w:r w:rsidRPr="00744DCA">
        <w:rPr>
          <w:noProof/>
        </w:rPr>
        <w:t xml:space="preserve">, where </w:t>
      </w:r>
      <w:r w:rsidR="00A55913" w:rsidRPr="00744DCA">
        <w:rPr>
          <w:noProof/>
        </w:rPr>
        <w:t>it</w:t>
      </w:r>
      <w:r w:rsidRPr="00744DCA">
        <w:rPr>
          <w:noProof/>
        </w:rPr>
        <w:t>, intentionally or through gross negligence, does not comply with the obligation to inform the Commission of a third-country obligation pursuant to Article 4</w:t>
      </w:r>
      <w:r w:rsidR="00B36827" w:rsidRPr="00744DCA">
        <w:rPr>
          <w:noProof/>
        </w:rPr>
        <w:t>7</w:t>
      </w:r>
      <w:r w:rsidRPr="00744DCA">
        <w:rPr>
          <w:noProof/>
        </w:rPr>
        <w:t>(</w:t>
      </w:r>
      <w:r w:rsidR="00505D4E" w:rsidRPr="00744DCA">
        <w:rPr>
          <w:noProof/>
        </w:rPr>
        <w:t>16</w:t>
      </w:r>
      <w:r w:rsidRPr="00744DCA">
        <w:rPr>
          <w:noProof/>
        </w:rPr>
        <w:t xml:space="preserve">) and </w:t>
      </w:r>
      <w:r w:rsidR="00B36827" w:rsidRPr="00744DCA">
        <w:rPr>
          <w:noProof/>
        </w:rPr>
        <w:t>50</w:t>
      </w:r>
      <w:r w:rsidRPr="00744DCA">
        <w:rPr>
          <w:noProof/>
        </w:rPr>
        <w:t>(8);</w:t>
      </w:r>
    </w:p>
    <w:p w14:paraId="23799F76" w14:textId="77777777" w:rsidR="00CB5EDF" w:rsidRPr="00744DCA" w:rsidRDefault="00CB5EDF" w:rsidP="00CB5EDF">
      <w:pPr>
        <w:pStyle w:val="Point1"/>
        <w:rPr>
          <w:noProof/>
        </w:rPr>
      </w:pPr>
      <w:r>
        <w:rPr>
          <w:noProof/>
        </w:rPr>
        <w:t>(c)</w:t>
      </w:r>
      <w:r>
        <w:rPr>
          <w:noProof/>
        </w:rPr>
        <w:tab/>
      </w:r>
      <w:r w:rsidRPr="00744DCA">
        <w:rPr>
          <w:noProof/>
        </w:rPr>
        <w:t>periodic penalty payments</w:t>
      </w:r>
      <w:r w:rsidR="00F91E5D" w:rsidRPr="00744DCA">
        <w:rPr>
          <w:noProof/>
        </w:rPr>
        <w:t xml:space="preserve"> </w:t>
      </w:r>
      <w:r w:rsidR="00154BAF" w:rsidRPr="00744DCA">
        <w:rPr>
          <w:noProof/>
          <w:lang w:val="en-IE"/>
        </w:rPr>
        <w:t>not exceeding 1,5 % of the average daily turnover in the preceding business year for each working day of non-compliance from the date established in the decision in which the priority-rated order was issued</w:t>
      </w:r>
      <w:r w:rsidRPr="00744DCA">
        <w:rPr>
          <w:noProof/>
        </w:rPr>
        <w:t xml:space="preserve">, where </w:t>
      </w:r>
      <w:r w:rsidR="00F91E5D" w:rsidRPr="00744DCA">
        <w:rPr>
          <w:noProof/>
        </w:rPr>
        <w:t>it</w:t>
      </w:r>
      <w:r w:rsidRPr="00744DCA">
        <w:rPr>
          <w:noProof/>
        </w:rPr>
        <w:t xml:space="preserve">, intentionally or through gross negligence, does not comply with an obligation to prioritise the production of crisis-relevant products pursuant to Article </w:t>
      </w:r>
      <w:r w:rsidR="00505D4E" w:rsidRPr="00744DCA">
        <w:rPr>
          <w:noProof/>
        </w:rPr>
        <w:t>4</w:t>
      </w:r>
      <w:r w:rsidR="00B36827" w:rsidRPr="00744DCA">
        <w:rPr>
          <w:noProof/>
        </w:rPr>
        <w:t>7</w:t>
      </w:r>
      <w:r w:rsidR="00227800" w:rsidRPr="00744DCA">
        <w:rPr>
          <w:noProof/>
          <w:lang w:val="en-IE"/>
        </w:rPr>
        <w:t>. Where the undertaking concerned is an SME, the periodic penalty payments imposed shall not exceed 0,5 % of its average daily turnover in the preceding business year</w:t>
      </w:r>
      <w:r w:rsidRPr="00744DCA">
        <w:rPr>
          <w:noProof/>
        </w:rPr>
        <w:t>;</w:t>
      </w:r>
    </w:p>
    <w:p w14:paraId="0BE73E5F" w14:textId="77777777" w:rsidR="00CB5EDF" w:rsidRPr="00744DCA" w:rsidRDefault="00CB5EDF" w:rsidP="00CB5EDF">
      <w:pPr>
        <w:pStyle w:val="Point1"/>
        <w:rPr>
          <w:noProof/>
        </w:rPr>
      </w:pPr>
      <w:r>
        <w:rPr>
          <w:noProof/>
        </w:rPr>
        <w:t>(d)</w:t>
      </w:r>
      <w:r>
        <w:rPr>
          <w:noProof/>
        </w:rPr>
        <w:tab/>
      </w:r>
      <w:r w:rsidRPr="00744DCA">
        <w:rPr>
          <w:noProof/>
        </w:rPr>
        <w:t>fines</w:t>
      </w:r>
      <w:r w:rsidR="00E66183" w:rsidRPr="00744DCA">
        <w:rPr>
          <w:rFonts w:asciiTheme="minorHAnsi" w:hAnsiTheme="minorHAnsi" w:cstheme="minorBidi"/>
          <w:noProof/>
          <w:kern w:val="2"/>
          <w:sz w:val="22"/>
          <w:lang w:val="en-IE"/>
          <w14:ligatures w14:val="standardContextual"/>
        </w:rPr>
        <w:t xml:space="preserve"> </w:t>
      </w:r>
      <w:r w:rsidR="00E66183" w:rsidRPr="00744DCA">
        <w:rPr>
          <w:noProof/>
          <w:lang w:val="en-IE"/>
        </w:rPr>
        <w:t>not exceeding EUR 300 000</w:t>
      </w:r>
      <w:r w:rsidRPr="00744DCA">
        <w:rPr>
          <w:noProof/>
        </w:rPr>
        <w:t xml:space="preserve">, where </w:t>
      </w:r>
      <w:r w:rsidR="00C3795C" w:rsidRPr="00744DCA">
        <w:rPr>
          <w:noProof/>
        </w:rPr>
        <w:t>it</w:t>
      </w:r>
      <w:r w:rsidRPr="00744DCA">
        <w:rPr>
          <w:noProof/>
        </w:rPr>
        <w:t xml:space="preserve">, </w:t>
      </w:r>
      <w:r w:rsidRPr="00744DCA">
        <w:rPr>
          <w:noProof/>
          <w:lang w:val="en-US"/>
        </w:rPr>
        <w:t xml:space="preserve">intentionally or through gross negligence, does not comply with the obligation to prioritise </w:t>
      </w:r>
      <w:r w:rsidRPr="00744DCA">
        <w:rPr>
          <w:noProof/>
        </w:rPr>
        <w:t xml:space="preserve">the production of crisis-relevant products pursuant to Article </w:t>
      </w:r>
      <w:r w:rsidR="001E03F3" w:rsidRPr="00744DCA">
        <w:rPr>
          <w:noProof/>
        </w:rPr>
        <w:t>4</w:t>
      </w:r>
      <w:r w:rsidR="00B36827" w:rsidRPr="00744DCA">
        <w:rPr>
          <w:noProof/>
        </w:rPr>
        <w:t>9</w:t>
      </w:r>
      <w:r w:rsidRPr="00744DCA">
        <w:rPr>
          <w:noProof/>
        </w:rPr>
        <w:t>.</w:t>
      </w:r>
    </w:p>
    <w:p w14:paraId="41508772" w14:textId="77777777" w:rsidR="00CB5EDF" w:rsidRPr="00744DCA" w:rsidRDefault="00CB5EDF" w:rsidP="00CB5EDF">
      <w:pPr>
        <w:pStyle w:val="ManualNumPar1"/>
        <w:rPr>
          <w:noProof/>
        </w:rPr>
      </w:pPr>
      <w:r>
        <w:rPr>
          <w:noProof/>
        </w:rPr>
        <w:t>2.</w:t>
      </w:r>
      <w:r>
        <w:rPr>
          <w:noProof/>
        </w:rPr>
        <w:tab/>
      </w:r>
      <w:r w:rsidRPr="00744DCA">
        <w:rPr>
          <w:noProof/>
        </w:rPr>
        <w:t xml:space="preserve">Before taking a decision pursuant to paragraph 1 of this Article, the Commission shall provide an opportunity for </w:t>
      </w:r>
      <w:r w:rsidR="001F72F1" w:rsidRPr="00744DCA">
        <w:rPr>
          <w:noProof/>
          <w:lang w:val="en-IE"/>
        </w:rPr>
        <w:t>the concerned undertakings and associations, including their owners or representatives</w:t>
      </w:r>
      <w:r w:rsidR="002C3182" w:rsidRPr="00744DCA">
        <w:rPr>
          <w:noProof/>
          <w:lang w:val="en-IE"/>
        </w:rPr>
        <w:t>,</w:t>
      </w:r>
      <w:r w:rsidR="001F72F1" w:rsidRPr="00744DCA">
        <w:rPr>
          <w:noProof/>
          <w:lang w:val="en-IE"/>
        </w:rPr>
        <w:t xml:space="preserve"> </w:t>
      </w:r>
      <w:r w:rsidRPr="00744DCA">
        <w:rPr>
          <w:noProof/>
        </w:rPr>
        <w:t>to be heard in accordance with Article 5</w:t>
      </w:r>
      <w:r w:rsidR="007B3A9F" w:rsidRPr="00744DCA">
        <w:rPr>
          <w:noProof/>
        </w:rPr>
        <w:t>6</w:t>
      </w:r>
      <w:r w:rsidRPr="00744DCA">
        <w:rPr>
          <w:noProof/>
        </w:rPr>
        <w:t xml:space="preserve">. It shall take into account any duly reasoned justification presented by </w:t>
      </w:r>
      <w:r w:rsidR="00006910" w:rsidRPr="00744DCA">
        <w:rPr>
          <w:noProof/>
        </w:rPr>
        <w:t xml:space="preserve">them </w:t>
      </w:r>
      <w:r w:rsidRPr="00744DCA">
        <w:rPr>
          <w:noProof/>
        </w:rPr>
        <w:t>for the purpose of determining whether fines or periodic penalty payments are deemed necessary and proportionate.</w:t>
      </w:r>
    </w:p>
    <w:p w14:paraId="4968FE73" w14:textId="77777777" w:rsidR="006E19B3" w:rsidRPr="00744DCA" w:rsidRDefault="006E19B3" w:rsidP="006E19B3">
      <w:pPr>
        <w:pStyle w:val="ManualNumPar1"/>
        <w:rPr>
          <w:noProof/>
        </w:rPr>
      </w:pPr>
      <w:r>
        <w:rPr>
          <w:noProof/>
        </w:rPr>
        <w:t>3.</w:t>
      </w:r>
      <w:r>
        <w:rPr>
          <w:noProof/>
        </w:rPr>
        <w:tab/>
      </w:r>
      <w:r w:rsidRPr="00744DCA">
        <w:rPr>
          <w:noProof/>
        </w:rPr>
        <w:t>Implementing acts referred to in this Article shall be adopted in accordance with the examination procedure referred to in Article 5</w:t>
      </w:r>
      <w:r w:rsidR="007B3A9F" w:rsidRPr="00744DCA">
        <w:rPr>
          <w:noProof/>
        </w:rPr>
        <w:t>8</w:t>
      </w:r>
      <w:r w:rsidRPr="00744DCA">
        <w:rPr>
          <w:noProof/>
        </w:rPr>
        <w:t>(3).</w:t>
      </w:r>
    </w:p>
    <w:p w14:paraId="5BF65A0B" w14:textId="77777777" w:rsidR="00CB5EDF" w:rsidRPr="00744DCA" w:rsidRDefault="00CB5EDF" w:rsidP="00CB5EDF">
      <w:pPr>
        <w:pStyle w:val="ManualNumPar1"/>
        <w:rPr>
          <w:noProof/>
        </w:rPr>
      </w:pPr>
      <w:r>
        <w:rPr>
          <w:noProof/>
        </w:rPr>
        <w:t>4.</w:t>
      </w:r>
      <w:r>
        <w:rPr>
          <w:noProof/>
        </w:rPr>
        <w:tab/>
      </w:r>
      <w:r w:rsidRPr="00744DCA">
        <w:rPr>
          <w:noProof/>
        </w:rPr>
        <w:t>In fixing the amount of the fine or periodic penalty payment, the Commission shall take into consideration the nature, gravity and duration of the infringement, including in cases of non-compliance with the obligation to accept and prioritise a priority-rated order set out in Article 4</w:t>
      </w:r>
      <w:r w:rsidR="007B3A9F" w:rsidRPr="00744DCA">
        <w:rPr>
          <w:noProof/>
        </w:rPr>
        <w:t>7</w:t>
      </w:r>
      <w:r w:rsidRPr="00744DCA">
        <w:rPr>
          <w:noProof/>
        </w:rPr>
        <w:t xml:space="preserve">, whether </w:t>
      </w:r>
      <w:r w:rsidR="00C720D6" w:rsidRPr="00744DCA">
        <w:rPr>
          <w:noProof/>
          <w:lang w:val="en-IE"/>
        </w:rPr>
        <w:t>the undertakings or associations, including their owners or representatives</w:t>
      </w:r>
      <w:r w:rsidR="00C720D6" w:rsidRPr="00744DCA" w:rsidDel="00E70EFC">
        <w:rPr>
          <w:noProof/>
          <w:lang w:val="en-IE"/>
        </w:rPr>
        <w:t xml:space="preserve"> </w:t>
      </w:r>
      <w:r w:rsidR="00C720D6" w:rsidRPr="00744DCA">
        <w:rPr>
          <w:noProof/>
          <w:lang w:val="en-IE"/>
        </w:rPr>
        <w:t>referred to in paragraph (1)</w:t>
      </w:r>
      <w:r w:rsidR="002C3182" w:rsidRPr="00744DCA">
        <w:rPr>
          <w:noProof/>
          <w:lang w:val="en-IE"/>
        </w:rPr>
        <w:t>,</w:t>
      </w:r>
      <w:r w:rsidR="00C720D6" w:rsidRPr="00744DCA">
        <w:rPr>
          <w:noProof/>
          <w:lang w:val="en-IE"/>
        </w:rPr>
        <w:t xml:space="preserve"> </w:t>
      </w:r>
      <w:r w:rsidR="00C720D6" w:rsidRPr="00744DCA">
        <w:rPr>
          <w:noProof/>
        </w:rPr>
        <w:t xml:space="preserve">have </w:t>
      </w:r>
      <w:r w:rsidRPr="00744DCA">
        <w:rPr>
          <w:noProof/>
        </w:rPr>
        <w:t>partially complied with the priority-rated order.</w:t>
      </w:r>
    </w:p>
    <w:p w14:paraId="14E930CA" w14:textId="3E39F543" w:rsidR="008434BA" w:rsidRPr="00744DCA" w:rsidRDefault="00511BA3" w:rsidP="003D5D3A">
      <w:pPr>
        <w:pStyle w:val="ManualNumPar1"/>
        <w:rPr>
          <w:noProof/>
        </w:rPr>
      </w:pPr>
      <w:r>
        <w:rPr>
          <w:noProof/>
        </w:rPr>
        <w:t>5.</w:t>
      </w:r>
      <w:r>
        <w:rPr>
          <w:noProof/>
        </w:rPr>
        <w:tab/>
      </w:r>
      <w:r w:rsidRPr="00744DCA">
        <w:rPr>
          <w:noProof/>
        </w:rPr>
        <w:t xml:space="preserve">The fines shall constitute external assigned revenue within the meaning of Article 21(5) of the Financial Regulation to </w:t>
      </w:r>
      <w:r>
        <w:rPr>
          <w:noProof/>
        </w:rPr>
        <w:t>the Programme and of the Ukraine Support Instrument</w:t>
      </w:r>
      <w:r w:rsidRPr="00744DCA">
        <w:rPr>
          <w:noProof/>
        </w:rPr>
        <w:t xml:space="preserve">. </w:t>
      </w:r>
    </w:p>
    <w:p w14:paraId="51017239" w14:textId="77777777" w:rsidR="00CB5EDF" w:rsidRPr="00744DCA" w:rsidRDefault="00CB5EDF" w:rsidP="00CB5EDF">
      <w:pPr>
        <w:pStyle w:val="Titrearticle"/>
        <w:rPr>
          <w:noProof/>
        </w:rPr>
      </w:pPr>
      <w:r w:rsidRPr="00744DCA">
        <w:rPr>
          <w:noProof/>
        </w:rPr>
        <w:t xml:space="preserve">Article </w:t>
      </w:r>
      <w:r w:rsidR="00C0301B" w:rsidRPr="00744DCA">
        <w:rPr>
          <w:noProof/>
        </w:rPr>
        <w:t>5</w:t>
      </w:r>
      <w:r w:rsidR="00D048CC" w:rsidRPr="00744DCA">
        <w:rPr>
          <w:noProof/>
        </w:rPr>
        <w:t>6</w:t>
      </w:r>
    </w:p>
    <w:p w14:paraId="3F87E16E" w14:textId="77777777" w:rsidR="00CB5EDF" w:rsidRPr="00744DCA" w:rsidRDefault="00CB5EDF" w:rsidP="00CB5EDF">
      <w:pPr>
        <w:pStyle w:val="Titrearticle"/>
        <w:rPr>
          <w:b/>
          <w:i w:val="0"/>
          <w:noProof/>
        </w:rPr>
      </w:pPr>
      <w:r w:rsidRPr="00744DCA">
        <w:rPr>
          <w:b/>
          <w:bCs/>
          <w:i w:val="0"/>
          <w:noProof/>
        </w:rPr>
        <w:t>Right to be heard for the imposition of fines or periodic penalty payments</w:t>
      </w:r>
    </w:p>
    <w:p w14:paraId="5AE001F1" w14:textId="77777777" w:rsidR="00CB5EDF" w:rsidRPr="00744DCA" w:rsidRDefault="00CB5EDF" w:rsidP="00B2056B">
      <w:pPr>
        <w:pStyle w:val="ManualNumPar1"/>
        <w:rPr>
          <w:noProof/>
        </w:rPr>
      </w:pPr>
      <w:r>
        <w:rPr>
          <w:noProof/>
        </w:rPr>
        <w:t>1.</w:t>
      </w:r>
      <w:r>
        <w:rPr>
          <w:noProof/>
        </w:rPr>
        <w:tab/>
      </w:r>
      <w:r w:rsidRPr="00744DCA">
        <w:rPr>
          <w:noProof/>
        </w:rPr>
        <w:t xml:space="preserve">Before adopting a decision pursuant to Article </w:t>
      </w:r>
      <w:r w:rsidR="00D6698A" w:rsidRPr="00744DCA">
        <w:rPr>
          <w:noProof/>
        </w:rPr>
        <w:t>5</w:t>
      </w:r>
      <w:r w:rsidR="00157D1A" w:rsidRPr="00744DCA">
        <w:rPr>
          <w:noProof/>
        </w:rPr>
        <w:t>5</w:t>
      </w:r>
      <w:r w:rsidRPr="00744DCA">
        <w:rPr>
          <w:noProof/>
        </w:rPr>
        <w:t xml:space="preserve">, the Commission shall </w:t>
      </w:r>
      <w:r w:rsidR="00D50687" w:rsidRPr="00744DCA">
        <w:rPr>
          <w:noProof/>
          <w:lang w:val="en-IE"/>
        </w:rPr>
        <w:t>ensure that the concerned undertakings and associations, including their owners or representatives</w:t>
      </w:r>
      <w:r w:rsidR="002C3182" w:rsidRPr="00744DCA">
        <w:rPr>
          <w:noProof/>
          <w:lang w:val="en-IE"/>
        </w:rPr>
        <w:t>,</w:t>
      </w:r>
      <w:r w:rsidR="00D50687" w:rsidRPr="00744DCA">
        <w:rPr>
          <w:noProof/>
          <w:lang w:val="en-IE"/>
        </w:rPr>
        <w:t xml:space="preserve"> have been given the opportunity to submit observations</w:t>
      </w:r>
      <w:r w:rsidR="00D50687" w:rsidRPr="00744DCA" w:rsidDel="00D50687">
        <w:rPr>
          <w:noProof/>
        </w:rPr>
        <w:t xml:space="preserve"> </w:t>
      </w:r>
      <w:r w:rsidRPr="00744DCA">
        <w:rPr>
          <w:noProof/>
        </w:rPr>
        <w:t xml:space="preserve">on: </w:t>
      </w:r>
    </w:p>
    <w:p w14:paraId="5EB7513E" w14:textId="77777777" w:rsidR="00CB5EDF" w:rsidRPr="00744DCA" w:rsidRDefault="00997AB0" w:rsidP="00B2056B">
      <w:pPr>
        <w:pStyle w:val="Point1"/>
        <w:rPr>
          <w:noProof/>
        </w:rPr>
      </w:pPr>
      <w:r>
        <w:rPr>
          <w:noProof/>
        </w:rPr>
        <w:t>(a)</w:t>
      </w:r>
      <w:r>
        <w:rPr>
          <w:noProof/>
        </w:rPr>
        <w:tab/>
      </w:r>
      <w:r w:rsidRPr="00744DCA">
        <w:rPr>
          <w:noProof/>
        </w:rPr>
        <w:t xml:space="preserve">the </w:t>
      </w:r>
      <w:r w:rsidR="00CB5EDF" w:rsidRPr="00744DCA">
        <w:rPr>
          <w:noProof/>
        </w:rPr>
        <w:t xml:space="preserve">preliminary findings of the Commission, including any matter to which the Commission has taken objections; </w:t>
      </w:r>
    </w:p>
    <w:p w14:paraId="39B4976F" w14:textId="77777777" w:rsidR="00CB5EDF" w:rsidRPr="00744DCA" w:rsidRDefault="00997AB0" w:rsidP="00B2056B">
      <w:pPr>
        <w:pStyle w:val="Point1"/>
        <w:rPr>
          <w:noProof/>
        </w:rPr>
      </w:pPr>
      <w:r>
        <w:rPr>
          <w:noProof/>
        </w:rPr>
        <w:t>(b)</w:t>
      </w:r>
      <w:r>
        <w:rPr>
          <w:noProof/>
        </w:rPr>
        <w:tab/>
      </w:r>
      <w:r w:rsidRPr="00744DCA">
        <w:rPr>
          <w:noProof/>
        </w:rPr>
        <w:t xml:space="preserve">the </w:t>
      </w:r>
      <w:r w:rsidR="00CB5EDF" w:rsidRPr="00744DCA">
        <w:rPr>
          <w:noProof/>
        </w:rPr>
        <w:t>measures that the Commission may intend to take in view of the preliminary findings pursuant to point (a) of this paragraph.</w:t>
      </w:r>
    </w:p>
    <w:p w14:paraId="602243FB" w14:textId="77777777" w:rsidR="00CB5EDF" w:rsidRPr="00744DCA" w:rsidRDefault="000A2B0C" w:rsidP="00B2056B">
      <w:pPr>
        <w:pStyle w:val="ManualNumPar1"/>
        <w:rPr>
          <w:noProof/>
        </w:rPr>
      </w:pPr>
      <w:r>
        <w:rPr>
          <w:noProof/>
        </w:rPr>
        <w:t>2.</w:t>
      </w:r>
      <w:r>
        <w:rPr>
          <w:noProof/>
        </w:rPr>
        <w:tab/>
      </w:r>
      <w:r w:rsidRPr="00744DCA">
        <w:rPr>
          <w:noProof/>
          <w:lang w:val="en-IE"/>
        </w:rPr>
        <w:t xml:space="preserve">The concerned undertakings and associations, including their owners or representatives </w:t>
      </w:r>
      <w:r w:rsidR="00CB5EDF" w:rsidRPr="00744DCA">
        <w:rPr>
          <w:noProof/>
        </w:rPr>
        <w:t>may submit their observations to the Commission’s preliminary findings within a time limit which shall be fixed by the Commission in its preliminary findings, and which may not be less than 14 working days.</w:t>
      </w:r>
    </w:p>
    <w:p w14:paraId="1D96D90A" w14:textId="77777777" w:rsidR="00CB5EDF" w:rsidRPr="00744DCA" w:rsidRDefault="00CB5EDF" w:rsidP="00B2056B">
      <w:pPr>
        <w:pStyle w:val="ManualNumPar1"/>
        <w:rPr>
          <w:noProof/>
        </w:rPr>
      </w:pPr>
      <w:r>
        <w:rPr>
          <w:noProof/>
        </w:rPr>
        <w:t>3.</w:t>
      </w:r>
      <w:r>
        <w:rPr>
          <w:noProof/>
        </w:rPr>
        <w:tab/>
      </w:r>
      <w:r w:rsidRPr="00744DCA">
        <w:rPr>
          <w:noProof/>
        </w:rPr>
        <w:t xml:space="preserve">The Commission shall base its </w:t>
      </w:r>
      <w:r w:rsidR="008F42DB" w:rsidRPr="00744DCA">
        <w:rPr>
          <w:noProof/>
        </w:rPr>
        <w:t xml:space="preserve">imposition of fines or periodic penalty payments </w:t>
      </w:r>
      <w:r w:rsidRPr="00744DCA">
        <w:rPr>
          <w:noProof/>
        </w:rPr>
        <w:t xml:space="preserve">only on objections on which </w:t>
      </w:r>
      <w:bookmarkStart w:id="9" w:name="_Hlk159512145"/>
      <w:r w:rsidR="009A352F" w:rsidRPr="00744DCA">
        <w:rPr>
          <w:noProof/>
          <w:lang w:val="en-IE"/>
        </w:rPr>
        <w:t>the concerned undertakings and associations, including their owners or representatives</w:t>
      </w:r>
      <w:bookmarkEnd w:id="9"/>
      <w:r w:rsidR="002C3182" w:rsidRPr="00744DCA">
        <w:rPr>
          <w:noProof/>
          <w:lang w:val="en-IE"/>
        </w:rPr>
        <w:t>,</w:t>
      </w:r>
      <w:r w:rsidR="009A352F" w:rsidRPr="00744DCA">
        <w:rPr>
          <w:noProof/>
          <w:lang w:val="en-IE"/>
        </w:rPr>
        <w:t xml:space="preserve"> </w:t>
      </w:r>
      <w:r w:rsidRPr="00744DCA">
        <w:rPr>
          <w:noProof/>
        </w:rPr>
        <w:t>have been able to comment.</w:t>
      </w:r>
    </w:p>
    <w:p w14:paraId="3F111AD7" w14:textId="77777777" w:rsidR="00CB5EDF" w:rsidRPr="00744DCA" w:rsidRDefault="002B0D85" w:rsidP="00B2056B">
      <w:pPr>
        <w:pStyle w:val="ManualNumPar1"/>
        <w:rPr>
          <w:noProof/>
        </w:rPr>
      </w:pPr>
      <w:r>
        <w:rPr>
          <w:noProof/>
        </w:rPr>
        <w:t>4.</w:t>
      </w:r>
      <w:r>
        <w:rPr>
          <w:noProof/>
        </w:rPr>
        <w:tab/>
      </w:r>
      <w:r w:rsidRPr="00744DCA">
        <w:rPr>
          <w:noProof/>
          <w:lang w:val="en-IE"/>
        </w:rPr>
        <w:t>Where the Commission has informed the concerned undertakings and associations, including their owners or representatives</w:t>
      </w:r>
      <w:r w:rsidR="00D94216" w:rsidRPr="00744DCA">
        <w:rPr>
          <w:noProof/>
          <w:lang w:val="en-IE"/>
        </w:rPr>
        <w:t>,</w:t>
      </w:r>
      <w:r w:rsidRPr="00744DCA">
        <w:rPr>
          <w:noProof/>
          <w:lang w:val="en-IE"/>
        </w:rPr>
        <w:t xml:space="preserve"> of its preliminary findings as referred to in paragraph (1), it shall give access, if so requested, </w:t>
      </w:r>
      <w:r w:rsidR="00D94216" w:rsidRPr="00744DCA">
        <w:rPr>
          <w:noProof/>
          <w:lang w:val="en-IE"/>
        </w:rPr>
        <w:t xml:space="preserve">to </w:t>
      </w:r>
      <w:r w:rsidR="00CB5EDF" w:rsidRPr="00744DCA">
        <w:rPr>
          <w:noProof/>
        </w:rPr>
        <w:t>the Commission's file under the terms of a negotiated disclosure, subject to the legitimate interest of undertakings in the protection of their business secrets</w:t>
      </w:r>
      <w:r w:rsidR="00BB3F44" w:rsidRPr="00744DCA">
        <w:rPr>
          <w:noProof/>
          <w:lang w:val="en-IE"/>
        </w:rPr>
        <w:t>, or in order to preserve business secrets or other confidential information of any person</w:t>
      </w:r>
      <w:r w:rsidR="00CB5EDF" w:rsidRPr="00744DCA">
        <w:rPr>
          <w:noProof/>
        </w:rPr>
        <w:t>. The right of access to the file shall not extend to confidential information and internal documents of the Commission or the authorities of the Member States. In particular, the right of access shall not extend to correspondence between the Commission and the authorities of the Member States. Nothing in this paragraph shall prevent the Commission from disclosing and using information necessary to prove an infringement.</w:t>
      </w:r>
    </w:p>
    <w:p w14:paraId="0E3F8B84" w14:textId="77777777" w:rsidR="00CB5EDF" w:rsidRPr="00744DCA" w:rsidRDefault="00CB5EDF" w:rsidP="00CB5EDF">
      <w:pPr>
        <w:pStyle w:val="ChapterTitle"/>
        <w:rPr>
          <w:noProof/>
        </w:rPr>
      </w:pPr>
      <w:r w:rsidRPr="00744DCA">
        <w:rPr>
          <w:noProof/>
        </w:rPr>
        <w:t>Chapter V</w:t>
      </w:r>
    </w:p>
    <w:p w14:paraId="36D7FF86" w14:textId="77777777" w:rsidR="00CB5EDF" w:rsidRPr="00744DCA" w:rsidRDefault="00CB5EDF" w:rsidP="00CB5EDF">
      <w:pPr>
        <w:pStyle w:val="ChapterTitle"/>
        <w:rPr>
          <w:noProof/>
        </w:rPr>
      </w:pPr>
      <w:r w:rsidRPr="00744DCA">
        <w:rPr>
          <w:noProof/>
        </w:rPr>
        <w:t>Governance, evaluation and control</w:t>
      </w:r>
    </w:p>
    <w:p w14:paraId="177296D7" w14:textId="77777777" w:rsidR="00CB5EDF" w:rsidRPr="00744DCA" w:rsidRDefault="00CB5EDF" w:rsidP="00CB5EDF">
      <w:pPr>
        <w:pStyle w:val="Titrearticle"/>
        <w:rPr>
          <w:noProof/>
        </w:rPr>
      </w:pPr>
      <w:r w:rsidRPr="00744DCA">
        <w:rPr>
          <w:noProof/>
        </w:rPr>
        <w:t xml:space="preserve">Article </w:t>
      </w:r>
      <w:r w:rsidR="00C0301B" w:rsidRPr="00744DCA">
        <w:rPr>
          <w:noProof/>
        </w:rPr>
        <w:t>5</w:t>
      </w:r>
      <w:r w:rsidR="00D048CC" w:rsidRPr="00744DCA">
        <w:rPr>
          <w:noProof/>
        </w:rPr>
        <w:t>7</w:t>
      </w:r>
    </w:p>
    <w:p w14:paraId="221183CF" w14:textId="77777777" w:rsidR="00CB5EDF" w:rsidRPr="00744DCA" w:rsidRDefault="00CB5EDF" w:rsidP="00CB5EDF">
      <w:pPr>
        <w:pStyle w:val="Titrearticle"/>
        <w:rPr>
          <w:b/>
          <w:i w:val="0"/>
          <w:noProof/>
        </w:rPr>
      </w:pPr>
      <w:r w:rsidRPr="00744DCA">
        <w:rPr>
          <w:b/>
          <w:i w:val="0"/>
          <w:noProof/>
        </w:rPr>
        <w:t>Defence Industrial Readiness Board</w:t>
      </w:r>
    </w:p>
    <w:p w14:paraId="14FA5D8A" w14:textId="77777777" w:rsidR="00CB5EDF" w:rsidRPr="00744DCA" w:rsidRDefault="00CB5EDF" w:rsidP="00B2056B">
      <w:pPr>
        <w:pStyle w:val="ManualNumPar1"/>
        <w:rPr>
          <w:noProof/>
        </w:rPr>
      </w:pPr>
      <w:r>
        <w:rPr>
          <w:noProof/>
        </w:rPr>
        <w:t>1.</w:t>
      </w:r>
      <w:r>
        <w:rPr>
          <w:noProof/>
        </w:rPr>
        <w:tab/>
      </w:r>
      <w:r w:rsidRPr="00744DCA">
        <w:rPr>
          <w:noProof/>
        </w:rPr>
        <w:t xml:space="preserve">The Defence Industrial Readiness Board is hereby established. </w:t>
      </w:r>
    </w:p>
    <w:p w14:paraId="63E33998" w14:textId="7BD3C812" w:rsidR="00CB5EDF" w:rsidRPr="00744DCA" w:rsidRDefault="00CB5EDF" w:rsidP="00B2056B">
      <w:pPr>
        <w:pStyle w:val="ManualNumPar1"/>
        <w:rPr>
          <w:noProof/>
        </w:rPr>
      </w:pPr>
      <w:r>
        <w:rPr>
          <w:noProof/>
        </w:rPr>
        <w:t>2.</w:t>
      </w:r>
      <w:r>
        <w:rPr>
          <w:noProof/>
        </w:rPr>
        <w:tab/>
      </w:r>
      <w:r w:rsidRPr="00744DCA">
        <w:rPr>
          <w:noProof/>
        </w:rPr>
        <w:t xml:space="preserve">The general task of the Board is to assist and provide </w:t>
      </w:r>
      <w:r w:rsidR="00115B83" w:rsidRPr="00744DCA">
        <w:rPr>
          <w:noProof/>
        </w:rPr>
        <w:t>advice</w:t>
      </w:r>
      <w:r w:rsidRPr="00744DCA">
        <w:rPr>
          <w:noProof/>
        </w:rPr>
        <w:t xml:space="preserve"> </w:t>
      </w:r>
      <w:r w:rsidR="000E1A2B" w:rsidRPr="00744DCA">
        <w:rPr>
          <w:noProof/>
        </w:rPr>
        <w:t>and recommendations</w:t>
      </w:r>
      <w:r w:rsidRPr="00744DCA">
        <w:rPr>
          <w:noProof/>
        </w:rPr>
        <w:t xml:space="preserve"> to the Commission pursuant to this Regulation, in particular pursuant to its Chapter </w:t>
      </w:r>
      <w:r>
        <w:rPr>
          <w:noProof/>
        </w:rPr>
        <w:t>I</w:t>
      </w:r>
      <w:r w:rsidRPr="00744DCA">
        <w:rPr>
          <w:noProof/>
        </w:rPr>
        <w:t>V [Security of Supply].</w:t>
      </w:r>
    </w:p>
    <w:p w14:paraId="1F255A7B" w14:textId="77777777" w:rsidR="00CB5EDF" w:rsidRPr="00744DCA" w:rsidRDefault="00CB5EDF" w:rsidP="00B2056B">
      <w:pPr>
        <w:pStyle w:val="ManualNumPar1"/>
        <w:rPr>
          <w:noProof/>
        </w:rPr>
      </w:pPr>
      <w:r>
        <w:rPr>
          <w:noProof/>
        </w:rPr>
        <w:t>3.</w:t>
      </w:r>
      <w:r>
        <w:rPr>
          <w:noProof/>
        </w:rPr>
        <w:tab/>
      </w:r>
      <w:r w:rsidRPr="00744DCA">
        <w:rPr>
          <w:noProof/>
        </w:rPr>
        <w:t xml:space="preserve">To assist the Commission in the implementation of the measures referred to in Chapter II, the Defence Industrial Readiness Board shall </w:t>
      </w:r>
      <w:r w:rsidR="00154DBD" w:rsidRPr="00744DCA">
        <w:rPr>
          <w:noProof/>
        </w:rPr>
        <w:t xml:space="preserve">assist </w:t>
      </w:r>
      <w:r w:rsidRPr="00744DCA">
        <w:rPr>
          <w:noProof/>
        </w:rPr>
        <w:t xml:space="preserve">the </w:t>
      </w:r>
      <w:r w:rsidR="00154DBD" w:rsidRPr="00744DCA">
        <w:rPr>
          <w:noProof/>
        </w:rPr>
        <w:t>latter in the</w:t>
      </w:r>
      <w:r w:rsidRPr="00744DCA">
        <w:rPr>
          <w:noProof/>
        </w:rPr>
        <w:t xml:space="preserve"> identification of funding priority areas, taking into account the defence capability priorities commonly agreed by Member States within the framework of the Common Foreign and Security Policy (CFSP), in particular in the context of the Capability Development Plan.</w:t>
      </w:r>
    </w:p>
    <w:p w14:paraId="770CE77D" w14:textId="77777777" w:rsidR="00CB5EDF" w:rsidRPr="00744DCA" w:rsidRDefault="00CB5EDF" w:rsidP="00B2056B">
      <w:pPr>
        <w:pStyle w:val="ManualNumPar1"/>
        <w:rPr>
          <w:noProof/>
        </w:rPr>
      </w:pPr>
      <w:r>
        <w:rPr>
          <w:noProof/>
        </w:rPr>
        <w:t>4.</w:t>
      </w:r>
      <w:r>
        <w:rPr>
          <w:noProof/>
        </w:rPr>
        <w:tab/>
      </w:r>
      <w:r w:rsidRPr="00744DCA">
        <w:rPr>
          <w:noProof/>
        </w:rPr>
        <w:t>The Commission shall maintain a regular flow of information to the Defence Industrial Readiness Board on any planned measures or measures that have been taken related to the activation of the supply crisis or security-related supply crisis state. The Commission shall provide the necessary information through a secured IT system.</w:t>
      </w:r>
    </w:p>
    <w:p w14:paraId="45199933" w14:textId="77777777" w:rsidR="00CB5EDF" w:rsidRPr="00744DCA" w:rsidRDefault="00CB5EDF">
      <w:pPr>
        <w:pStyle w:val="ManualNumPar1"/>
        <w:rPr>
          <w:noProof/>
        </w:rPr>
      </w:pPr>
      <w:r>
        <w:rPr>
          <w:noProof/>
        </w:rPr>
        <w:t>5.</w:t>
      </w:r>
      <w:r>
        <w:rPr>
          <w:noProof/>
        </w:rPr>
        <w:tab/>
      </w:r>
      <w:r w:rsidRPr="00744DCA">
        <w:rPr>
          <w:noProof/>
        </w:rPr>
        <w:t xml:space="preserve">For the purposes of the supply-crisis state as referred to in Article </w:t>
      </w:r>
      <w:r w:rsidR="00170AEF" w:rsidRPr="00744DCA">
        <w:rPr>
          <w:noProof/>
        </w:rPr>
        <w:t>4</w:t>
      </w:r>
      <w:r w:rsidR="00157D1A" w:rsidRPr="00744DCA">
        <w:rPr>
          <w:noProof/>
        </w:rPr>
        <w:t>4</w:t>
      </w:r>
      <w:r w:rsidRPr="00744DCA">
        <w:rPr>
          <w:noProof/>
        </w:rPr>
        <w:t>, the Defence Industrial Readiness Board shall assist the Commission in the following tasks:</w:t>
      </w:r>
    </w:p>
    <w:p w14:paraId="02171DDC" w14:textId="77777777" w:rsidR="00CB5EDF" w:rsidRPr="00744DCA" w:rsidRDefault="00CB5EDF" w:rsidP="00B2056B">
      <w:pPr>
        <w:pStyle w:val="Point1"/>
        <w:rPr>
          <w:noProof/>
        </w:rPr>
      </w:pPr>
      <w:r>
        <w:rPr>
          <w:noProof/>
        </w:rPr>
        <w:t>(a)</w:t>
      </w:r>
      <w:r>
        <w:rPr>
          <w:noProof/>
        </w:rPr>
        <w:tab/>
      </w:r>
      <w:r w:rsidRPr="00744DCA">
        <w:rPr>
          <w:noProof/>
        </w:rPr>
        <w:t>analysing crisis-relevant information gathered by Member States or the Commission;</w:t>
      </w:r>
    </w:p>
    <w:p w14:paraId="4BE13CB7" w14:textId="77777777" w:rsidR="00CB5EDF" w:rsidRPr="00744DCA" w:rsidRDefault="00A3353F" w:rsidP="00B91A8D">
      <w:pPr>
        <w:pStyle w:val="Point1"/>
        <w:rPr>
          <w:noProof/>
        </w:rPr>
      </w:pPr>
      <w:r>
        <w:rPr>
          <w:noProof/>
        </w:rPr>
        <w:t>(b)</w:t>
      </w:r>
      <w:r>
        <w:rPr>
          <w:noProof/>
        </w:rPr>
        <w:tab/>
      </w:r>
      <w:r w:rsidRPr="00744DCA">
        <w:rPr>
          <w:noProof/>
        </w:rPr>
        <w:t xml:space="preserve">assessing </w:t>
      </w:r>
      <w:r w:rsidR="00CB5EDF" w:rsidRPr="00744DCA">
        <w:rPr>
          <w:noProof/>
        </w:rPr>
        <w:t>whether the criteria for activation or deactivation of the supply-crisis state have been fulfilled;</w:t>
      </w:r>
    </w:p>
    <w:p w14:paraId="1AE31060" w14:textId="77777777" w:rsidR="00CB5EDF" w:rsidRPr="00744DCA" w:rsidRDefault="00CB5EDF" w:rsidP="00B91A8D">
      <w:pPr>
        <w:pStyle w:val="Point1"/>
        <w:rPr>
          <w:noProof/>
        </w:rPr>
      </w:pPr>
      <w:r>
        <w:rPr>
          <w:noProof/>
        </w:rPr>
        <w:t>(c)</w:t>
      </w:r>
      <w:r>
        <w:rPr>
          <w:noProof/>
        </w:rPr>
        <w:tab/>
      </w:r>
      <w:r w:rsidRPr="00744DCA">
        <w:rPr>
          <w:noProof/>
        </w:rPr>
        <w:t>providing guidance on the implementation of the measures chosen to respond to supply crisis at Union level;</w:t>
      </w:r>
    </w:p>
    <w:p w14:paraId="13F7FFD4" w14:textId="77777777" w:rsidR="00CB5EDF" w:rsidRPr="00744DCA" w:rsidRDefault="00CB5EDF" w:rsidP="00B91A8D">
      <w:pPr>
        <w:pStyle w:val="Point1"/>
        <w:rPr>
          <w:noProof/>
        </w:rPr>
      </w:pPr>
      <w:r>
        <w:rPr>
          <w:noProof/>
        </w:rPr>
        <w:t>(d)</w:t>
      </w:r>
      <w:r>
        <w:rPr>
          <w:noProof/>
        </w:rPr>
        <w:tab/>
      </w:r>
      <w:r w:rsidRPr="00744DCA">
        <w:rPr>
          <w:noProof/>
        </w:rPr>
        <w:t>performing a review of national crisis measures;</w:t>
      </w:r>
    </w:p>
    <w:p w14:paraId="2C1E3066" w14:textId="77777777" w:rsidR="00CB5EDF" w:rsidRPr="00744DCA" w:rsidRDefault="00CB5EDF" w:rsidP="00B91A8D">
      <w:pPr>
        <w:pStyle w:val="Point1"/>
        <w:rPr>
          <w:noProof/>
        </w:rPr>
      </w:pPr>
      <w:r>
        <w:rPr>
          <w:noProof/>
        </w:rPr>
        <w:t>(e)</w:t>
      </w:r>
      <w:r>
        <w:rPr>
          <w:noProof/>
        </w:rPr>
        <w:tab/>
      </w:r>
      <w:r w:rsidRPr="00744DCA">
        <w:rPr>
          <w:noProof/>
        </w:rPr>
        <w:t>facilitating exchanges and sharing of information, including with other crisis-relevant bodies at Union level, as well as, as appropriate, third countries, with particular attention paid to developing countries, and international organisations.</w:t>
      </w:r>
    </w:p>
    <w:p w14:paraId="1D337E5E" w14:textId="77777777" w:rsidR="00CB5EDF" w:rsidRPr="00744DCA" w:rsidRDefault="00CB5EDF">
      <w:pPr>
        <w:pStyle w:val="ManualNumPar1"/>
        <w:rPr>
          <w:noProof/>
        </w:rPr>
      </w:pPr>
      <w:r>
        <w:rPr>
          <w:noProof/>
        </w:rPr>
        <w:t>6.</w:t>
      </w:r>
      <w:r>
        <w:rPr>
          <w:noProof/>
        </w:rPr>
        <w:tab/>
      </w:r>
      <w:r w:rsidRPr="00744DCA">
        <w:rPr>
          <w:noProof/>
        </w:rPr>
        <w:t>For the purposes of the security-related supply-crisis state as referred to in Article 4</w:t>
      </w:r>
      <w:r w:rsidR="00157D1A" w:rsidRPr="00744DCA">
        <w:rPr>
          <w:noProof/>
        </w:rPr>
        <w:t>8</w:t>
      </w:r>
      <w:r w:rsidRPr="00744DCA">
        <w:rPr>
          <w:noProof/>
        </w:rPr>
        <w:t>, the Defence Industrial Readiness Board shall:</w:t>
      </w:r>
    </w:p>
    <w:p w14:paraId="5B83904C" w14:textId="77777777" w:rsidR="00CB5EDF" w:rsidRPr="00744DCA" w:rsidRDefault="00096082" w:rsidP="00B2056B">
      <w:pPr>
        <w:pStyle w:val="Point1"/>
        <w:rPr>
          <w:noProof/>
        </w:rPr>
      </w:pPr>
      <w:r>
        <w:rPr>
          <w:noProof/>
        </w:rPr>
        <w:t>(a)</w:t>
      </w:r>
      <w:r>
        <w:rPr>
          <w:noProof/>
        </w:rPr>
        <w:tab/>
      </w:r>
      <w:r w:rsidRPr="00744DCA">
        <w:rPr>
          <w:noProof/>
        </w:rPr>
        <w:t>facilitate</w:t>
      </w:r>
      <w:r w:rsidR="002B3F33" w:rsidRPr="00744DCA">
        <w:rPr>
          <w:noProof/>
        </w:rPr>
        <w:t xml:space="preserve"> </w:t>
      </w:r>
      <w:r w:rsidR="00CB5EDF" w:rsidRPr="00744DCA">
        <w:rPr>
          <w:noProof/>
        </w:rPr>
        <w:t xml:space="preserve">coordinated action by the Commission and the Member States; </w:t>
      </w:r>
    </w:p>
    <w:p w14:paraId="61439DA2" w14:textId="77777777" w:rsidR="00CB5EDF" w:rsidRPr="00744DCA" w:rsidRDefault="00CB5EDF" w:rsidP="00B91A8D">
      <w:pPr>
        <w:pStyle w:val="Point1"/>
        <w:rPr>
          <w:noProof/>
        </w:rPr>
      </w:pPr>
      <w:r>
        <w:rPr>
          <w:noProof/>
        </w:rPr>
        <w:t>(b)</w:t>
      </w:r>
      <w:r>
        <w:rPr>
          <w:noProof/>
        </w:rPr>
        <w:tab/>
      </w:r>
      <w:r w:rsidRPr="00744DCA">
        <w:rPr>
          <w:noProof/>
        </w:rPr>
        <w:t>adopt opinions and guidance, including specific response measures, for the Member States for ensuring the timely availability and supply of crisis-relevant products;</w:t>
      </w:r>
    </w:p>
    <w:p w14:paraId="7A032A83" w14:textId="77777777" w:rsidR="00CB5EDF" w:rsidRPr="00744DCA" w:rsidRDefault="2E77E3AA" w:rsidP="00B91A8D">
      <w:pPr>
        <w:pStyle w:val="Point1"/>
        <w:rPr>
          <w:noProof/>
        </w:rPr>
      </w:pPr>
      <w:r>
        <w:rPr>
          <w:noProof/>
        </w:rPr>
        <w:t>(c)</w:t>
      </w:r>
      <w:r>
        <w:rPr>
          <w:noProof/>
        </w:rPr>
        <w:tab/>
      </w:r>
      <w:r w:rsidRPr="00744DCA">
        <w:rPr>
          <w:noProof/>
        </w:rPr>
        <w:t>a</w:t>
      </w:r>
      <w:r w:rsidR="27E7FAAB" w:rsidRPr="00744DCA">
        <w:rPr>
          <w:noProof/>
        </w:rPr>
        <w:t xml:space="preserve">ssist and </w:t>
      </w:r>
      <w:r w:rsidR="74F877ED" w:rsidRPr="00744DCA">
        <w:rPr>
          <w:noProof/>
        </w:rPr>
        <w:t xml:space="preserve">provide </w:t>
      </w:r>
      <w:r w:rsidR="27E7FAAB" w:rsidRPr="00744DCA">
        <w:rPr>
          <w:noProof/>
        </w:rPr>
        <w:t>guidance on the activation of measures as referred to in Articles 4</w:t>
      </w:r>
      <w:r w:rsidR="00157D1A" w:rsidRPr="00744DCA">
        <w:rPr>
          <w:noProof/>
        </w:rPr>
        <w:t>9</w:t>
      </w:r>
      <w:r w:rsidR="27E7FAAB" w:rsidRPr="00744DCA">
        <w:rPr>
          <w:noProof/>
        </w:rPr>
        <w:t xml:space="preserve"> to </w:t>
      </w:r>
      <w:r w:rsidR="00B84854" w:rsidRPr="00744DCA">
        <w:rPr>
          <w:noProof/>
        </w:rPr>
        <w:t>5</w:t>
      </w:r>
      <w:r w:rsidR="00157D1A" w:rsidRPr="00744DCA">
        <w:rPr>
          <w:noProof/>
        </w:rPr>
        <w:t>4</w:t>
      </w:r>
      <w:r w:rsidR="27E7FAAB" w:rsidRPr="00744DCA">
        <w:rPr>
          <w:noProof/>
        </w:rPr>
        <w:t>;</w:t>
      </w:r>
    </w:p>
    <w:p w14:paraId="6682DB8C" w14:textId="77777777" w:rsidR="00CB5EDF" w:rsidRPr="00744DCA" w:rsidRDefault="00D27B96" w:rsidP="00B91A8D">
      <w:pPr>
        <w:pStyle w:val="Point1"/>
        <w:rPr>
          <w:noProof/>
        </w:rPr>
      </w:pPr>
      <w:r>
        <w:rPr>
          <w:noProof/>
        </w:rPr>
        <w:t>(d)</w:t>
      </w:r>
      <w:r>
        <w:rPr>
          <w:noProof/>
        </w:rPr>
        <w:tab/>
      </w:r>
      <w:r w:rsidRPr="00744DCA">
        <w:rPr>
          <w:noProof/>
        </w:rPr>
        <w:t xml:space="preserve">provide a forum for the </w:t>
      </w:r>
      <w:r w:rsidR="00096082" w:rsidRPr="00744DCA">
        <w:rPr>
          <w:noProof/>
        </w:rPr>
        <w:t>co</w:t>
      </w:r>
      <w:r w:rsidR="002B3F33" w:rsidRPr="00744DCA">
        <w:rPr>
          <w:noProof/>
        </w:rPr>
        <w:t>ordinat</w:t>
      </w:r>
      <w:r w:rsidR="00096082" w:rsidRPr="00744DCA">
        <w:rPr>
          <w:noProof/>
        </w:rPr>
        <w:t>ion of</w:t>
      </w:r>
      <w:r w:rsidR="002B3F33" w:rsidRPr="00744DCA">
        <w:rPr>
          <w:noProof/>
        </w:rPr>
        <w:t xml:space="preserve"> </w:t>
      </w:r>
      <w:r w:rsidR="00CB5EDF" w:rsidRPr="00744DCA">
        <w:rPr>
          <w:noProof/>
        </w:rPr>
        <w:t xml:space="preserve">actions of </w:t>
      </w:r>
      <w:r w:rsidR="00096082" w:rsidRPr="00744DCA">
        <w:rPr>
          <w:noProof/>
        </w:rPr>
        <w:t xml:space="preserve">the </w:t>
      </w:r>
      <w:r w:rsidR="00CB5EDF" w:rsidRPr="00744DCA">
        <w:rPr>
          <w:noProof/>
        </w:rPr>
        <w:t xml:space="preserve">Council, </w:t>
      </w:r>
      <w:r w:rsidR="00096082" w:rsidRPr="00744DCA">
        <w:rPr>
          <w:noProof/>
        </w:rPr>
        <w:t xml:space="preserve">the </w:t>
      </w:r>
      <w:r w:rsidR="00CB5EDF" w:rsidRPr="00744DCA">
        <w:rPr>
          <w:noProof/>
        </w:rPr>
        <w:t>Commission,</w:t>
      </w:r>
      <w:r w:rsidR="00096082" w:rsidRPr="00744DCA">
        <w:rPr>
          <w:noProof/>
        </w:rPr>
        <w:t xml:space="preserve"> and other relevant</w:t>
      </w:r>
      <w:r w:rsidR="00CB5EDF" w:rsidRPr="00744DCA">
        <w:rPr>
          <w:noProof/>
        </w:rPr>
        <w:t xml:space="preserve"> Union bodies.</w:t>
      </w:r>
    </w:p>
    <w:p w14:paraId="452D82B8" w14:textId="77777777" w:rsidR="00CB5EDF" w:rsidRPr="00744DCA" w:rsidRDefault="00CB5EDF" w:rsidP="003D5D3A">
      <w:pPr>
        <w:pStyle w:val="ManualNumPar1"/>
        <w:rPr>
          <w:noProof/>
        </w:rPr>
      </w:pPr>
      <w:r>
        <w:rPr>
          <w:noProof/>
        </w:rPr>
        <w:t>7.</w:t>
      </w:r>
      <w:r>
        <w:rPr>
          <w:noProof/>
        </w:rPr>
        <w:tab/>
      </w:r>
      <w:r w:rsidRPr="00744DCA">
        <w:rPr>
          <w:noProof/>
        </w:rPr>
        <w:t xml:space="preserve">The Defence Industrial Readiness Board shall be composed of the representatives of the Commission, the High-Representative and Head of the European Defence Agency, Member States and associated countries. Each Member State or associated country shall nominate one representative and one alternate representative. </w:t>
      </w:r>
      <w:r w:rsidR="00096082" w:rsidRPr="00744DCA">
        <w:rPr>
          <w:noProof/>
        </w:rPr>
        <w:t>The Board shall be chaired by the Commission for the purposes of the tasks laid down in this Regulation.</w:t>
      </w:r>
      <w:r w:rsidR="003D5D3A" w:rsidRPr="00744DCA">
        <w:rPr>
          <w:noProof/>
        </w:rPr>
        <w:t xml:space="preserve"> </w:t>
      </w:r>
      <w:r w:rsidRPr="00744DCA">
        <w:rPr>
          <w:noProof/>
        </w:rPr>
        <w:t xml:space="preserve">The secretariat of the Defence Industrial Readiness Board shall be ensured by the Commission. </w:t>
      </w:r>
    </w:p>
    <w:p w14:paraId="7DFCA628" w14:textId="77777777" w:rsidR="00CB5EDF" w:rsidRPr="00744DCA" w:rsidRDefault="00CB5EDF">
      <w:pPr>
        <w:pStyle w:val="ManualNumPar1"/>
        <w:rPr>
          <w:noProof/>
        </w:rPr>
      </w:pPr>
      <w:r>
        <w:rPr>
          <w:noProof/>
        </w:rPr>
        <w:t>8.</w:t>
      </w:r>
      <w:r>
        <w:rPr>
          <w:noProof/>
        </w:rPr>
        <w:tab/>
      </w:r>
      <w:r w:rsidRPr="00744DCA">
        <w:rPr>
          <w:noProof/>
        </w:rPr>
        <w:t xml:space="preserve">The Defence Industrial Readiness Board shall meet whenever the situation requires, upon request from the Commission or a Member State or an associated country. It shall adopt its rules of procedure on the basis of a proposal submitted by the Commission. </w:t>
      </w:r>
    </w:p>
    <w:p w14:paraId="607F3A26" w14:textId="77777777" w:rsidR="00CB5EDF" w:rsidRPr="00744DCA" w:rsidRDefault="00CB5EDF">
      <w:pPr>
        <w:pStyle w:val="ManualNumPar1"/>
        <w:rPr>
          <w:noProof/>
        </w:rPr>
      </w:pPr>
      <w:r>
        <w:rPr>
          <w:noProof/>
        </w:rPr>
        <w:t>9.</w:t>
      </w:r>
      <w:r>
        <w:rPr>
          <w:noProof/>
        </w:rPr>
        <w:tab/>
      </w:r>
      <w:r w:rsidRPr="00744DCA">
        <w:rPr>
          <w:noProof/>
        </w:rPr>
        <w:t xml:space="preserve">The Defence Industrial Readiness Board may issue opinions, upon the request of the Commission or on its own initiative. The Defence Industrial Readiness Board shall endeavour to find solutions which command the widest possible support. </w:t>
      </w:r>
    </w:p>
    <w:p w14:paraId="0BE6BA1F" w14:textId="77777777" w:rsidR="00CB5EDF" w:rsidRPr="00744DCA" w:rsidRDefault="00CB5EDF" w:rsidP="00CB5EDF">
      <w:pPr>
        <w:pStyle w:val="ManualNumPar1"/>
        <w:rPr>
          <w:noProof/>
        </w:rPr>
      </w:pPr>
      <w:r>
        <w:rPr>
          <w:noProof/>
        </w:rPr>
        <w:t>10.</w:t>
      </w:r>
      <w:r>
        <w:rPr>
          <w:noProof/>
        </w:rPr>
        <w:tab/>
      </w:r>
      <w:r w:rsidRPr="00744DCA">
        <w:rPr>
          <w:noProof/>
        </w:rPr>
        <w:t>The Defence Industrial Readiness Board shall invite, at least once a year, representatives from National Defence Industrial Associations and selected industrial representatives</w:t>
      </w:r>
      <w:r w:rsidR="00AA6F5B" w:rsidRPr="00744DCA">
        <w:rPr>
          <w:noProof/>
        </w:rPr>
        <w:t>, taking into account the necessity to ensure a</w:t>
      </w:r>
      <w:r w:rsidR="00A065FA" w:rsidRPr="00744DCA">
        <w:rPr>
          <w:noProof/>
        </w:rPr>
        <w:t xml:space="preserve"> balanced geographical representation </w:t>
      </w:r>
      <w:r w:rsidRPr="00744DCA">
        <w:rPr>
          <w:noProof/>
        </w:rPr>
        <w:t>(structured dialogue with defence industry). Where the supply crisis state referred to in Article 4</w:t>
      </w:r>
      <w:r w:rsidR="00A2338B" w:rsidRPr="00744DCA">
        <w:rPr>
          <w:noProof/>
        </w:rPr>
        <w:t>4</w:t>
      </w:r>
      <w:r w:rsidRPr="00744DCA">
        <w:rPr>
          <w:noProof/>
        </w:rPr>
        <w:t xml:space="preserve"> or the security supply crisis state referred to in Article 4</w:t>
      </w:r>
      <w:r w:rsidR="00A2338B" w:rsidRPr="00744DCA">
        <w:rPr>
          <w:noProof/>
        </w:rPr>
        <w:t>8</w:t>
      </w:r>
      <w:r w:rsidRPr="00744DCA">
        <w:rPr>
          <w:noProof/>
        </w:rPr>
        <w:t xml:space="preserve"> has been activated, the Defence Industrial Readiness Board shall invite high-level industrial representatives to meet in special configuration in order to discuss issues linked to crisis-relevant products.</w:t>
      </w:r>
    </w:p>
    <w:p w14:paraId="2D7EE379" w14:textId="77777777" w:rsidR="0044079C" w:rsidRPr="00744DCA" w:rsidRDefault="064593D1" w:rsidP="002E0F3C">
      <w:pPr>
        <w:pStyle w:val="ManualNumPar1"/>
        <w:rPr>
          <w:noProof/>
        </w:rPr>
      </w:pPr>
      <w:r>
        <w:rPr>
          <w:noProof/>
        </w:rPr>
        <w:t>11.</w:t>
      </w:r>
      <w:r>
        <w:rPr>
          <w:noProof/>
        </w:rPr>
        <w:tab/>
      </w:r>
      <w:r w:rsidRPr="00744DCA">
        <w:rPr>
          <w:noProof/>
        </w:rPr>
        <w:t xml:space="preserve">The </w:t>
      </w:r>
      <w:r w:rsidR="00BE4349" w:rsidRPr="00744DCA">
        <w:rPr>
          <w:noProof/>
        </w:rPr>
        <w:t xml:space="preserve">Defence Industrial Readiness Board </w:t>
      </w:r>
      <w:r w:rsidRPr="00744DCA">
        <w:rPr>
          <w:noProof/>
        </w:rPr>
        <w:t>shall invite the representatives of other crisis-relevant bodies at Union level as observers to the relevant meetings of the Board.</w:t>
      </w:r>
    </w:p>
    <w:p w14:paraId="77E952E0" w14:textId="77777777" w:rsidR="00CB5EDF" w:rsidRPr="00744DCA" w:rsidRDefault="299C41F4" w:rsidP="00CB5EDF">
      <w:pPr>
        <w:pStyle w:val="ManualNumPar1"/>
        <w:rPr>
          <w:noProof/>
        </w:rPr>
      </w:pPr>
      <w:r>
        <w:rPr>
          <w:noProof/>
        </w:rPr>
        <w:t>12.</w:t>
      </w:r>
      <w:r>
        <w:rPr>
          <w:noProof/>
        </w:rPr>
        <w:tab/>
      </w:r>
      <w:r w:rsidRPr="00744DCA">
        <w:rPr>
          <w:noProof/>
        </w:rPr>
        <w:t>The Defence Industrial Readiness Board shall invite, where relevant and notably with a view to actions reinforcing the Ukrainian DTIB, in line with its rules of procedure and with due respect to the security and defence interests of the Union and its Member States, a representative from Ukraine to attend meetings as an observer.</w:t>
      </w:r>
    </w:p>
    <w:p w14:paraId="4D1D44E0" w14:textId="77777777" w:rsidR="00CB5EDF" w:rsidRPr="00744DCA" w:rsidRDefault="299C41F4">
      <w:pPr>
        <w:pStyle w:val="ManualNumPar1"/>
        <w:rPr>
          <w:noProof/>
        </w:rPr>
      </w:pPr>
      <w:r>
        <w:rPr>
          <w:noProof/>
        </w:rPr>
        <w:t>13.</w:t>
      </w:r>
      <w:r>
        <w:rPr>
          <w:noProof/>
        </w:rPr>
        <w:tab/>
      </w:r>
      <w:r w:rsidRPr="00744DCA">
        <w:rPr>
          <w:noProof/>
        </w:rPr>
        <w:t xml:space="preserve">The Commission shall ensure transparency and provide </w:t>
      </w:r>
      <w:r w:rsidR="6660C3A4" w:rsidRPr="00744DCA">
        <w:rPr>
          <w:noProof/>
        </w:rPr>
        <w:t xml:space="preserve">members of the Board </w:t>
      </w:r>
      <w:r w:rsidRPr="00744DCA">
        <w:rPr>
          <w:noProof/>
        </w:rPr>
        <w:t>with equal access to information, in order to ensure that the decision-making process reflects the situation and the needs of all Member States.</w:t>
      </w:r>
    </w:p>
    <w:p w14:paraId="76E8159F" w14:textId="77777777" w:rsidR="00CB5EDF" w:rsidRPr="00744DCA" w:rsidRDefault="299C41F4">
      <w:pPr>
        <w:pStyle w:val="ManualNumPar1"/>
        <w:rPr>
          <w:noProof/>
        </w:rPr>
      </w:pPr>
      <w:r>
        <w:rPr>
          <w:noProof/>
        </w:rPr>
        <w:t>14.</w:t>
      </w:r>
      <w:r>
        <w:rPr>
          <w:noProof/>
        </w:rPr>
        <w:tab/>
      </w:r>
      <w:r w:rsidRPr="00744DCA">
        <w:rPr>
          <w:noProof/>
        </w:rPr>
        <w:t xml:space="preserve">The Commission may, on its own initiative or on the proposal of the Defence Industrial Readiness Board, set up working groups on an </w:t>
      </w:r>
      <w:r w:rsidRPr="00744DCA">
        <w:rPr>
          <w:i/>
          <w:iCs/>
          <w:noProof/>
        </w:rPr>
        <w:t>ad hoc</w:t>
      </w:r>
      <w:r w:rsidRPr="00744DCA">
        <w:rPr>
          <w:noProof/>
        </w:rPr>
        <w:t xml:space="preserve"> basis to support the Defence Industrial Readiness Board in its work for the purpose of examining specific questions on the basis of the tasks referred to in paragraph 1. Member States shall nominate experts for the working groups. </w:t>
      </w:r>
    </w:p>
    <w:p w14:paraId="40926335" w14:textId="77777777" w:rsidR="00CB5EDF" w:rsidRPr="00744DCA" w:rsidRDefault="299C41F4">
      <w:pPr>
        <w:pStyle w:val="ManualNumPar1"/>
        <w:rPr>
          <w:noProof/>
        </w:rPr>
      </w:pPr>
      <w:r>
        <w:rPr>
          <w:noProof/>
        </w:rPr>
        <w:t>15.</w:t>
      </w:r>
      <w:r>
        <w:rPr>
          <w:noProof/>
        </w:rPr>
        <w:tab/>
      </w:r>
      <w:r w:rsidRPr="00744DCA">
        <w:rPr>
          <w:noProof/>
        </w:rPr>
        <w:t>The Commission shall set up a working group on legal, regulatory and administrative hurdles. The objectives of this working group are:</w:t>
      </w:r>
    </w:p>
    <w:p w14:paraId="4AF4B834" w14:textId="77777777" w:rsidR="00CB5EDF" w:rsidRPr="00744DCA" w:rsidRDefault="00CB5EDF" w:rsidP="00B2056B">
      <w:pPr>
        <w:pStyle w:val="Point1"/>
        <w:rPr>
          <w:noProof/>
        </w:rPr>
      </w:pPr>
      <w:r>
        <w:rPr>
          <w:noProof/>
        </w:rPr>
        <w:t>(a)</w:t>
      </w:r>
      <w:r>
        <w:rPr>
          <w:noProof/>
        </w:rPr>
        <w:tab/>
      </w:r>
      <w:r w:rsidRPr="00744DCA">
        <w:rPr>
          <w:noProof/>
        </w:rPr>
        <w:t>to identify existing or potential legal, regulatory and administrative obstacles at international, EU and national levels to the achievement of the objectives listed in Article 4;</w:t>
      </w:r>
    </w:p>
    <w:p w14:paraId="294B7577" w14:textId="77777777" w:rsidR="00CB5EDF" w:rsidRPr="00744DCA" w:rsidRDefault="00CB5EDF" w:rsidP="00B2056B">
      <w:pPr>
        <w:pStyle w:val="Point1"/>
        <w:rPr>
          <w:noProof/>
        </w:rPr>
      </w:pPr>
      <w:r>
        <w:rPr>
          <w:noProof/>
        </w:rPr>
        <w:t>(b)</w:t>
      </w:r>
      <w:r>
        <w:rPr>
          <w:noProof/>
        </w:rPr>
        <w:tab/>
      </w:r>
      <w:r w:rsidRPr="00744DCA">
        <w:rPr>
          <w:noProof/>
        </w:rPr>
        <w:t>to identify potential solutions and/or mitigation measures to identified obstacles.</w:t>
      </w:r>
    </w:p>
    <w:p w14:paraId="4EE61026" w14:textId="77777777" w:rsidR="00CB5EDF" w:rsidRPr="00744DCA" w:rsidRDefault="00CB5EDF" w:rsidP="00CB5EDF">
      <w:pPr>
        <w:pStyle w:val="Titrearticle"/>
        <w:rPr>
          <w:noProof/>
        </w:rPr>
      </w:pPr>
      <w:r w:rsidRPr="00744DCA">
        <w:rPr>
          <w:noProof/>
        </w:rPr>
        <w:t xml:space="preserve">Article </w:t>
      </w:r>
      <w:r w:rsidR="00C0301B" w:rsidRPr="00744DCA">
        <w:rPr>
          <w:noProof/>
        </w:rPr>
        <w:t>5</w:t>
      </w:r>
      <w:r w:rsidR="00D048CC" w:rsidRPr="00744DCA">
        <w:rPr>
          <w:noProof/>
        </w:rPr>
        <w:t>8</w:t>
      </w:r>
    </w:p>
    <w:p w14:paraId="6B066B4D" w14:textId="77777777" w:rsidR="00CB5EDF" w:rsidRPr="00744DCA" w:rsidRDefault="00CB5EDF" w:rsidP="00CB5EDF">
      <w:pPr>
        <w:pStyle w:val="Titrearticle"/>
        <w:rPr>
          <w:b/>
          <w:noProof/>
        </w:rPr>
      </w:pPr>
      <w:r w:rsidRPr="00744DCA">
        <w:rPr>
          <w:b/>
          <w:i w:val="0"/>
          <w:noProof/>
        </w:rPr>
        <w:t>Committee Procedure</w:t>
      </w:r>
    </w:p>
    <w:p w14:paraId="704F5F95" w14:textId="77777777" w:rsidR="00CB5EDF" w:rsidRPr="00744DCA" w:rsidRDefault="00CB5EDF" w:rsidP="00B2056B">
      <w:pPr>
        <w:pStyle w:val="ManualNumPar1"/>
        <w:rPr>
          <w:noProof/>
        </w:rPr>
      </w:pPr>
      <w:r>
        <w:rPr>
          <w:noProof/>
        </w:rPr>
        <w:t>1.</w:t>
      </w:r>
      <w:r>
        <w:rPr>
          <w:noProof/>
        </w:rPr>
        <w:tab/>
      </w:r>
      <w:r w:rsidRPr="00744DCA">
        <w:rPr>
          <w:noProof/>
        </w:rPr>
        <w:t>The Commission shall be assisted by a committee. That committee shall be a committee within the meaning of Regulation (EU) No 182/2011.</w:t>
      </w:r>
    </w:p>
    <w:p w14:paraId="3012C5A6" w14:textId="77777777" w:rsidR="00CB5EDF" w:rsidRPr="00744DCA" w:rsidRDefault="00CB5EDF">
      <w:pPr>
        <w:pStyle w:val="ManualNumPar1"/>
        <w:rPr>
          <w:noProof/>
        </w:rPr>
      </w:pPr>
      <w:r>
        <w:rPr>
          <w:noProof/>
        </w:rPr>
        <w:t>2.</w:t>
      </w:r>
      <w:r>
        <w:rPr>
          <w:noProof/>
        </w:rPr>
        <w:tab/>
      </w:r>
      <w:r w:rsidRPr="00744DCA">
        <w:rPr>
          <w:noProof/>
        </w:rPr>
        <w:t>The EDA shall be invited to provide its views and expertise to the committee as an observer. The EEAS shall also be invited to assist in the work of the committee.</w:t>
      </w:r>
    </w:p>
    <w:p w14:paraId="5B354825" w14:textId="77777777" w:rsidR="00CB5EDF" w:rsidRPr="00744DCA" w:rsidRDefault="00CB5EDF">
      <w:pPr>
        <w:pStyle w:val="ManualNumPar1"/>
        <w:rPr>
          <w:noProof/>
        </w:rPr>
      </w:pPr>
      <w:r>
        <w:rPr>
          <w:noProof/>
        </w:rPr>
        <w:t>3.</w:t>
      </w:r>
      <w:r>
        <w:rPr>
          <w:noProof/>
        </w:rPr>
        <w:tab/>
      </w:r>
      <w:r w:rsidRPr="00744DCA">
        <w:rPr>
          <w:noProof/>
        </w:rPr>
        <w:t>Where reference is made to this paragraph, Article 5 of Regulation (EU) No 182/2011 shall apply.</w:t>
      </w:r>
    </w:p>
    <w:p w14:paraId="261DA14A" w14:textId="77777777" w:rsidR="00CB5EDF" w:rsidRPr="00744DCA" w:rsidRDefault="00CB5EDF">
      <w:pPr>
        <w:pStyle w:val="ManualNumPar1"/>
        <w:rPr>
          <w:noProof/>
        </w:rPr>
      </w:pPr>
      <w:r>
        <w:rPr>
          <w:noProof/>
        </w:rPr>
        <w:t>4.</w:t>
      </w:r>
      <w:r>
        <w:rPr>
          <w:noProof/>
        </w:rPr>
        <w:tab/>
      </w:r>
      <w:r w:rsidRPr="00744DCA">
        <w:rPr>
          <w:noProof/>
        </w:rPr>
        <w:t>Where the committee delivers no opinion, the Commission shall not adopt the draft implementing act and Article 5(4), third subparagraph, of Regulation (EU) No 182/2011 shall apply.</w:t>
      </w:r>
    </w:p>
    <w:p w14:paraId="59C1524C" w14:textId="77777777" w:rsidR="00CB5EDF" w:rsidRPr="00FA1F34" w:rsidRDefault="00CB5EDF" w:rsidP="00CB5EDF">
      <w:pPr>
        <w:pStyle w:val="Titrearticle"/>
        <w:rPr>
          <w:noProof/>
          <w:lang w:val="fr-BE"/>
        </w:rPr>
      </w:pPr>
      <w:r w:rsidRPr="00FA1F34">
        <w:rPr>
          <w:noProof/>
          <w:lang w:val="fr-BE"/>
        </w:rPr>
        <w:t xml:space="preserve">Article </w:t>
      </w:r>
      <w:r w:rsidR="00C0301B" w:rsidRPr="00744DCA">
        <w:rPr>
          <w:noProof/>
          <w:lang w:val="fr-BE"/>
        </w:rPr>
        <w:t>5</w:t>
      </w:r>
      <w:r w:rsidR="00D048CC" w:rsidRPr="00744DCA">
        <w:rPr>
          <w:noProof/>
          <w:lang w:val="fr-BE"/>
        </w:rPr>
        <w:t>9</w:t>
      </w:r>
    </w:p>
    <w:p w14:paraId="687F1336" w14:textId="77777777" w:rsidR="006305D0" w:rsidRPr="00FA1F34" w:rsidRDefault="006305D0" w:rsidP="006305D0">
      <w:pPr>
        <w:pStyle w:val="Titrearticle"/>
        <w:rPr>
          <w:b/>
          <w:i w:val="0"/>
          <w:noProof/>
          <w:lang w:val="fr-BE"/>
        </w:rPr>
      </w:pPr>
      <w:r w:rsidRPr="00FA1F34">
        <w:rPr>
          <w:b/>
          <w:i w:val="0"/>
          <w:noProof/>
          <w:lang w:val="fr-BE"/>
        </w:rPr>
        <w:t>EU – UA Framework agreement</w:t>
      </w:r>
    </w:p>
    <w:p w14:paraId="6E10E424" w14:textId="77777777" w:rsidR="006305D0" w:rsidRPr="00744DCA" w:rsidRDefault="006305D0" w:rsidP="00B2056B">
      <w:pPr>
        <w:pStyle w:val="ManualNumPar1"/>
        <w:rPr>
          <w:noProof/>
        </w:rPr>
      </w:pPr>
      <w:r>
        <w:rPr>
          <w:noProof/>
        </w:rPr>
        <w:t>1.</w:t>
      </w:r>
      <w:r>
        <w:rPr>
          <w:noProof/>
        </w:rPr>
        <w:tab/>
      </w:r>
      <w:r w:rsidRPr="00744DCA">
        <w:rPr>
          <w:noProof/>
        </w:rPr>
        <w:t xml:space="preserve">The Commission shall conclude a framework agreement with Ukraine for the implementation of the actions </w:t>
      </w:r>
      <w:r w:rsidR="00AA6A1B" w:rsidRPr="00744DCA">
        <w:rPr>
          <w:noProof/>
        </w:rPr>
        <w:t>set out in this Regulation which concern Ukraine or legal entities established in Ukraine receiving Union funds</w:t>
      </w:r>
      <w:r w:rsidRPr="00744DCA">
        <w:rPr>
          <w:noProof/>
        </w:rPr>
        <w:t xml:space="preserve">. </w:t>
      </w:r>
    </w:p>
    <w:p w14:paraId="190D3E01" w14:textId="77777777" w:rsidR="007577E0" w:rsidRPr="00744DCA" w:rsidRDefault="007577E0" w:rsidP="00B2056B">
      <w:pPr>
        <w:pStyle w:val="ManualNumPar1"/>
        <w:rPr>
          <w:noProof/>
        </w:rPr>
      </w:pPr>
      <w:r>
        <w:rPr>
          <w:noProof/>
        </w:rPr>
        <w:t>2.</w:t>
      </w:r>
      <w:r>
        <w:rPr>
          <w:noProof/>
        </w:rPr>
        <w:tab/>
      </w:r>
      <w:r w:rsidRPr="00744DCA">
        <w:rPr>
          <w:noProof/>
        </w:rPr>
        <w:t>The framework agreement concluded with Ukraine, taken as a whole, and contracts and agreements signed with legal entities established in Ukraine receiving Union funds, shall ensure that the obligations set out in Article 129 of the Financial Regulation can be fulfilled.</w:t>
      </w:r>
    </w:p>
    <w:p w14:paraId="2C1068D5" w14:textId="77777777" w:rsidR="000F7A29" w:rsidRPr="00744DCA" w:rsidRDefault="000F7A29" w:rsidP="00B2056B">
      <w:pPr>
        <w:pStyle w:val="ManualNumPar1"/>
        <w:rPr>
          <w:noProof/>
        </w:rPr>
      </w:pPr>
      <w:r>
        <w:rPr>
          <w:noProof/>
        </w:rPr>
        <w:t>3.</w:t>
      </w:r>
      <w:r>
        <w:rPr>
          <w:noProof/>
        </w:rPr>
        <w:tab/>
      </w:r>
      <w:r w:rsidRPr="00744DCA">
        <w:rPr>
          <w:noProof/>
        </w:rPr>
        <w:t>The framework agreement shall lay down</w:t>
      </w:r>
      <w:r w:rsidR="00127EC7" w:rsidRPr="00744DCA">
        <w:rPr>
          <w:noProof/>
        </w:rPr>
        <w:t xml:space="preserve"> the obligations of the Ukrainian authorities and bodies entrusted of budget implementation tasks to take all the necessary measures including legislative, regulatory and administrative measures to respect the principles of sound financial management, transparency and non-discrimination, to ensure the visibility of Union action when managing the Union funds, to fulfil the appropriate control and audit obligations and assume the resulting responsibilities, and to protect the financial interests of the Union, by</w:t>
      </w:r>
      <w:r w:rsidRPr="00744DCA">
        <w:rPr>
          <w:noProof/>
        </w:rPr>
        <w:t xml:space="preserve">, in particular, detailed </w:t>
      </w:r>
      <w:r w:rsidR="00127EC7" w:rsidRPr="00744DCA">
        <w:rPr>
          <w:noProof/>
        </w:rPr>
        <w:t xml:space="preserve">enacting </w:t>
      </w:r>
      <w:r w:rsidRPr="00744DCA">
        <w:rPr>
          <w:noProof/>
        </w:rPr>
        <w:t>provisions concerning:</w:t>
      </w:r>
    </w:p>
    <w:p w14:paraId="0C927D43" w14:textId="77777777" w:rsidR="006305D0" w:rsidRPr="00744DCA" w:rsidRDefault="006305D0" w:rsidP="00B2056B">
      <w:pPr>
        <w:pStyle w:val="Point1"/>
        <w:rPr>
          <w:noProof/>
        </w:rPr>
      </w:pPr>
      <w:r>
        <w:rPr>
          <w:noProof/>
        </w:rPr>
        <w:t>(a)</w:t>
      </w:r>
      <w:r>
        <w:rPr>
          <w:noProof/>
        </w:rPr>
        <w:tab/>
      </w:r>
      <w:r w:rsidRPr="00744DCA">
        <w:rPr>
          <w:noProof/>
        </w:rPr>
        <w:t xml:space="preserve">the activities related to control, supervision, monitoring, evaluation, reporting and audit of Union funding under the </w:t>
      </w:r>
      <w:r w:rsidR="00B21BE4" w:rsidRPr="00744DCA">
        <w:rPr>
          <w:noProof/>
        </w:rPr>
        <w:t>Programme</w:t>
      </w:r>
      <w:r w:rsidRPr="00744DCA">
        <w:rPr>
          <w:noProof/>
        </w:rPr>
        <w:t>, as well as investigations, anti-fraud measures and cooperation;</w:t>
      </w:r>
    </w:p>
    <w:p w14:paraId="6ADC2A8F" w14:textId="77777777" w:rsidR="006305D0" w:rsidRPr="00744DCA" w:rsidRDefault="006305D0" w:rsidP="004566AC">
      <w:pPr>
        <w:pStyle w:val="Point1"/>
        <w:rPr>
          <w:noProof/>
        </w:rPr>
      </w:pPr>
      <w:r>
        <w:rPr>
          <w:noProof/>
        </w:rPr>
        <w:t>(b)</w:t>
      </w:r>
      <w:r>
        <w:rPr>
          <w:noProof/>
        </w:rPr>
        <w:tab/>
      </w:r>
      <w:r w:rsidRPr="00744DCA">
        <w:rPr>
          <w:noProof/>
        </w:rPr>
        <w:t>rules on taxes, duties and charges in accordance with Article 27(9) and (10) of Regulation (EU) 2021/947;</w:t>
      </w:r>
    </w:p>
    <w:p w14:paraId="1B59AB22" w14:textId="77777777" w:rsidR="006305D0" w:rsidRPr="00744DCA" w:rsidRDefault="006305D0" w:rsidP="004566AC">
      <w:pPr>
        <w:pStyle w:val="Point1"/>
        <w:rPr>
          <w:noProof/>
        </w:rPr>
      </w:pPr>
      <w:r>
        <w:rPr>
          <w:noProof/>
        </w:rPr>
        <w:t>(c)</w:t>
      </w:r>
      <w:r>
        <w:rPr>
          <w:noProof/>
        </w:rPr>
        <w:tab/>
      </w:r>
      <w:r w:rsidRPr="00744DCA">
        <w:rPr>
          <w:noProof/>
        </w:rPr>
        <w:t>the right of the Commission to monitor activities under th</w:t>
      </w:r>
      <w:r w:rsidR="00230270" w:rsidRPr="00744DCA">
        <w:rPr>
          <w:noProof/>
        </w:rPr>
        <w:t xml:space="preserve">is Regulation </w:t>
      </w:r>
      <w:r w:rsidRPr="00744DCA">
        <w:rPr>
          <w:noProof/>
        </w:rPr>
        <w:t xml:space="preserve">carried out by the </w:t>
      </w:r>
      <w:r w:rsidR="00C70E46" w:rsidRPr="00744DCA">
        <w:rPr>
          <w:noProof/>
        </w:rPr>
        <w:t>legal entities established in Ukraine</w:t>
      </w:r>
      <w:r w:rsidRPr="00744DCA">
        <w:rPr>
          <w:noProof/>
        </w:rPr>
        <w:t xml:space="preserve">, along the whole project cycle, including for </w:t>
      </w:r>
      <w:r w:rsidR="00C70E46" w:rsidRPr="00744DCA">
        <w:rPr>
          <w:noProof/>
        </w:rPr>
        <w:t>cooperation for common</w:t>
      </w:r>
      <w:r w:rsidRPr="00744DCA">
        <w:rPr>
          <w:noProof/>
        </w:rPr>
        <w:t xml:space="preserve"> procurement</w:t>
      </w:r>
      <w:r w:rsidR="00C70E46" w:rsidRPr="00744DCA">
        <w:rPr>
          <w:noProof/>
        </w:rPr>
        <w:t xml:space="preserve"> action</w:t>
      </w:r>
      <w:r w:rsidRPr="00744DCA">
        <w:rPr>
          <w:noProof/>
        </w:rPr>
        <w:t xml:space="preserve">, to take part in these as observer, as appropriate, and to make recommendations for the improvement of such activities and commitment </w:t>
      </w:r>
      <w:r w:rsidR="000F64BE" w:rsidRPr="00744DCA">
        <w:rPr>
          <w:noProof/>
        </w:rPr>
        <w:t>by</w:t>
      </w:r>
      <w:r w:rsidRPr="00744DCA">
        <w:rPr>
          <w:noProof/>
        </w:rPr>
        <w:t xml:space="preserve"> the Ukrainian authorities to </w:t>
      </w:r>
      <w:r w:rsidR="000F64BE" w:rsidRPr="00744DCA">
        <w:rPr>
          <w:noProof/>
        </w:rPr>
        <w:t>make</w:t>
      </w:r>
      <w:r w:rsidRPr="00744DCA">
        <w:rPr>
          <w:noProof/>
        </w:rPr>
        <w:t xml:space="preserve"> their best efforts to implement such recommendations of the Commission and to report on this implementation;</w:t>
      </w:r>
    </w:p>
    <w:p w14:paraId="5A070281" w14:textId="77777777" w:rsidR="006305D0" w:rsidRPr="00744DCA" w:rsidRDefault="006305D0" w:rsidP="004566AC">
      <w:pPr>
        <w:pStyle w:val="Point1"/>
        <w:rPr>
          <w:noProof/>
        </w:rPr>
      </w:pPr>
      <w:r>
        <w:rPr>
          <w:noProof/>
        </w:rPr>
        <w:t>(d)</w:t>
      </w:r>
      <w:r>
        <w:rPr>
          <w:noProof/>
        </w:rPr>
        <w:tab/>
      </w:r>
      <w:r w:rsidRPr="00744DCA">
        <w:rPr>
          <w:noProof/>
        </w:rPr>
        <w:t xml:space="preserve">the obligations referred to in Article </w:t>
      </w:r>
      <w:r w:rsidR="009C4820" w:rsidRPr="00744DCA">
        <w:rPr>
          <w:noProof/>
        </w:rPr>
        <w:t>64</w:t>
      </w:r>
      <w:r w:rsidRPr="00744DCA">
        <w:rPr>
          <w:noProof/>
        </w:rPr>
        <w:t>(2), including precise rules and timeframe on collection of data by Ukraine and access for the Commission and OLAF;</w:t>
      </w:r>
    </w:p>
    <w:p w14:paraId="59F7EFD2" w14:textId="77777777" w:rsidR="00CE13BA" w:rsidRPr="00744DCA" w:rsidRDefault="00CE13BA" w:rsidP="004566AC">
      <w:pPr>
        <w:pStyle w:val="Point1"/>
        <w:rPr>
          <w:noProof/>
        </w:rPr>
      </w:pPr>
      <w:r>
        <w:rPr>
          <w:noProof/>
        </w:rPr>
        <w:t>(e)</w:t>
      </w:r>
      <w:r>
        <w:rPr>
          <w:noProof/>
        </w:rPr>
        <w:tab/>
      </w:r>
      <w:r w:rsidRPr="00744DCA">
        <w:rPr>
          <w:noProof/>
        </w:rPr>
        <w:t>the preservation of security interests, including a level of protection of classified information and confidentiality equivalent to that set out in Articles 5</w:t>
      </w:r>
      <w:r w:rsidR="009C4820" w:rsidRPr="00744DCA">
        <w:rPr>
          <w:noProof/>
        </w:rPr>
        <w:t>9</w:t>
      </w:r>
      <w:r w:rsidRPr="00744DCA">
        <w:rPr>
          <w:noProof/>
        </w:rPr>
        <w:t xml:space="preserve"> and </w:t>
      </w:r>
      <w:r w:rsidR="009C4820" w:rsidRPr="00744DCA">
        <w:rPr>
          <w:noProof/>
        </w:rPr>
        <w:t>60</w:t>
      </w:r>
      <w:r w:rsidRPr="00744DCA">
        <w:rPr>
          <w:noProof/>
        </w:rPr>
        <w:t>;</w:t>
      </w:r>
    </w:p>
    <w:p w14:paraId="17B826C7" w14:textId="77777777" w:rsidR="0085568B" w:rsidRPr="00744DCA" w:rsidRDefault="0037066A" w:rsidP="004566AC">
      <w:pPr>
        <w:pStyle w:val="Point1"/>
        <w:rPr>
          <w:noProof/>
        </w:rPr>
      </w:pPr>
      <w:r>
        <w:rPr>
          <w:noProof/>
        </w:rPr>
        <w:t>(f)</w:t>
      </w:r>
      <w:r>
        <w:rPr>
          <w:noProof/>
        </w:rPr>
        <w:tab/>
      </w:r>
      <w:r w:rsidRPr="00744DCA">
        <w:rPr>
          <w:noProof/>
        </w:rPr>
        <w:t>provisions on protection of personal data.</w:t>
      </w:r>
    </w:p>
    <w:p w14:paraId="0EB471D1" w14:textId="77777777" w:rsidR="00F81A54" w:rsidRPr="00744DCA" w:rsidRDefault="00F81A54" w:rsidP="00B2056B">
      <w:pPr>
        <w:pStyle w:val="ManualNumPar1"/>
        <w:rPr>
          <w:noProof/>
        </w:rPr>
      </w:pPr>
      <w:r>
        <w:rPr>
          <w:noProof/>
        </w:rPr>
        <w:t>4.</w:t>
      </w:r>
      <w:r>
        <w:rPr>
          <w:noProof/>
        </w:rPr>
        <w:tab/>
      </w:r>
      <w:r w:rsidRPr="00744DCA">
        <w:rPr>
          <w:noProof/>
        </w:rPr>
        <w:t>Funding shall only be granted to Ukraine after the framework agreement ha</w:t>
      </w:r>
      <w:r w:rsidR="00365D4C" w:rsidRPr="00744DCA">
        <w:rPr>
          <w:noProof/>
        </w:rPr>
        <w:t>s</w:t>
      </w:r>
      <w:r w:rsidRPr="00744DCA">
        <w:rPr>
          <w:noProof/>
        </w:rPr>
        <w:t xml:space="preserve"> entered into force</w:t>
      </w:r>
      <w:r w:rsidR="00304AC9" w:rsidRPr="00744DCA">
        <w:rPr>
          <w:noProof/>
        </w:rPr>
        <w:t xml:space="preserve"> and that the actions needed to implement the requirements it establishes have been implemented by the parties</w:t>
      </w:r>
      <w:r w:rsidRPr="00744DCA">
        <w:rPr>
          <w:noProof/>
        </w:rPr>
        <w:t>.</w:t>
      </w:r>
    </w:p>
    <w:p w14:paraId="3B7F2A61" w14:textId="77777777" w:rsidR="00CB5EDF" w:rsidRPr="00744DCA" w:rsidRDefault="00CB5EDF" w:rsidP="00CB5EDF">
      <w:pPr>
        <w:pStyle w:val="Titrearticle"/>
        <w:rPr>
          <w:noProof/>
        </w:rPr>
      </w:pPr>
      <w:r w:rsidRPr="00744DCA">
        <w:rPr>
          <w:noProof/>
        </w:rPr>
        <w:t xml:space="preserve">Article </w:t>
      </w:r>
      <w:r w:rsidR="00D048CC" w:rsidRPr="00744DCA">
        <w:rPr>
          <w:noProof/>
        </w:rPr>
        <w:t>60</w:t>
      </w:r>
    </w:p>
    <w:p w14:paraId="1889A1B5" w14:textId="77777777" w:rsidR="00CB5EDF" w:rsidRPr="00744DCA" w:rsidRDefault="00CB5EDF" w:rsidP="00CB5EDF">
      <w:pPr>
        <w:pStyle w:val="Titrearticle"/>
        <w:rPr>
          <w:b/>
          <w:i w:val="0"/>
          <w:noProof/>
        </w:rPr>
      </w:pPr>
      <w:r w:rsidRPr="00744DCA">
        <w:rPr>
          <w:b/>
          <w:i w:val="0"/>
          <w:noProof/>
        </w:rPr>
        <w:t xml:space="preserve">Application of the rules on classified information </w:t>
      </w:r>
    </w:p>
    <w:p w14:paraId="730D67C1" w14:textId="77777777" w:rsidR="00CB5EDF" w:rsidRPr="00744DCA" w:rsidRDefault="00CB5EDF" w:rsidP="00B2056B">
      <w:pPr>
        <w:pStyle w:val="ManualNumPar1"/>
        <w:rPr>
          <w:noProof/>
        </w:rPr>
      </w:pPr>
      <w:r>
        <w:rPr>
          <w:noProof/>
        </w:rPr>
        <w:t>1.</w:t>
      </w:r>
      <w:r>
        <w:rPr>
          <w:noProof/>
        </w:rPr>
        <w:tab/>
      </w:r>
      <w:r w:rsidRPr="00744DCA">
        <w:rPr>
          <w:noProof/>
          <w:lang w:val="en-IE"/>
        </w:rPr>
        <w:t>The originatorship of classified foreground information generated in implementing eligible actions listed under Article 11, shall be under the responsibility of the participating Member States who will establish the applicable security framework under relevant national laws.</w:t>
      </w:r>
    </w:p>
    <w:p w14:paraId="6452507F" w14:textId="77777777" w:rsidR="00CB5EDF" w:rsidRPr="00744DCA" w:rsidRDefault="00CB5EDF" w:rsidP="00B2056B">
      <w:pPr>
        <w:pStyle w:val="ManualNumPar1"/>
        <w:rPr>
          <w:noProof/>
          <w:lang w:val="en-IE"/>
        </w:rPr>
      </w:pPr>
      <w:r>
        <w:rPr>
          <w:noProof/>
        </w:rPr>
        <w:t>2.</w:t>
      </w:r>
      <w:r>
        <w:rPr>
          <w:noProof/>
        </w:rPr>
        <w:tab/>
      </w:r>
      <w:r w:rsidRPr="00744DCA">
        <w:rPr>
          <w:noProof/>
          <w:lang w:val="en-IE"/>
        </w:rPr>
        <w:t>Such a security framework shall be without prejudice to the possibility for the Commission to have access to the necessary information for carrying out the action.</w:t>
      </w:r>
    </w:p>
    <w:p w14:paraId="44E6FBDE" w14:textId="77777777" w:rsidR="00CB5EDF" w:rsidRPr="00744DCA" w:rsidRDefault="00CB5EDF" w:rsidP="00B2056B">
      <w:pPr>
        <w:pStyle w:val="ManualNumPar1"/>
        <w:rPr>
          <w:noProof/>
          <w:lang w:val="en-IE"/>
        </w:rPr>
      </w:pPr>
      <w:r>
        <w:rPr>
          <w:noProof/>
        </w:rPr>
        <w:t>3.</w:t>
      </w:r>
      <w:r>
        <w:rPr>
          <w:noProof/>
        </w:rPr>
        <w:tab/>
      </w:r>
      <w:r w:rsidRPr="00744DCA">
        <w:rPr>
          <w:noProof/>
          <w:lang w:val="en-IE"/>
        </w:rPr>
        <w:t>The Commission shall protect classified information received in accordance with the security rules set out in Decision (EU, Euratom) 2015/444 and Decision 2013/488/EU.</w:t>
      </w:r>
    </w:p>
    <w:p w14:paraId="6C59446B" w14:textId="77777777" w:rsidR="00CB5EDF" w:rsidRPr="00744DCA" w:rsidRDefault="00CB5EDF" w:rsidP="00B2056B">
      <w:pPr>
        <w:pStyle w:val="ManualNumPar1"/>
        <w:rPr>
          <w:noProof/>
          <w:lang w:val="en-IE"/>
        </w:rPr>
      </w:pPr>
      <w:r>
        <w:rPr>
          <w:noProof/>
        </w:rPr>
        <w:t>4.</w:t>
      </w:r>
      <w:r>
        <w:rPr>
          <w:noProof/>
        </w:rPr>
        <w:tab/>
      </w:r>
      <w:r w:rsidRPr="00744DCA">
        <w:rPr>
          <w:noProof/>
          <w:lang w:val="en-IE"/>
        </w:rPr>
        <w:t>The applicable security framework for the action has to be put in place at the latest before the signature of the grant agreement or the contract. The relevant documents shall form integral part of the Grant Agreement.</w:t>
      </w:r>
    </w:p>
    <w:p w14:paraId="37A2B5BB" w14:textId="77777777" w:rsidR="00CB5EDF" w:rsidRPr="00744DCA" w:rsidRDefault="00CB5EDF" w:rsidP="00B2056B">
      <w:pPr>
        <w:pStyle w:val="ManualNumPar1"/>
        <w:rPr>
          <w:noProof/>
        </w:rPr>
      </w:pPr>
      <w:r>
        <w:rPr>
          <w:noProof/>
        </w:rPr>
        <w:t>5.</w:t>
      </w:r>
      <w:r>
        <w:rPr>
          <w:noProof/>
        </w:rPr>
        <w:tab/>
      </w:r>
      <w:r w:rsidRPr="00744DCA">
        <w:rPr>
          <w:noProof/>
          <w:lang w:val="en-IE"/>
        </w:rPr>
        <w:t xml:space="preserve">The Commission shall make available approved and accredited existing systems to facilitate the exchange of classified information between the Commission, </w:t>
      </w:r>
      <w:r w:rsidR="007C79B3">
        <w:rPr>
          <w:noProof/>
          <w:lang w:val="en-IE"/>
        </w:rPr>
        <w:t xml:space="preserve">the High-Representative / Head of Agency, </w:t>
      </w:r>
      <w:r w:rsidRPr="00744DCA">
        <w:rPr>
          <w:noProof/>
          <w:lang w:val="en-IE"/>
        </w:rPr>
        <w:t>the Member States and associated countries and, where appropriate, with the applicants and the recipients.</w:t>
      </w:r>
    </w:p>
    <w:p w14:paraId="7822A052" w14:textId="77777777" w:rsidR="00CB5EDF" w:rsidRPr="00744DCA" w:rsidRDefault="00CB5EDF" w:rsidP="00CB5EDF">
      <w:pPr>
        <w:pStyle w:val="Titrearticle"/>
        <w:rPr>
          <w:noProof/>
        </w:rPr>
      </w:pPr>
      <w:r w:rsidRPr="00744DCA">
        <w:rPr>
          <w:noProof/>
        </w:rPr>
        <w:t xml:space="preserve">Article </w:t>
      </w:r>
      <w:r w:rsidR="00C0301B" w:rsidRPr="00744DCA">
        <w:rPr>
          <w:noProof/>
        </w:rPr>
        <w:t>6</w:t>
      </w:r>
      <w:r w:rsidR="00D048CC" w:rsidRPr="00744DCA">
        <w:rPr>
          <w:noProof/>
        </w:rPr>
        <w:t>1</w:t>
      </w:r>
    </w:p>
    <w:p w14:paraId="636D5E60" w14:textId="77777777" w:rsidR="00CB5EDF" w:rsidRPr="00744DCA" w:rsidRDefault="00CB5EDF" w:rsidP="00CB5EDF">
      <w:pPr>
        <w:pStyle w:val="Titrearticle"/>
        <w:rPr>
          <w:b/>
          <w:noProof/>
        </w:rPr>
      </w:pPr>
      <w:r w:rsidRPr="00744DCA">
        <w:rPr>
          <w:b/>
          <w:i w:val="0"/>
          <w:noProof/>
        </w:rPr>
        <w:t>Confidentiality and processing of information</w:t>
      </w:r>
    </w:p>
    <w:p w14:paraId="75CA7AFD" w14:textId="77777777" w:rsidR="00CB5EDF" w:rsidRPr="00744DCA" w:rsidRDefault="00CB5EDF" w:rsidP="00B2056B">
      <w:pPr>
        <w:pStyle w:val="ManualNumPar1"/>
        <w:rPr>
          <w:noProof/>
        </w:rPr>
      </w:pPr>
      <w:r>
        <w:rPr>
          <w:noProof/>
        </w:rPr>
        <w:t>1.</w:t>
      </w:r>
      <w:r>
        <w:rPr>
          <w:noProof/>
        </w:rPr>
        <w:tab/>
      </w:r>
      <w:r w:rsidRPr="00744DCA">
        <w:rPr>
          <w:noProof/>
        </w:rPr>
        <w:t>Information received as a result of the application of this Regulation shall be used only for the purpose for which it was requested.</w:t>
      </w:r>
    </w:p>
    <w:p w14:paraId="73DD2E3F" w14:textId="77777777" w:rsidR="00CB5EDF" w:rsidRPr="00744DCA" w:rsidRDefault="00CB5EDF" w:rsidP="00B2056B">
      <w:pPr>
        <w:pStyle w:val="ManualNumPar1"/>
        <w:rPr>
          <w:noProof/>
        </w:rPr>
      </w:pPr>
      <w:r>
        <w:rPr>
          <w:noProof/>
        </w:rPr>
        <w:t>2.</w:t>
      </w:r>
      <w:r>
        <w:rPr>
          <w:noProof/>
        </w:rPr>
        <w:tab/>
      </w:r>
      <w:r w:rsidRPr="00744DCA">
        <w:rPr>
          <w:noProof/>
        </w:rPr>
        <w:t>Member States</w:t>
      </w:r>
      <w:r w:rsidR="007C79B3">
        <w:rPr>
          <w:noProof/>
        </w:rPr>
        <w:t xml:space="preserve">, </w:t>
      </w:r>
      <w:r w:rsidRPr="00744DCA">
        <w:rPr>
          <w:noProof/>
        </w:rPr>
        <w:t>the Commission</w:t>
      </w:r>
      <w:r w:rsidR="007C79B3">
        <w:rPr>
          <w:noProof/>
        </w:rPr>
        <w:t xml:space="preserve"> and </w:t>
      </w:r>
      <w:r w:rsidR="007C79B3" w:rsidRPr="007C79B3">
        <w:rPr>
          <w:noProof/>
          <w:lang w:val="en-IE"/>
        </w:rPr>
        <w:t>the High-Representative / Head of Agency</w:t>
      </w:r>
      <w:r w:rsidRPr="00744DCA">
        <w:rPr>
          <w:noProof/>
        </w:rPr>
        <w:t xml:space="preserve"> shall ensure the protection of trade and business secrets and other sensitive and classified information acquired and generated in application of this Regulation in accordance with Union law and the respective national law.</w:t>
      </w:r>
    </w:p>
    <w:p w14:paraId="07442E49" w14:textId="77777777" w:rsidR="00CB5EDF" w:rsidRPr="00744DCA" w:rsidRDefault="00CB5EDF" w:rsidP="00B2056B">
      <w:pPr>
        <w:pStyle w:val="ManualNumPar1"/>
        <w:rPr>
          <w:noProof/>
        </w:rPr>
      </w:pPr>
      <w:r>
        <w:rPr>
          <w:noProof/>
        </w:rPr>
        <w:t>3.</w:t>
      </w:r>
      <w:r>
        <w:rPr>
          <w:noProof/>
        </w:rPr>
        <w:tab/>
      </w:r>
      <w:r w:rsidRPr="00744DCA">
        <w:rPr>
          <w:noProof/>
        </w:rPr>
        <w:t>Member States</w:t>
      </w:r>
      <w:r w:rsidR="007C79B3">
        <w:rPr>
          <w:noProof/>
        </w:rPr>
        <w:t>,</w:t>
      </w:r>
      <w:r w:rsidRPr="00744DCA">
        <w:rPr>
          <w:noProof/>
        </w:rPr>
        <w:t>the Commission</w:t>
      </w:r>
      <w:r w:rsidR="007C79B3">
        <w:rPr>
          <w:noProof/>
        </w:rPr>
        <w:t xml:space="preserve"> and </w:t>
      </w:r>
      <w:r w:rsidR="007C79B3" w:rsidRPr="007C79B3">
        <w:rPr>
          <w:noProof/>
          <w:lang w:val="en-IE"/>
        </w:rPr>
        <w:t>the High-Representative / Head of Agency</w:t>
      </w:r>
      <w:r w:rsidRPr="00744DCA">
        <w:rPr>
          <w:noProof/>
        </w:rPr>
        <w:t xml:space="preserve"> shall ensure that classified information provided or exchanged under this Regulation is not downgraded or declassified without the prior written consent of the originator.</w:t>
      </w:r>
    </w:p>
    <w:p w14:paraId="5DB062AF" w14:textId="77777777" w:rsidR="00CB5EDF" w:rsidRPr="00744DCA" w:rsidRDefault="00CB5EDF" w:rsidP="00B2056B">
      <w:pPr>
        <w:pStyle w:val="ManualNumPar1"/>
        <w:rPr>
          <w:noProof/>
        </w:rPr>
      </w:pPr>
      <w:r>
        <w:rPr>
          <w:noProof/>
        </w:rPr>
        <w:t>4.</w:t>
      </w:r>
      <w:r>
        <w:rPr>
          <w:noProof/>
        </w:rPr>
        <w:tab/>
      </w:r>
      <w:r w:rsidRPr="00744DCA">
        <w:rPr>
          <w:noProof/>
        </w:rPr>
        <w:t>The Commission shall not share any information in a way that can lead to the identification of an entity when the sharing of the information results in potential commercial or reputational damage to that entity or in divulging any trade secrets.</w:t>
      </w:r>
    </w:p>
    <w:p w14:paraId="52C6CE4E" w14:textId="77777777" w:rsidR="00483D9B" w:rsidRPr="00744DCA" w:rsidRDefault="15EBC00B" w:rsidP="004566AC">
      <w:pPr>
        <w:pStyle w:val="ManualNumPar1"/>
        <w:rPr>
          <w:noProof/>
        </w:rPr>
      </w:pPr>
      <w:r>
        <w:rPr>
          <w:noProof/>
        </w:rPr>
        <w:t>5.</w:t>
      </w:r>
      <w:r>
        <w:rPr>
          <w:noProof/>
        </w:rPr>
        <w:tab/>
      </w:r>
      <w:r w:rsidRPr="00744DCA">
        <w:rPr>
          <w:noProof/>
        </w:rPr>
        <w:t>The Commission shall handle information containing any data of an entity or any trade secrets in a way not less stringent than the handling of Sensitive non Classified Information, including the application of the “need to know principle” and the handling and sharing in appropriate encrypted environments.</w:t>
      </w:r>
    </w:p>
    <w:p w14:paraId="2FE57468" w14:textId="77777777" w:rsidR="00CB5EDF" w:rsidRPr="00744DCA" w:rsidRDefault="00CB5EDF" w:rsidP="00CB5EDF">
      <w:pPr>
        <w:pStyle w:val="Titrearticle"/>
        <w:rPr>
          <w:noProof/>
        </w:rPr>
      </w:pPr>
      <w:r w:rsidRPr="00744DCA">
        <w:rPr>
          <w:noProof/>
        </w:rPr>
        <w:t xml:space="preserve">Article </w:t>
      </w:r>
      <w:r w:rsidR="00C0301B" w:rsidRPr="00744DCA">
        <w:rPr>
          <w:noProof/>
        </w:rPr>
        <w:t>6</w:t>
      </w:r>
      <w:r w:rsidR="00D048CC" w:rsidRPr="00744DCA">
        <w:rPr>
          <w:noProof/>
        </w:rPr>
        <w:t>2</w:t>
      </w:r>
    </w:p>
    <w:p w14:paraId="10AF8D1B" w14:textId="77777777" w:rsidR="00CB5EDF" w:rsidRPr="00744DCA" w:rsidRDefault="00CB5EDF" w:rsidP="00CB5EDF">
      <w:pPr>
        <w:pStyle w:val="Titrearticle"/>
        <w:rPr>
          <w:b/>
          <w:noProof/>
        </w:rPr>
      </w:pPr>
      <w:r w:rsidRPr="00744DCA">
        <w:rPr>
          <w:b/>
          <w:i w:val="0"/>
          <w:noProof/>
        </w:rPr>
        <w:t>Personal data protection</w:t>
      </w:r>
    </w:p>
    <w:p w14:paraId="39C4F7B0" w14:textId="72D3A49D" w:rsidR="00CB5EDF" w:rsidRPr="00744DCA" w:rsidRDefault="00CB5EDF" w:rsidP="00B2056B">
      <w:pPr>
        <w:pStyle w:val="ManualNumPar1"/>
        <w:rPr>
          <w:noProof/>
        </w:rPr>
      </w:pPr>
      <w:r>
        <w:rPr>
          <w:noProof/>
        </w:rPr>
        <w:t>1.</w:t>
      </w:r>
      <w:r>
        <w:rPr>
          <w:noProof/>
        </w:rPr>
        <w:tab/>
      </w:r>
      <w:r w:rsidRPr="00744DCA">
        <w:rPr>
          <w:noProof/>
        </w:rPr>
        <w:t>This Regulation shall be without prejudice to the obligations of Member States relating to their processing of personal data under Regulation (EU) 2016/679 of the European Parliament and of the Council </w:t>
      </w:r>
      <w:r>
        <w:rPr>
          <w:noProof/>
        </w:rPr>
        <w:t>(</w:t>
      </w:r>
      <w:r>
        <w:rPr>
          <w:rStyle w:val="FootnoteReference"/>
          <w:noProof/>
        </w:rPr>
        <w:footnoteReference w:id="9"/>
      </w:r>
      <w:r>
        <w:rPr>
          <w:noProof/>
        </w:rPr>
        <w:t>)</w:t>
      </w:r>
      <w:r w:rsidRPr="00744DCA">
        <w:rPr>
          <w:noProof/>
        </w:rPr>
        <w:t> and Directive 2002/58/EC of the European Parliament and of the Council </w:t>
      </w:r>
      <w:r>
        <w:rPr>
          <w:noProof/>
        </w:rPr>
        <w:t>(</w:t>
      </w:r>
      <w:r>
        <w:rPr>
          <w:rStyle w:val="FootnoteReference"/>
          <w:noProof/>
        </w:rPr>
        <w:footnoteReference w:id="10"/>
      </w:r>
      <w:r>
        <w:rPr>
          <w:noProof/>
        </w:rPr>
        <w:t>)</w:t>
      </w:r>
      <w:r w:rsidRPr="00744DCA">
        <w:rPr>
          <w:noProof/>
        </w:rPr>
        <w:t>, or the obligations of the Commission and, where appropriate, other Union institutions, bodies, offices and agencies, relating to their processing of personal data under Regulation (EU) 2018/1725 of the European Parliament and of the Council </w:t>
      </w:r>
      <w:r>
        <w:rPr>
          <w:noProof/>
        </w:rPr>
        <w:t>(</w:t>
      </w:r>
      <w:r>
        <w:rPr>
          <w:rStyle w:val="FootnoteReference"/>
          <w:noProof/>
        </w:rPr>
        <w:footnoteReference w:id="11"/>
      </w:r>
      <w:r>
        <w:rPr>
          <w:noProof/>
        </w:rPr>
        <w:t>)</w:t>
      </w:r>
      <w:r w:rsidRPr="00744DCA">
        <w:rPr>
          <w:noProof/>
        </w:rPr>
        <w:t>, when fulfilling their responsibilities.</w:t>
      </w:r>
    </w:p>
    <w:p w14:paraId="545EDB3A" w14:textId="77777777" w:rsidR="00CB5EDF" w:rsidRPr="00744DCA" w:rsidRDefault="00CB5EDF" w:rsidP="00B2056B">
      <w:pPr>
        <w:pStyle w:val="ManualNumPar1"/>
        <w:rPr>
          <w:noProof/>
        </w:rPr>
      </w:pPr>
      <w:r>
        <w:rPr>
          <w:noProof/>
        </w:rPr>
        <w:t>2.</w:t>
      </w:r>
      <w:r>
        <w:rPr>
          <w:noProof/>
        </w:rPr>
        <w:tab/>
      </w:r>
      <w:r w:rsidRPr="00744DCA">
        <w:rPr>
          <w:noProof/>
        </w:rPr>
        <w:t>Personal data shall not be processed or communicated except in cases where this is strictly necessary for the purposes of this Regulation. In such cases Regulations (EU) 2016/679 and (EU) 2018/1725 shall apply as appropriate.</w:t>
      </w:r>
    </w:p>
    <w:p w14:paraId="560D1410" w14:textId="77777777" w:rsidR="00CB5EDF" w:rsidRPr="00744DCA" w:rsidRDefault="00CB5EDF" w:rsidP="00B2056B">
      <w:pPr>
        <w:pStyle w:val="ManualNumPar1"/>
        <w:rPr>
          <w:noProof/>
        </w:rPr>
      </w:pPr>
      <w:r>
        <w:rPr>
          <w:noProof/>
        </w:rPr>
        <w:t>3.</w:t>
      </w:r>
      <w:r>
        <w:rPr>
          <w:noProof/>
        </w:rPr>
        <w:tab/>
      </w:r>
      <w:r w:rsidRPr="00744DCA">
        <w:rPr>
          <w:noProof/>
        </w:rPr>
        <w:t>Where the processing of personal data is not strictly necessary to the fulfilment of the mechanisms established in this Regulation, personal data shall be rendered anonymous in such a manner that the data subject is not identifiable.</w:t>
      </w:r>
    </w:p>
    <w:p w14:paraId="4EC79B67" w14:textId="77777777" w:rsidR="00CB5EDF" w:rsidRPr="00744DCA" w:rsidRDefault="00CB5EDF" w:rsidP="00CB5EDF">
      <w:pPr>
        <w:pStyle w:val="Titrearticle"/>
        <w:rPr>
          <w:noProof/>
        </w:rPr>
      </w:pPr>
      <w:r w:rsidRPr="00744DCA">
        <w:rPr>
          <w:noProof/>
        </w:rPr>
        <w:t xml:space="preserve">Article </w:t>
      </w:r>
      <w:r w:rsidR="00C0301B" w:rsidRPr="00744DCA">
        <w:rPr>
          <w:noProof/>
        </w:rPr>
        <w:t>6</w:t>
      </w:r>
      <w:r w:rsidR="00D048CC" w:rsidRPr="00744DCA">
        <w:rPr>
          <w:noProof/>
        </w:rPr>
        <w:t>3</w:t>
      </w:r>
    </w:p>
    <w:p w14:paraId="5AA1A658" w14:textId="77777777" w:rsidR="00CB5EDF" w:rsidRPr="00744DCA" w:rsidRDefault="00CB5EDF" w:rsidP="00CB5EDF">
      <w:pPr>
        <w:pStyle w:val="Titrearticle"/>
        <w:rPr>
          <w:b/>
          <w:noProof/>
        </w:rPr>
      </w:pPr>
      <w:r w:rsidRPr="00744DCA">
        <w:rPr>
          <w:b/>
          <w:i w:val="0"/>
          <w:noProof/>
        </w:rPr>
        <w:t>Audits</w:t>
      </w:r>
    </w:p>
    <w:p w14:paraId="06775557" w14:textId="77777777" w:rsidR="00CB5EDF" w:rsidRPr="00744DCA" w:rsidRDefault="00CB5EDF" w:rsidP="00CB5EDF">
      <w:pPr>
        <w:pStyle w:val="Text1"/>
        <w:ind w:left="0"/>
        <w:rPr>
          <w:noProof/>
        </w:rPr>
      </w:pPr>
      <w:r w:rsidRPr="00744DCA">
        <w:rPr>
          <w:noProof/>
        </w:rPr>
        <w:t>Audits on the use of the Union contribution carried out by persons or entities, including by persons or entities other than those mandated by the Union institutions, bodies, offices or agencies, shall form the basis of the overall assurance pursuant to Article 127 of the Financial Regulation. The Court of Auditors shall examine the accounts of all revenue and expenditure of the Union in accordance with Article 287 TFEU.</w:t>
      </w:r>
    </w:p>
    <w:p w14:paraId="2B119624" w14:textId="77777777" w:rsidR="00CB5EDF" w:rsidRPr="00744DCA" w:rsidRDefault="00CB5EDF" w:rsidP="00CB5EDF">
      <w:pPr>
        <w:pStyle w:val="Titrearticle"/>
        <w:rPr>
          <w:noProof/>
        </w:rPr>
      </w:pPr>
      <w:r w:rsidRPr="00744DCA">
        <w:rPr>
          <w:noProof/>
        </w:rPr>
        <w:t xml:space="preserve">Article </w:t>
      </w:r>
      <w:r w:rsidR="00C0301B" w:rsidRPr="00744DCA">
        <w:rPr>
          <w:noProof/>
        </w:rPr>
        <w:t>6</w:t>
      </w:r>
      <w:r w:rsidR="00D048CC" w:rsidRPr="00744DCA">
        <w:rPr>
          <w:noProof/>
        </w:rPr>
        <w:t>4</w:t>
      </w:r>
    </w:p>
    <w:p w14:paraId="5CB9AB02" w14:textId="77777777" w:rsidR="00CB5EDF" w:rsidRPr="00744DCA" w:rsidRDefault="00CB5EDF" w:rsidP="00CB5EDF">
      <w:pPr>
        <w:pStyle w:val="Titrearticle"/>
        <w:rPr>
          <w:b/>
          <w:noProof/>
        </w:rPr>
      </w:pPr>
      <w:r w:rsidRPr="00744DCA">
        <w:rPr>
          <w:b/>
          <w:i w:val="0"/>
          <w:noProof/>
        </w:rPr>
        <w:t>Protection of the financial interests of the Union</w:t>
      </w:r>
    </w:p>
    <w:p w14:paraId="59E253F3" w14:textId="77777777" w:rsidR="00CB5EDF" w:rsidRPr="00744DCA" w:rsidRDefault="00CB5EDF" w:rsidP="00B2056B">
      <w:pPr>
        <w:pStyle w:val="ManualNumPar1"/>
        <w:rPr>
          <w:noProof/>
        </w:rPr>
      </w:pPr>
      <w:r>
        <w:rPr>
          <w:noProof/>
        </w:rPr>
        <w:t>1.</w:t>
      </w:r>
      <w:r>
        <w:rPr>
          <w:noProof/>
        </w:rPr>
        <w:tab/>
      </w:r>
      <w:r w:rsidRPr="00744DCA">
        <w:rPr>
          <w:noProof/>
        </w:rPr>
        <w:t>Where an associated country participates in the Programme by means of a decision adopted pursuant to the Agreement on the European Economic Area</w:t>
      </w:r>
      <w:r w:rsidR="006958BB" w:rsidRPr="00744DCA">
        <w:rPr>
          <w:noProof/>
        </w:rPr>
        <w:t xml:space="preserve"> or on the basis of any other legal instrument</w:t>
      </w:r>
      <w:r w:rsidRPr="00744DCA">
        <w:rPr>
          <w:noProof/>
        </w:rPr>
        <w:t>, the associated country shall grant the necessary rights and access required for the authorising officer responsible, OLAF and the Court of Auditors to comprehensively exercise their respective competences. In the case of OLAF, such rights shall include the right to carry out investigations, including on-the-spot checks and inspections, as provided for in Regulation (EU, Euratom) No 883/2013.</w:t>
      </w:r>
    </w:p>
    <w:p w14:paraId="5ABB8484" w14:textId="77777777" w:rsidR="00A054D7" w:rsidRPr="00744DCA" w:rsidRDefault="00A054D7" w:rsidP="00B2056B">
      <w:pPr>
        <w:pStyle w:val="ManualNumPar1"/>
        <w:rPr>
          <w:noProof/>
        </w:rPr>
      </w:pPr>
      <w:r>
        <w:rPr>
          <w:noProof/>
        </w:rPr>
        <w:t>2.</w:t>
      </w:r>
      <w:r>
        <w:rPr>
          <w:noProof/>
        </w:rPr>
        <w:tab/>
      </w:r>
      <w:r w:rsidRPr="00744DCA">
        <w:rPr>
          <w:noProof/>
        </w:rPr>
        <w:t>The agreement referred to in Articles 5</w:t>
      </w:r>
      <w:r w:rsidR="009C4820" w:rsidRPr="00744DCA">
        <w:rPr>
          <w:noProof/>
        </w:rPr>
        <w:t>9</w:t>
      </w:r>
      <w:r w:rsidRPr="00744DCA">
        <w:rPr>
          <w:noProof/>
        </w:rPr>
        <w:t xml:space="preserve"> shall provide for the obligations of Ukraine:</w:t>
      </w:r>
    </w:p>
    <w:p w14:paraId="66D7A3BA" w14:textId="77777777" w:rsidR="00A054D7" w:rsidRPr="00744DCA" w:rsidRDefault="00A054D7" w:rsidP="00B2056B">
      <w:pPr>
        <w:pStyle w:val="Point1"/>
        <w:rPr>
          <w:noProof/>
        </w:rPr>
      </w:pPr>
      <w:r>
        <w:rPr>
          <w:noProof/>
        </w:rPr>
        <w:t>(a)</w:t>
      </w:r>
      <w:r>
        <w:rPr>
          <w:noProof/>
        </w:rPr>
        <w:tab/>
      </w:r>
      <w:r w:rsidRPr="00744DCA">
        <w:rPr>
          <w:noProof/>
        </w:rPr>
        <w:t>to take appropriate measures to prevent, detect and correct fraud, corruption, conflicts of interests and irregularities affecting the financial interests of the Union, to avoid double funding and to take legal actions to recover funds that have been misappropriated;</w:t>
      </w:r>
    </w:p>
    <w:p w14:paraId="79B1065C" w14:textId="77777777" w:rsidR="007F63B5" w:rsidRPr="00744DCA" w:rsidRDefault="007F63B5" w:rsidP="00B2056B">
      <w:pPr>
        <w:pStyle w:val="Point1"/>
        <w:rPr>
          <w:noProof/>
        </w:rPr>
      </w:pPr>
      <w:r>
        <w:rPr>
          <w:noProof/>
        </w:rPr>
        <w:t>(b)</w:t>
      </w:r>
      <w:r>
        <w:rPr>
          <w:noProof/>
        </w:rPr>
        <w:tab/>
      </w:r>
      <w:r w:rsidRPr="00744DCA">
        <w:rPr>
          <w:noProof/>
        </w:rPr>
        <w:t>to regularly check that the financing provided has been used in accordance with the applicable rules, in particular regarding the prevention, detection and correction of fraud, corruption, conflicts of interests and irregularities;</w:t>
      </w:r>
    </w:p>
    <w:p w14:paraId="174DF7ED" w14:textId="77777777" w:rsidR="00A054D7" w:rsidRPr="00744DCA" w:rsidRDefault="00A054D7" w:rsidP="004566AC">
      <w:pPr>
        <w:pStyle w:val="Point1"/>
        <w:rPr>
          <w:noProof/>
        </w:rPr>
      </w:pPr>
      <w:r>
        <w:rPr>
          <w:noProof/>
        </w:rPr>
        <w:t>(c)</w:t>
      </w:r>
      <w:r>
        <w:rPr>
          <w:noProof/>
        </w:rPr>
        <w:tab/>
      </w:r>
      <w:r w:rsidRPr="00744DCA">
        <w:rPr>
          <w:noProof/>
        </w:rPr>
        <w:t xml:space="preserve">to accompany a request for payment </w:t>
      </w:r>
      <w:r w:rsidR="00124407" w:rsidRPr="00744DCA">
        <w:rPr>
          <w:noProof/>
        </w:rPr>
        <w:t>under the Programme</w:t>
      </w:r>
      <w:r w:rsidRPr="00744DCA">
        <w:rPr>
          <w:noProof/>
        </w:rPr>
        <w:t xml:space="preserve"> by a declaration that the funds were used in accordance with the principle of sound financial management and for their intended purpose and managed appropriately in particular in accordance with Ukrainian rules complemented by international standards, on prevention, detection and correction of irregularities, fraud, corruption and conflicts of interests;</w:t>
      </w:r>
    </w:p>
    <w:p w14:paraId="252D065B" w14:textId="77777777" w:rsidR="00A054D7" w:rsidRPr="00744DCA" w:rsidRDefault="00A054D7" w:rsidP="004566AC">
      <w:pPr>
        <w:pStyle w:val="Point1"/>
        <w:rPr>
          <w:noProof/>
        </w:rPr>
      </w:pPr>
      <w:r>
        <w:rPr>
          <w:noProof/>
        </w:rPr>
        <w:t>(d)</w:t>
      </w:r>
      <w:r>
        <w:rPr>
          <w:noProof/>
        </w:rPr>
        <w:tab/>
      </w:r>
      <w:r w:rsidRPr="00744DCA">
        <w:rPr>
          <w:noProof/>
        </w:rPr>
        <w:t xml:space="preserve">to expressly authorise the Commission, OLAF, the Court of Auditors and, where applicable, EPPO to exert their rights as provided for in Article 129(1) of </w:t>
      </w:r>
      <w:r w:rsidR="00323D6B" w:rsidRPr="00744DCA">
        <w:rPr>
          <w:noProof/>
        </w:rPr>
        <w:t>the Financial Regulation</w:t>
      </w:r>
      <w:r w:rsidRPr="00744DCA">
        <w:rPr>
          <w:noProof/>
        </w:rPr>
        <w:t>, in application of the principle of proportionality.</w:t>
      </w:r>
    </w:p>
    <w:p w14:paraId="4B59A0EF" w14:textId="77777777" w:rsidR="00CB5EDF" w:rsidRPr="00744DCA" w:rsidRDefault="00CB5EDF" w:rsidP="00CB5EDF">
      <w:pPr>
        <w:pStyle w:val="Titrearticle"/>
        <w:rPr>
          <w:noProof/>
        </w:rPr>
      </w:pPr>
      <w:r w:rsidRPr="00744DCA">
        <w:rPr>
          <w:noProof/>
        </w:rPr>
        <w:t xml:space="preserve">Article </w:t>
      </w:r>
      <w:r w:rsidR="00C0301B" w:rsidRPr="00744DCA">
        <w:rPr>
          <w:noProof/>
        </w:rPr>
        <w:t>6</w:t>
      </w:r>
      <w:r w:rsidR="00D048CC" w:rsidRPr="00744DCA">
        <w:rPr>
          <w:noProof/>
        </w:rPr>
        <w:t>5</w:t>
      </w:r>
    </w:p>
    <w:p w14:paraId="487FBC6D" w14:textId="77777777" w:rsidR="00CB5EDF" w:rsidRPr="00744DCA" w:rsidRDefault="00CB5EDF" w:rsidP="00CB5EDF">
      <w:pPr>
        <w:pStyle w:val="Titrearticle"/>
        <w:rPr>
          <w:b/>
          <w:noProof/>
        </w:rPr>
      </w:pPr>
      <w:r w:rsidRPr="00744DCA">
        <w:rPr>
          <w:b/>
          <w:i w:val="0"/>
          <w:noProof/>
        </w:rPr>
        <w:t>Information, communication and publicity</w:t>
      </w:r>
    </w:p>
    <w:p w14:paraId="676C8600" w14:textId="77777777" w:rsidR="00CB5EDF" w:rsidRPr="00744DCA" w:rsidRDefault="00CB5EDF" w:rsidP="00B2056B">
      <w:pPr>
        <w:pStyle w:val="ManualNumPar1"/>
        <w:rPr>
          <w:noProof/>
        </w:rPr>
      </w:pPr>
      <w:r>
        <w:rPr>
          <w:noProof/>
        </w:rPr>
        <w:t>1.</w:t>
      </w:r>
      <w:r>
        <w:rPr>
          <w:noProof/>
        </w:rPr>
        <w:tab/>
      </w:r>
      <w:r w:rsidRPr="00744DCA">
        <w:rPr>
          <w:noProof/>
        </w:rPr>
        <w:t>The recipients of Union funding shall acknowledge the origin of the funds and ensure the visibility of the Union funding, in particular when promoting the actions and their results, by providing coherent, effective and proportionate targeted information to multiple audiences, including the media and the public.</w:t>
      </w:r>
    </w:p>
    <w:p w14:paraId="495D9720" w14:textId="77777777" w:rsidR="00CB5EDF" w:rsidRPr="00744DCA" w:rsidRDefault="00CB5EDF" w:rsidP="00B2056B">
      <w:pPr>
        <w:pStyle w:val="ManualNumPar1"/>
        <w:rPr>
          <w:noProof/>
        </w:rPr>
      </w:pPr>
      <w:r>
        <w:rPr>
          <w:noProof/>
        </w:rPr>
        <w:t>2.</w:t>
      </w:r>
      <w:r>
        <w:rPr>
          <w:noProof/>
        </w:rPr>
        <w:tab/>
      </w:r>
      <w:r w:rsidRPr="00744DCA">
        <w:rPr>
          <w:noProof/>
        </w:rPr>
        <w:t>The Commission shall implement information and communication actions relating to the Programme, to actions taken pursuant to the Programme and to the results obtained.</w:t>
      </w:r>
    </w:p>
    <w:p w14:paraId="267B7A66" w14:textId="77777777" w:rsidR="00CB5EDF" w:rsidRPr="00744DCA" w:rsidRDefault="00CB5EDF" w:rsidP="00B2056B">
      <w:pPr>
        <w:pStyle w:val="ManualNumPar1"/>
        <w:rPr>
          <w:noProof/>
        </w:rPr>
      </w:pPr>
      <w:r>
        <w:rPr>
          <w:noProof/>
        </w:rPr>
        <w:t>3.</w:t>
      </w:r>
      <w:r>
        <w:rPr>
          <w:noProof/>
        </w:rPr>
        <w:tab/>
      </w:r>
      <w:r w:rsidRPr="00744DCA">
        <w:rPr>
          <w:noProof/>
        </w:rPr>
        <w:t>Financial resources allocated to the Programme shall contribute to the corporate communication of the political priorities of the Union, insofar as those priorities are related to the objectives referred to in Article 4.</w:t>
      </w:r>
    </w:p>
    <w:p w14:paraId="6A135160" w14:textId="77777777" w:rsidR="00CB5EDF" w:rsidRPr="00744DCA" w:rsidRDefault="00CB5EDF" w:rsidP="00B2056B">
      <w:pPr>
        <w:pStyle w:val="ManualNumPar1"/>
        <w:rPr>
          <w:noProof/>
        </w:rPr>
      </w:pPr>
      <w:r>
        <w:rPr>
          <w:noProof/>
        </w:rPr>
        <w:t>4.</w:t>
      </w:r>
      <w:r>
        <w:rPr>
          <w:noProof/>
        </w:rPr>
        <w:tab/>
      </w:r>
      <w:r w:rsidRPr="00744DCA">
        <w:rPr>
          <w:noProof/>
        </w:rPr>
        <w:t>Financial resources allocated to the Programme may contribute to the organisation of dissemination activities, match-making events and awareness-raising activities, in particular aiming at opening up supply chains to foster the cross-border participation of SMEs.</w:t>
      </w:r>
    </w:p>
    <w:p w14:paraId="0225C42B" w14:textId="77777777" w:rsidR="00CB5EDF" w:rsidRPr="00744DCA" w:rsidRDefault="00CB5EDF" w:rsidP="00CB5EDF">
      <w:pPr>
        <w:pStyle w:val="Titrearticle"/>
        <w:rPr>
          <w:noProof/>
        </w:rPr>
      </w:pPr>
      <w:r w:rsidRPr="00744DCA">
        <w:rPr>
          <w:noProof/>
        </w:rPr>
        <w:t xml:space="preserve">Article </w:t>
      </w:r>
      <w:r w:rsidR="00C0301B" w:rsidRPr="00744DCA">
        <w:rPr>
          <w:noProof/>
        </w:rPr>
        <w:t>6</w:t>
      </w:r>
      <w:r w:rsidR="00D048CC" w:rsidRPr="00744DCA">
        <w:rPr>
          <w:noProof/>
        </w:rPr>
        <w:t>6</w:t>
      </w:r>
    </w:p>
    <w:p w14:paraId="7DE3557F" w14:textId="77777777" w:rsidR="00CB5EDF" w:rsidRPr="00744DCA" w:rsidRDefault="00CB5EDF" w:rsidP="00CB5EDF">
      <w:pPr>
        <w:pStyle w:val="Titrearticle"/>
        <w:rPr>
          <w:b/>
          <w:noProof/>
        </w:rPr>
      </w:pPr>
      <w:r w:rsidRPr="00744DCA">
        <w:rPr>
          <w:b/>
          <w:i w:val="0"/>
          <w:noProof/>
        </w:rPr>
        <w:t>Evaluation</w:t>
      </w:r>
    </w:p>
    <w:p w14:paraId="1553EBF7" w14:textId="77777777" w:rsidR="00CB5EDF" w:rsidRPr="00744DCA" w:rsidRDefault="00CB5EDF" w:rsidP="00B2056B">
      <w:pPr>
        <w:pStyle w:val="ManualNumPar1"/>
        <w:rPr>
          <w:noProof/>
        </w:rPr>
      </w:pPr>
      <w:r>
        <w:rPr>
          <w:noProof/>
        </w:rPr>
        <w:t>1.</w:t>
      </w:r>
      <w:r>
        <w:rPr>
          <w:noProof/>
        </w:rPr>
        <w:tab/>
      </w:r>
      <w:r w:rsidRPr="00744DCA">
        <w:rPr>
          <w:noProof/>
        </w:rPr>
        <w:t>By 30 June 2027, the Commission shall draw up a report evaluating the implementation of the measures set out in this Regulation and their results, as well as the opportunity to extend their applicability and provide for their funding, particularly with regard to the evolution of the security context</w:t>
      </w:r>
      <w:r w:rsidR="00B64D25" w:rsidRPr="00744DCA">
        <w:rPr>
          <w:noProof/>
        </w:rPr>
        <w:t xml:space="preserve"> and any persistent risks in relation to the supply of defence products</w:t>
      </w:r>
      <w:r w:rsidRPr="00744DCA">
        <w:rPr>
          <w:noProof/>
        </w:rPr>
        <w:t>. The evaluation report shall build on consultations of the Member States and key stakeholders.</w:t>
      </w:r>
    </w:p>
    <w:p w14:paraId="4F9032D4" w14:textId="77777777" w:rsidR="00CB5EDF" w:rsidRPr="00744DCA" w:rsidRDefault="00B64D25" w:rsidP="00B2056B">
      <w:pPr>
        <w:pStyle w:val="ManualNumPar1"/>
        <w:rPr>
          <w:noProof/>
        </w:rPr>
      </w:pPr>
      <w:r>
        <w:rPr>
          <w:noProof/>
        </w:rPr>
        <w:t>2.</w:t>
      </w:r>
      <w:r>
        <w:rPr>
          <w:noProof/>
        </w:rPr>
        <w:tab/>
      </w:r>
      <w:r w:rsidRPr="00744DCA">
        <w:rPr>
          <w:noProof/>
        </w:rPr>
        <w:t>The Commission shall present the report to the European Parliament and the Council</w:t>
      </w:r>
      <w:r w:rsidR="00AF5152" w:rsidRPr="00744DCA">
        <w:rPr>
          <w:noProof/>
        </w:rPr>
        <w:t xml:space="preserve">, accompanied, where appropriate, by </w:t>
      </w:r>
      <w:r w:rsidR="00DA36F2" w:rsidRPr="00744DCA">
        <w:rPr>
          <w:noProof/>
        </w:rPr>
        <w:t>relevant legislative proposals.</w:t>
      </w:r>
    </w:p>
    <w:p w14:paraId="69FACF85" w14:textId="77777777" w:rsidR="00CB5EDF" w:rsidRPr="00744DCA" w:rsidRDefault="00CB5EDF" w:rsidP="00CB5EDF">
      <w:pPr>
        <w:pStyle w:val="Titrearticle"/>
        <w:rPr>
          <w:noProof/>
        </w:rPr>
      </w:pPr>
      <w:r w:rsidRPr="00744DCA">
        <w:rPr>
          <w:noProof/>
        </w:rPr>
        <w:t xml:space="preserve">Article </w:t>
      </w:r>
      <w:r w:rsidR="00C0301B" w:rsidRPr="00744DCA">
        <w:rPr>
          <w:noProof/>
        </w:rPr>
        <w:t>6</w:t>
      </w:r>
      <w:r w:rsidR="00D048CC" w:rsidRPr="00744DCA">
        <w:rPr>
          <w:noProof/>
        </w:rPr>
        <w:t>7</w:t>
      </w:r>
    </w:p>
    <w:p w14:paraId="55F81FB8" w14:textId="77777777" w:rsidR="00CB5EDF" w:rsidRPr="00744DCA" w:rsidRDefault="00CB5EDF" w:rsidP="00CB5EDF">
      <w:pPr>
        <w:pStyle w:val="Titrearticle"/>
        <w:rPr>
          <w:b/>
          <w:noProof/>
        </w:rPr>
      </w:pPr>
      <w:r w:rsidRPr="00744DCA">
        <w:rPr>
          <w:b/>
          <w:i w:val="0"/>
          <w:noProof/>
        </w:rPr>
        <w:t>Entry into force</w:t>
      </w:r>
    </w:p>
    <w:p w14:paraId="2AE5C018" w14:textId="77777777" w:rsidR="00CB5EDF" w:rsidRPr="00744DCA" w:rsidRDefault="00CB5EDF" w:rsidP="00CB5EDF">
      <w:pPr>
        <w:rPr>
          <w:noProof/>
        </w:rPr>
      </w:pPr>
      <w:r w:rsidRPr="00744DCA">
        <w:rPr>
          <w:noProof/>
        </w:rPr>
        <w:t>This Regulation shall enter into force on the day following that of its publication in the Official Journal of the European Union.</w:t>
      </w:r>
    </w:p>
    <w:p w14:paraId="4B0721EC" w14:textId="77777777" w:rsidR="00CB5EDF" w:rsidRPr="00744DCA" w:rsidRDefault="00CB5EDF" w:rsidP="001402D8">
      <w:pPr>
        <w:pStyle w:val="Applicationdirecte"/>
        <w:keepNext/>
        <w:keepLines/>
        <w:rPr>
          <w:noProof/>
        </w:rPr>
      </w:pPr>
      <w:r w:rsidRPr="00744DCA">
        <w:rPr>
          <w:noProof/>
        </w:rPr>
        <w:t>This Regulation shall be binding in its entirety and directly applicable in all Member States.</w:t>
      </w:r>
    </w:p>
    <w:p w14:paraId="6BAD4654" w14:textId="5610C3C8" w:rsidR="002B6A68" w:rsidRPr="00744DCA" w:rsidRDefault="00B871B7" w:rsidP="001402D8">
      <w:pPr>
        <w:pStyle w:val="Fait"/>
        <w:rPr>
          <w:noProof/>
        </w:rPr>
      </w:pPr>
      <w:r>
        <w:rPr>
          <w:noProof/>
        </w:rPr>
        <w:t>Done at Brussels,</w:t>
      </w:r>
    </w:p>
    <w:p w14:paraId="716FFE6C" w14:textId="77777777" w:rsidR="002B6A68" w:rsidRPr="00744DCA" w:rsidRDefault="002B6A68" w:rsidP="001402D8">
      <w:pPr>
        <w:pStyle w:val="Institutionquisigne"/>
        <w:rPr>
          <w:noProof/>
        </w:rPr>
      </w:pPr>
      <w:r w:rsidRPr="00744DCA">
        <w:rPr>
          <w:noProof/>
        </w:rPr>
        <w:t>For the European Parliament</w:t>
      </w:r>
      <w:r w:rsidRPr="00744DCA">
        <w:rPr>
          <w:noProof/>
        </w:rPr>
        <w:tab/>
        <w:t>For the Council</w:t>
      </w:r>
    </w:p>
    <w:p w14:paraId="70806374" w14:textId="77777777" w:rsidR="002B6A68" w:rsidRPr="00744DCA" w:rsidRDefault="002B6A68" w:rsidP="001402D8">
      <w:pPr>
        <w:pStyle w:val="Personnequisigne"/>
        <w:keepNext/>
        <w:rPr>
          <w:noProof/>
        </w:rPr>
      </w:pPr>
      <w:r w:rsidRPr="00744DCA">
        <w:rPr>
          <w:noProof/>
        </w:rPr>
        <w:t>The President</w:t>
      </w:r>
      <w:r w:rsidRPr="00744DCA">
        <w:rPr>
          <w:noProof/>
        </w:rPr>
        <w:tab/>
        <w:t>The President</w:t>
      </w:r>
    </w:p>
    <w:p w14:paraId="08743A7A" w14:textId="77777777" w:rsidR="007C06DB" w:rsidRPr="00744DCA" w:rsidRDefault="007C06DB" w:rsidP="007C06DB">
      <w:pPr>
        <w:pStyle w:val="Personnequisigne"/>
        <w:rPr>
          <w:noProof/>
        </w:rPr>
      </w:pPr>
    </w:p>
    <w:p w14:paraId="6DF40BFF" w14:textId="77777777" w:rsidR="007C06DB" w:rsidRPr="00744DCA" w:rsidRDefault="007C06DB" w:rsidP="007C06DB">
      <w:pPr>
        <w:rPr>
          <w:noProof/>
        </w:rPr>
        <w:sectPr w:rsidR="007C06DB" w:rsidRPr="00744DCA" w:rsidSect="00E82958">
          <w:pgSz w:w="11907" w:h="16839"/>
          <w:pgMar w:top="1134" w:right="1417" w:bottom="1134" w:left="1417" w:header="709" w:footer="709" w:gutter="0"/>
          <w:cols w:space="708"/>
          <w:docGrid w:linePitch="360"/>
        </w:sectPr>
      </w:pPr>
    </w:p>
    <w:p w14:paraId="467D1FE3" w14:textId="77777777" w:rsidR="007C06DB" w:rsidRPr="00744DCA" w:rsidRDefault="007C06DB">
      <w:pPr>
        <w:pStyle w:val="Fichefinanciretitre"/>
        <w:keepNext/>
        <w:rPr>
          <w:noProof/>
        </w:rPr>
      </w:pPr>
      <w:bookmarkStart w:id="10" w:name="_TocB7751C055C4744A28A002AAF436526DF"/>
      <w:r w:rsidRPr="00744DCA">
        <w:rPr>
          <w:noProof/>
        </w:rPr>
        <w:t>LEGISLATIVE FINANCIAL STATEMENT</w:t>
      </w:r>
      <w:bookmarkEnd w:id="10"/>
    </w:p>
    <w:p w14:paraId="493D10D2" w14:textId="77777777" w:rsidR="007C06DB" w:rsidRPr="00744DCA" w:rsidRDefault="007C06DB">
      <w:pPr>
        <w:pStyle w:val="ManualHeading1"/>
        <w:rPr>
          <w:noProof/>
        </w:rPr>
      </w:pPr>
      <w:r w:rsidRPr="00744DCA">
        <w:rPr>
          <w:noProof/>
        </w:rPr>
        <w:t>1.</w:t>
      </w:r>
      <w:r w:rsidRPr="00744DCA">
        <w:rPr>
          <w:noProof/>
        </w:rPr>
        <w:tab/>
        <w:t>FRAMEWORK OF THE PROPOSAL/INITIATIVE</w:t>
      </w:r>
    </w:p>
    <w:p w14:paraId="46BB1B76" w14:textId="77777777" w:rsidR="007C06DB" w:rsidRPr="00744DCA" w:rsidRDefault="007C06DB">
      <w:pPr>
        <w:pStyle w:val="ManualHeading2"/>
        <w:rPr>
          <w:noProof/>
        </w:rPr>
      </w:pPr>
      <w:r w:rsidRPr="00744DCA">
        <w:rPr>
          <w:noProof/>
        </w:rPr>
        <w:t>1.1.</w:t>
      </w:r>
      <w:r w:rsidRPr="00744DCA">
        <w:rPr>
          <w:noProof/>
        </w:rPr>
        <w:tab/>
        <w:t>Title of the proposal/initiative</w:t>
      </w:r>
    </w:p>
    <w:p w14:paraId="1319492C" w14:textId="77777777" w:rsidR="007C06DB" w:rsidRPr="00744DCA" w:rsidRDefault="007C06DB">
      <w:pPr>
        <w:pStyle w:val="ManualHeading2"/>
        <w:rPr>
          <w:noProof/>
        </w:rPr>
      </w:pPr>
      <w:r w:rsidRPr="00744DCA">
        <w:rPr>
          <w:noProof/>
        </w:rPr>
        <w:t>1.2.</w:t>
      </w:r>
      <w:r w:rsidRPr="00744DCA">
        <w:rPr>
          <w:noProof/>
        </w:rPr>
        <w:tab/>
        <w:t>Policy area(s) concerned</w:t>
      </w:r>
    </w:p>
    <w:p w14:paraId="4C18E584" w14:textId="77777777" w:rsidR="007C06DB" w:rsidRPr="00744DCA" w:rsidRDefault="007C06DB">
      <w:pPr>
        <w:pStyle w:val="ManualHeading2"/>
        <w:rPr>
          <w:noProof/>
        </w:rPr>
      </w:pPr>
      <w:r w:rsidRPr="00744DCA">
        <w:rPr>
          <w:noProof/>
        </w:rPr>
        <w:t>1.3.</w:t>
      </w:r>
      <w:r w:rsidRPr="00744DCA">
        <w:rPr>
          <w:noProof/>
        </w:rPr>
        <w:tab/>
        <w:t>The proposal/initiative relates to:</w:t>
      </w:r>
    </w:p>
    <w:p w14:paraId="7229CC32" w14:textId="77777777" w:rsidR="007C06DB" w:rsidRPr="00744DCA" w:rsidRDefault="007C06DB">
      <w:pPr>
        <w:pStyle w:val="ManualHeading2"/>
        <w:rPr>
          <w:noProof/>
        </w:rPr>
      </w:pPr>
      <w:r w:rsidRPr="00744DCA">
        <w:rPr>
          <w:noProof/>
        </w:rPr>
        <w:t>1.4.</w:t>
      </w:r>
      <w:r w:rsidRPr="00744DCA">
        <w:rPr>
          <w:noProof/>
        </w:rPr>
        <w:tab/>
        <w:t>Objective(s)</w:t>
      </w:r>
    </w:p>
    <w:p w14:paraId="488B92CC" w14:textId="77777777" w:rsidR="007C06DB" w:rsidRPr="00744DCA" w:rsidRDefault="007C06DB">
      <w:pPr>
        <w:pStyle w:val="ManualHeading3"/>
        <w:rPr>
          <w:noProof/>
        </w:rPr>
      </w:pPr>
      <w:r w:rsidRPr="00744DCA">
        <w:rPr>
          <w:noProof/>
        </w:rPr>
        <w:t>1.4.1.</w:t>
      </w:r>
      <w:r w:rsidRPr="00744DCA">
        <w:rPr>
          <w:noProof/>
        </w:rPr>
        <w:tab/>
        <w:t>General objective(s)</w:t>
      </w:r>
    </w:p>
    <w:p w14:paraId="2D8B8709" w14:textId="77777777" w:rsidR="007C06DB" w:rsidRPr="00744DCA" w:rsidRDefault="007C06DB">
      <w:pPr>
        <w:pStyle w:val="ManualHeading3"/>
        <w:rPr>
          <w:noProof/>
        </w:rPr>
      </w:pPr>
      <w:r w:rsidRPr="00744DCA">
        <w:rPr>
          <w:noProof/>
        </w:rPr>
        <w:t>1.4.2.</w:t>
      </w:r>
      <w:r w:rsidRPr="00744DCA">
        <w:rPr>
          <w:noProof/>
        </w:rPr>
        <w:tab/>
        <w:t>Specific objective(s)</w:t>
      </w:r>
    </w:p>
    <w:p w14:paraId="5CC81F76" w14:textId="77777777" w:rsidR="007C06DB" w:rsidRPr="00744DCA" w:rsidRDefault="007C06DB">
      <w:pPr>
        <w:pStyle w:val="ManualHeading3"/>
        <w:rPr>
          <w:noProof/>
        </w:rPr>
      </w:pPr>
      <w:r w:rsidRPr="00744DCA">
        <w:rPr>
          <w:noProof/>
        </w:rPr>
        <w:t>1.4.3.</w:t>
      </w:r>
      <w:r w:rsidRPr="00744DCA">
        <w:rPr>
          <w:noProof/>
        </w:rPr>
        <w:tab/>
        <w:t>Expected result(s) and impact</w:t>
      </w:r>
    </w:p>
    <w:p w14:paraId="046BDEBE" w14:textId="77777777" w:rsidR="007C06DB" w:rsidRPr="00744DCA" w:rsidRDefault="007C06DB">
      <w:pPr>
        <w:pStyle w:val="ManualHeading3"/>
        <w:rPr>
          <w:noProof/>
        </w:rPr>
      </w:pPr>
      <w:r w:rsidRPr="00744DCA">
        <w:rPr>
          <w:noProof/>
        </w:rPr>
        <w:t>1.4.4.</w:t>
      </w:r>
      <w:r w:rsidRPr="00744DCA">
        <w:rPr>
          <w:noProof/>
        </w:rPr>
        <w:tab/>
        <w:t>Indicators of performance</w:t>
      </w:r>
    </w:p>
    <w:p w14:paraId="394CCF94" w14:textId="77777777" w:rsidR="007C06DB" w:rsidRPr="00744DCA" w:rsidRDefault="007C06DB">
      <w:pPr>
        <w:pStyle w:val="ManualHeading2"/>
        <w:rPr>
          <w:noProof/>
        </w:rPr>
      </w:pPr>
      <w:r w:rsidRPr="00744DCA">
        <w:rPr>
          <w:noProof/>
        </w:rPr>
        <w:t>1.5.</w:t>
      </w:r>
      <w:r w:rsidRPr="00744DCA">
        <w:rPr>
          <w:noProof/>
        </w:rPr>
        <w:tab/>
        <w:t>Grounds for the proposal/initiative</w:t>
      </w:r>
    </w:p>
    <w:p w14:paraId="52C42F37" w14:textId="77777777" w:rsidR="007C06DB" w:rsidRPr="00744DCA" w:rsidRDefault="007C06DB">
      <w:pPr>
        <w:pStyle w:val="ManualHeading3"/>
        <w:rPr>
          <w:noProof/>
        </w:rPr>
      </w:pPr>
      <w:r w:rsidRPr="00744DCA">
        <w:rPr>
          <w:noProof/>
        </w:rPr>
        <w:t>1.5.1.</w:t>
      </w:r>
      <w:r w:rsidRPr="00744DCA">
        <w:rPr>
          <w:noProof/>
        </w:rPr>
        <w:tab/>
        <w:t>Requirement(s) to be met in the short or long term including a detailed timeline for roll-out of the implementation of the initiative</w:t>
      </w:r>
    </w:p>
    <w:p w14:paraId="4B5431A3" w14:textId="77777777" w:rsidR="007C06DB" w:rsidRPr="00744DCA" w:rsidRDefault="007C06DB">
      <w:pPr>
        <w:pStyle w:val="ManualHeading3"/>
        <w:rPr>
          <w:noProof/>
        </w:rPr>
      </w:pPr>
      <w:r w:rsidRPr="00744DCA">
        <w:rPr>
          <w:noProof/>
        </w:rPr>
        <w:t>1.5.2.</w:t>
      </w:r>
      <w:r w:rsidRPr="00744DCA">
        <w:rPr>
          <w:noProof/>
        </w:rPr>
        <w:tab/>
        <w:t>Added value of Union involvement (it may result from different factors, e.g. coordination gains, legal certainty, greater effectiveness or complementarities). For the purposes of this point 'added value of Union involvement' is the value resulting from Union intervention, which is additional to the value that would have been otherwise created by Member States alone.</w:t>
      </w:r>
    </w:p>
    <w:p w14:paraId="78012030" w14:textId="77777777" w:rsidR="007C06DB" w:rsidRPr="00744DCA" w:rsidRDefault="007C06DB">
      <w:pPr>
        <w:pStyle w:val="ManualHeading3"/>
        <w:rPr>
          <w:noProof/>
        </w:rPr>
      </w:pPr>
      <w:r w:rsidRPr="00744DCA">
        <w:rPr>
          <w:noProof/>
        </w:rPr>
        <w:t>1.5.3.</w:t>
      </w:r>
      <w:r w:rsidRPr="00744DCA">
        <w:rPr>
          <w:noProof/>
        </w:rPr>
        <w:tab/>
        <w:t>Lessons learned from similar experiences in the past</w:t>
      </w:r>
    </w:p>
    <w:p w14:paraId="5E3CD9CE" w14:textId="77777777" w:rsidR="007C06DB" w:rsidRPr="00744DCA" w:rsidRDefault="007C06DB">
      <w:pPr>
        <w:pStyle w:val="ManualHeading3"/>
        <w:rPr>
          <w:noProof/>
        </w:rPr>
      </w:pPr>
      <w:r w:rsidRPr="00744DCA">
        <w:rPr>
          <w:noProof/>
        </w:rPr>
        <w:t>1.5.4.</w:t>
      </w:r>
      <w:r w:rsidRPr="00744DCA">
        <w:rPr>
          <w:noProof/>
        </w:rPr>
        <w:tab/>
        <w:t>Compatibility with the Multiannual Financial Framework and possible synergies with other appropriate instruments</w:t>
      </w:r>
    </w:p>
    <w:p w14:paraId="5F7CA427" w14:textId="77777777" w:rsidR="007C06DB" w:rsidRPr="00744DCA" w:rsidRDefault="007C06DB">
      <w:pPr>
        <w:pStyle w:val="ManualHeading3"/>
        <w:rPr>
          <w:noProof/>
        </w:rPr>
      </w:pPr>
      <w:r w:rsidRPr="00744DCA">
        <w:rPr>
          <w:noProof/>
        </w:rPr>
        <w:t>1.5.5.</w:t>
      </w:r>
      <w:r w:rsidRPr="00744DCA">
        <w:rPr>
          <w:noProof/>
        </w:rPr>
        <w:tab/>
        <w:t>Assessment of the different available financing options, including scope for redeployment</w:t>
      </w:r>
    </w:p>
    <w:p w14:paraId="4BB250B9" w14:textId="77777777" w:rsidR="007C06DB" w:rsidRPr="00744DCA" w:rsidRDefault="007C06DB">
      <w:pPr>
        <w:pStyle w:val="ManualHeading2"/>
        <w:rPr>
          <w:noProof/>
        </w:rPr>
      </w:pPr>
      <w:r w:rsidRPr="00744DCA">
        <w:rPr>
          <w:noProof/>
        </w:rPr>
        <w:t>1.6.</w:t>
      </w:r>
      <w:r w:rsidRPr="00744DCA">
        <w:rPr>
          <w:noProof/>
        </w:rPr>
        <w:tab/>
        <w:t>Duration and financial impact of the proposal/initiative</w:t>
      </w:r>
    </w:p>
    <w:p w14:paraId="12CF99E8" w14:textId="77777777" w:rsidR="007C06DB" w:rsidRPr="00744DCA" w:rsidRDefault="007C06DB">
      <w:pPr>
        <w:pStyle w:val="ManualHeading2"/>
        <w:rPr>
          <w:noProof/>
        </w:rPr>
      </w:pPr>
      <w:r w:rsidRPr="00744DCA">
        <w:rPr>
          <w:noProof/>
        </w:rPr>
        <w:t>1.7.</w:t>
      </w:r>
      <w:r w:rsidRPr="00744DCA">
        <w:rPr>
          <w:noProof/>
        </w:rPr>
        <w:tab/>
        <w:t>Method(s) of budget implementation planned</w:t>
      </w:r>
    </w:p>
    <w:p w14:paraId="415024CF" w14:textId="77777777" w:rsidR="007C06DB" w:rsidRPr="00744DCA" w:rsidRDefault="007C06DB">
      <w:pPr>
        <w:pStyle w:val="ManualHeading1"/>
        <w:rPr>
          <w:noProof/>
        </w:rPr>
      </w:pPr>
      <w:r w:rsidRPr="00744DCA">
        <w:rPr>
          <w:noProof/>
        </w:rPr>
        <w:t>2.</w:t>
      </w:r>
      <w:r w:rsidRPr="00744DCA">
        <w:rPr>
          <w:noProof/>
        </w:rPr>
        <w:tab/>
        <w:t>MANAGEMENT MEASURES</w:t>
      </w:r>
    </w:p>
    <w:p w14:paraId="3AA0F6A3" w14:textId="77777777" w:rsidR="007C06DB" w:rsidRPr="00744DCA" w:rsidRDefault="007C06DB">
      <w:pPr>
        <w:pStyle w:val="ManualHeading2"/>
        <w:rPr>
          <w:noProof/>
        </w:rPr>
      </w:pPr>
      <w:r w:rsidRPr="00744DCA">
        <w:rPr>
          <w:noProof/>
        </w:rPr>
        <w:t>2.1.</w:t>
      </w:r>
      <w:r w:rsidRPr="00744DCA">
        <w:rPr>
          <w:noProof/>
        </w:rPr>
        <w:tab/>
        <w:t>Monitoring and reporting rules</w:t>
      </w:r>
    </w:p>
    <w:p w14:paraId="4C229219" w14:textId="77777777" w:rsidR="007C06DB" w:rsidRPr="00744DCA" w:rsidRDefault="007C06DB">
      <w:pPr>
        <w:pStyle w:val="ManualHeading2"/>
        <w:rPr>
          <w:noProof/>
        </w:rPr>
      </w:pPr>
      <w:r w:rsidRPr="00744DCA">
        <w:rPr>
          <w:noProof/>
        </w:rPr>
        <w:t>2.2.</w:t>
      </w:r>
      <w:r w:rsidRPr="00744DCA">
        <w:rPr>
          <w:noProof/>
        </w:rPr>
        <w:tab/>
        <w:t>Management and control system(s)</w:t>
      </w:r>
    </w:p>
    <w:p w14:paraId="654B9C7A" w14:textId="77777777" w:rsidR="007C06DB" w:rsidRPr="00744DCA" w:rsidRDefault="007C06DB">
      <w:pPr>
        <w:pStyle w:val="ManualHeading3"/>
        <w:rPr>
          <w:noProof/>
        </w:rPr>
      </w:pPr>
      <w:r w:rsidRPr="00744DCA">
        <w:rPr>
          <w:noProof/>
        </w:rPr>
        <w:t>2.2.1.</w:t>
      </w:r>
      <w:r w:rsidRPr="00744DCA">
        <w:rPr>
          <w:noProof/>
        </w:rPr>
        <w:tab/>
        <w:t>Justification of the management mode(s), the funding implementation mechanism(s), the payment modalities and the control strategy proposed</w:t>
      </w:r>
    </w:p>
    <w:p w14:paraId="20BED488" w14:textId="77777777" w:rsidR="007C06DB" w:rsidRPr="00744DCA" w:rsidRDefault="007C06DB">
      <w:pPr>
        <w:pStyle w:val="ManualHeading3"/>
        <w:rPr>
          <w:noProof/>
        </w:rPr>
      </w:pPr>
      <w:r w:rsidRPr="00744DCA">
        <w:rPr>
          <w:noProof/>
        </w:rPr>
        <w:t>2.2.2.</w:t>
      </w:r>
      <w:r w:rsidRPr="00744DCA">
        <w:rPr>
          <w:noProof/>
        </w:rPr>
        <w:tab/>
        <w:t>Information concerning the risks identified and the internal control system(s) set up to mitigate them</w:t>
      </w:r>
    </w:p>
    <w:p w14:paraId="53EC2193" w14:textId="77777777" w:rsidR="007C06DB" w:rsidRPr="00744DCA" w:rsidRDefault="007C06DB">
      <w:pPr>
        <w:pStyle w:val="ManualHeading3"/>
        <w:rPr>
          <w:noProof/>
        </w:rPr>
      </w:pPr>
      <w:r w:rsidRPr="00744DCA">
        <w:rPr>
          <w:noProof/>
        </w:rPr>
        <w:t>2.2.3.</w:t>
      </w:r>
      <w:r w:rsidRPr="00744DCA">
        <w:rPr>
          <w:noProof/>
        </w:rPr>
        <w:tab/>
        <w:t>Estimation and justification of the cost-effectiveness of the controls (ratio of "control costs ÷ value of the related funds managed"), and assessment of the expected levels of risk of error (at payment &amp; at closure)</w:t>
      </w:r>
    </w:p>
    <w:p w14:paraId="24D0D8C6" w14:textId="77777777" w:rsidR="007C06DB" w:rsidRPr="00744DCA" w:rsidRDefault="007C06DB">
      <w:pPr>
        <w:pStyle w:val="ManualHeading2"/>
        <w:rPr>
          <w:noProof/>
        </w:rPr>
      </w:pPr>
      <w:r w:rsidRPr="00744DCA">
        <w:rPr>
          <w:noProof/>
        </w:rPr>
        <w:t>2.3.</w:t>
      </w:r>
      <w:r w:rsidRPr="00744DCA">
        <w:rPr>
          <w:noProof/>
        </w:rPr>
        <w:tab/>
        <w:t>Measures to prevent fraud and irregularities</w:t>
      </w:r>
    </w:p>
    <w:p w14:paraId="7B18EBA2" w14:textId="77777777" w:rsidR="007C06DB" w:rsidRPr="00744DCA" w:rsidRDefault="007C06DB">
      <w:pPr>
        <w:pStyle w:val="ManualHeading1"/>
        <w:rPr>
          <w:noProof/>
        </w:rPr>
      </w:pPr>
      <w:r w:rsidRPr="00744DCA">
        <w:rPr>
          <w:noProof/>
        </w:rPr>
        <w:t>3.</w:t>
      </w:r>
      <w:r w:rsidRPr="00744DCA">
        <w:rPr>
          <w:noProof/>
        </w:rPr>
        <w:tab/>
        <w:t>ESTIMATED FINANCIAL IMPACT OF THE PROPOSAL/INITIATIVE</w:t>
      </w:r>
    </w:p>
    <w:p w14:paraId="06149F8A" w14:textId="77777777" w:rsidR="007C06DB" w:rsidRPr="00744DCA" w:rsidRDefault="007C06DB">
      <w:pPr>
        <w:pStyle w:val="ManualHeading2"/>
        <w:rPr>
          <w:noProof/>
        </w:rPr>
      </w:pPr>
      <w:r w:rsidRPr="00744DCA">
        <w:rPr>
          <w:noProof/>
        </w:rPr>
        <w:t>3.1.</w:t>
      </w:r>
      <w:r w:rsidRPr="00744DCA">
        <w:rPr>
          <w:noProof/>
        </w:rPr>
        <w:tab/>
        <w:t>Heading(s) of the multiannual financial framework and expenditure budget line(s) affected</w:t>
      </w:r>
    </w:p>
    <w:p w14:paraId="60392402" w14:textId="77777777" w:rsidR="007C06DB" w:rsidRPr="00744DCA" w:rsidRDefault="007C06DB">
      <w:pPr>
        <w:pStyle w:val="ManualHeading2"/>
        <w:rPr>
          <w:noProof/>
        </w:rPr>
      </w:pPr>
      <w:r w:rsidRPr="00744DCA">
        <w:rPr>
          <w:noProof/>
        </w:rPr>
        <w:t>3.2.</w:t>
      </w:r>
      <w:r w:rsidRPr="00744DCA">
        <w:rPr>
          <w:noProof/>
        </w:rPr>
        <w:tab/>
        <w:t>Estimated financial impact of the proposal on appropriations</w:t>
      </w:r>
    </w:p>
    <w:p w14:paraId="0B274762" w14:textId="77777777" w:rsidR="007C06DB" w:rsidRPr="00744DCA" w:rsidRDefault="007C06DB">
      <w:pPr>
        <w:pStyle w:val="ManualHeading3"/>
        <w:rPr>
          <w:noProof/>
        </w:rPr>
      </w:pPr>
      <w:r w:rsidRPr="00744DCA">
        <w:rPr>
          <w:noProof/>
        </w:rPr>
        <w:t>3.2.1.</w:t>
      </w:r>
      <w:r w:rsidRPr="00744DCA">
        <w:rPr>
          <w:noProof/>
        </w:rPr>
        <w:tab/>
        <w:t>Summary of estimated impact on operational appropriations</w:t>
      </w:r>
    </w:p>
    <w:p w14:paraId="7CEA283B" w14:textId="77777777" w:rsidR="007C06DB" w:rsidRPr="00744DCA" w:rsidRDefault="007C06DB">
      <w:pPr>
        <w:pStyle w:val="ManualHeading3"/>
        <w:rPr>
          <w:noProof/>
        </w:rPr>
      </w:pPr>
      <w:r w:rsidRPr="00744DCA">
        <w:rPr>
          <w:noProof/>
        </w:rPr>
        <w:t>3.2.2.</w:t>
      </w:r>
      <w:r w:rsidRPr="00744DCA">
        <w:rPr>
          <w:noProof/>
        </w:rPr>
        <w:tab/>
        <w:t>Estimated output funded with operational appropriations</w:t>
      </w:r>
    </w:p>
    <w:p w14:paraId="3E165106" w14:textId="77777777" w:rsidR="007C06DB" w:rsidRPr="00744DCA" w:rsidRDefault="007C06DB">
      <w:pPr>
        <w:pStyle w:val="ManualHeading3"/>
        <w:rPr>
          <w:noProof/>
        </w:rPr>
      </w:pPr>
      <w:r w:rsidRPr="00744DCA">
        <w:rPr>
          <w:noProof/>
        </w:rPr>
        <w:t>3.2.3.</w:t>
      </w:r>
      <w:r w:rsidRPr="00744DCA">
        <w:rPr>
          <w:noProof/>
        </w:rPr>
        <w:tab/>
        <w:t>Summary of estimated impact on administrative appropriations</w:t>
      </w:r>
    </w:p>
    <w:p w14:paraId="792F3B1A" w14:textId="77777777" w:rsidR="007C06DB" w:rsidRPr="00744DCA" w:rsidRDefault="007C06DB">
      <w:pPr>
        <w:pStyle w:val="ManualHeading3"/>
        <w:rPr>
          <w:noProof/>
        </w:rPr>
      </w:pPr>
      <w:r w:rsidRPr="00744DCA">
        <w:rPr>
          <w:noProof/>
        </w:rPr>
        <w:t>3.2.3.1.</w:t>
      </w:r>
      <w:r w:rsidRPr="00744DCA">
        <w:rPr>
          <w:noProof/>
        </w:rPr>
        <w:tab/>
        <w:t>Estimated requirements of human resources</w:t>
      </w:r>
    </w:p>
    <w:p w14:paraId="23FB522D" w14:textId="77777777" w:rsidR="007C06DB" w:rsidRPr="00744DCA" w:rsidRDefault="007C06DB">
      <w:pPr>
        <w:pStyle w:val="ManualHeading3"/>
        <w:rPr>
          <w:noProof/>
        </w:rPr>
      </w:pPr>
      <w:r w:rsidRPr="00744DCA">
        <w:rPr>
          <w:noProof/>
        </w:rPr>
        <w:t>3.2.4.</w:t>
      </w:r>
      <w:r w:rsidRPr="00744DCA">
        <w:rPr>
          <w:noProof/>
        </w:rPr>
        <w:tab/>
        <w:t>Compatibility with the current multiannual financial framework</w:t>
      </w:r>
    </w:p>
    <w:p w14:paraId="7B8C5A64" w14:textId="77777777" w:rsidR="007C06DB" w:rsidRPr="00744DCA" w:rsidRDefault="007C06DB">
      <w:pPr>
        <w:pStyle w:val="ManualHeading3"/>
        <w:rPr>
          <w:noProof/>
        </w:rPr>
      </w:pPr>
      <w:r w:rsidRPr="00744DCA">
        <w:rPr>
          <w:noProof/>
        </w:rPr>
        <w:t>3.2.5.</w:t>
      </w:r>
      <w:r w:rsidRPr="00744DCA">
        <w:rPr>
          <w:noProof/>
        </w:rPr>
        <w:tab/>
        <w:t>Third-party contributions</w:t>
      </w:r>
    </w:p>
    <w:p w14:paraId="5274AA8F" w14:textId="77777777" w:rsidR="007C06DB" w:rsidRPr="00744DCA" w:rsidRDefault="007C06DB">
      <w:pPr>
        <w:pStyle w:val="ManualHeading2"/>
        <w:rPr>
          <w:noProof/>
        </w:rPr>
      </w:pPr>
      <w:r w:rsidRPr="00744DCA">
        <w:rPr>
          <w:noProof/>
        </w:rPr>
        <w:t>3.3.</w:t>
      </w:r>
      <w:r w:rsidRPr="00744DCA">
        <w:rPr>
          <w:noProof/>
        </w:rPr>
        <w:tab/>
        <w:t>Estimated impact on revenue</w:t>
      </w:r>
    </w:p>
    <w:p w14:paraId="60C01015" w14:textId="77777777" w:rsidR="007C06DB" w:rsidRPr="00744DCA" w:rsidRDefault="007C06DB">
      <w:pPr>
        <w:rPr>
          <w:noProof/>
        </w:rPr>
        <w:sectPr w:rsidR="007C06DB" w:rsidRPr="00744DCA" w:rsidSect="00E82958">
          <w:pgSz w:w="11907" w:h="16840" w:code="9"/>
          <w:pgMar w:top="1134" w:right="1418" w:bottom="1134" w:left="1418" w:header="709" w:footer="709" w:gutter="0"/>
          <w:pgNumType w:start="1"/>
          <w:cols w:space="720"/>
          <w:docGrid w:linePitch="360"/>
        </w:sectPr>
      </w:pPr>
    </w:p>
    <w:p w14:paraId="4335D131" w14:textId="77777777" w:rsidR="0053346D" w:rsidRPr="00744DCA" w:rsidRDefault="0053346D" w:rsidP="0053346D">
      <w:pPr>
        <w:pStyle w:val="ManualHeading1"/>
        <w:rPr>
          <w:noProof/>
        </w:rPr>
      </w:pPr>
      <w:bookmarkStart w:id="11" w:name="_Toc514938007"/>
      <w:bookmarkStart w:id="12" w:name="_Toc520485025"/>
      <w:r w:rsidRPr="00744DCA">
        <w:rPr>
          <w:noProof/>
        </w:rPr>
        <w:t>1.</w:t>
      </w:r>
      <w:r w:rsidRPr="00744DCA">
        <w:rPr>
          <w:noProof/>
        </w:rPr>
        <w:tab/>
        <w:t>FRAMEWORK OF THE PROPOSAL/INITIATIVE</w:t>
      </w:r>
      <w:bookmarkEnd w:id="11"/>
      <w:bookmarkEnd w:id="12"/>
      <w:r w:rsidRPr="00744DCA">
        <w:rPr>
          <w:noProof/>
        </w:rPr>
        <w:t xml:space="preserve"> </w:t>
      </w:r>
    </w:p>
    <w:p w14:paraId="02A71D4C" w14:textId="77777777" w:rsidR="0053346D" w:rsidRPr="00744DCA" w:rsidRDefault="0053346D" w:rsidP="0053346D">
      <w:pPr>
        <w:pStyle w:val="ManualHeading2"/>
        <w:rPr>
          <w:noProof/>
        </w:rPr>
      </w:pPr>
      <w:bookmarkStart w:id="13" w:name="_Toc514938008"/>
      <w:bookmarkStart w:id="14" w:name="_Toc520485026"/>
      <w:r w:rsidRPr="00744DCA">
        <w:rPr>
          <w:noProof/>
        </w:rPr>
        <w:t>1.1.</w:t>
      </w:r>
      <w:r w:rsidRPr="00744DCA">
        <w:rPr>
          <w:noProof/>
        </w:rPr>
        <w:tab/>
        <w:t>Title of the proposal/initiative</w:t>
      </w:r>
      <w:bookmarkEnd w:id="13"/>
      <w:bookmarkEnd w:id="14"/>
    </w:p>
    <w:p w14:paraId="601B8D94" w14:textId="77777777" w:rsidR="0053346D" w:rsidRPr="00744DCA" w:rsidRDefault="0053346D" w:rsidP="0053346D">
      <w:pPr>
        <w:pStyle w:val="Text1"/>
        <w:pBdr>
          <w:top w:val="single" w:sz="4" w:space="1" w:color="auto"/>
          <w:left w:val="single" w:sz="4" w:space="4" w:color="auto"/>
          <w:bottom w:val="single" w:sz="4" w:space="1" w:color="auto"/>
          <w:right w:val="single" w:sz="4" w:space="4" w:color="auto"/>
        </w:pBdr>
        <w:rPr>
          <w:noProof/>
        </w:rPr>
      </w:pPr>
      <w:r w:rsidRPr="00744DCA">
        <w:rPr>
          <w:noProof/>
        </w:rPr>
        <w:t xml:space="preserve">Proposal for a Regulation of the European Parliament and of the Council establishing the </w:t>
      </w:r>
      <w:bookmarkStart w:id="15" w:name="_Hlk158900748"/>
      <w:r w:rsidRPr="00744DCA">
        <w:rPr>
          <w:noProof/>
        </w:rPr>
        <w:t xml:space="preserve">European Defence Industry Programme </w:t>
      </w:r>
      <w:bookmarkEnd w:id="15"/>
      <w:r w:rsidRPr="00744DCA">
        <w:rPr>
          <w:noProof/>
        </w:rPr>
        <w:t>and a framework of measures to ensure the timely availability and supply of defence products (‘EDIP’)</w:t>
      </w:r>
    </w:p>
    <w:p w14:paraId="1C133D9D" w14:textId="77777777" w:rsidR="0053346D" w:rsidRPr="00744DCA" w:rsidRDefault="0053346D" w:rsidP="0053346D">
      <w:pPr>
        <w:pStyle w:val="ManualHeading2"/>
        <w:rPr>
          <w:i/>
          <w:noProof/>
        </w:rPr>
      </w:pPr>
      <w:bookmarkStart w:id="16" w:name="_Toc514938011"/>
      <w:bookmarkStart w:id="17" w:name="_Toc520485027"/>
      <w:r w:rsidRPr="00744DCA">
        <w:rPr>
          <w:noProof/>
        </w:rPr>
        <w:t>1.2.</w:t>
      </w:r>
      <w:r w:rsidRPr="00744DCA">
        <w:rPr>
          <w:noProof/>
        </w:rPr>
        <w:tab/>
        <w:t>Policy area(s) concerned</w:t>
      </w:r>
      <w:bookmarkEnd w:id="16"/>
      <w:bookmarkEnd w:id="17"/>
      <w:r w:rsidRPr="00744DCA">
        <w:rPr>
          <w:i/>
          <w:noProof/>
        </w:rPr>
        <w:t xml:space="preserve"> </w:t>
      </w:r>
    </w:p>
    <w:p w14:paraId="292F6828" w14:textId="77777777" w:rsidR="0053346D" w:rsidRPr="00744DCA" w:rsidRDefault="0053346D" w:rsidP="0053346D">
      <w:pPr>
        <w:pStyle w:val="Text1"/>
        <w:pBdr>
          <w:top w:val="single" w:sz="4" w:space="1" w:color="auto"/>
          <w:left w:val="single" w:sz="4" w:space="4" w:color="auto"/>
          <w:bottom w:val="single" w:sz="4" w:space="1" w:color="auto"/>
          <w:right w:val="single" w:sz="4" w:space="4" w:color="auto"/>
        </w:pBdr>
        <w:rPr>
          <w:noProof/>
        </w:rPr>
      </w:pPr>
      <w:r w:rsidRPr="00744DCA">
        <w:rPr>
          <w:noProof/>
        </w:rPr>
        <w:t xml:space="preserve">Union defence industrial policy </w:t>
      </w:r>
    </w:p>
    <w:p w14:paraId="1ABBA23F" w14:textId="77777777" w:rsidR="0053346D" w:rsidRPr="00744DCA" w:rsidRDefault="0053346D" w:rsidP="0053346D">
      <w:pPr>
        <w:pStyle w:val="ManualHeading2"/>
        <w:rPr>
          <w:bCs/>
          <w:noProof/>
          <w:szCs w:val="24"/>
        </w:rPr>
      </w:pPr>
      <w:bookmarkStart w:id="18" w:name="_Toc514938014"/>
      <w:bookmarkStart w:id="19" w:name="_Toc520485028"/>
      <w:r w:rsidRPr="00744DCA">
        <w:rPr>
          <w:noProof/>
        </w:rPr>
        <w:t>1.3.</w:t>
      </w:r>
      <w:r w:rsidRPr="00744DCA">
        <w:rPr>
          <w:noProof/>
        </w:rPr>
        <w:tab/>
        <w:t>The proposal/initiative relates to:</w:t>
      </w:r>
      <w:bookmarkEnd w:id="18"/>
      <w:bookmarkEnd w:id="19"/>
      <w:r w:rsidRPr="00744DCA">
        <w:rPr>
          <w:noProof/>
        </w:rPr>
        <w:t xml:space="preserve"> </w:t>
      </w:r>
    </w:p>
    <w:p w14:paraId="2B4C0AF4" w14:textId="77777777" w:rsidR="0053346D" w:rsidRPr="00744DCA" w:rsidRDefault="0053346D" w:rsidP="0053346D">
      <w:pPr>
        <w:pStyle w:val="Text1"/>
        <w:rPr>
          <w:noProof/>
          <w:sz w:val="22"/>
        </w:rPr>
      </w:pPr>
      <w:r w:rsidRPr="00744DCA">
        <w:rPr>
          <w:rFonts w:ascii="Wingdings" w:eastAsia="Wingdings" w:hAnsi="Wingdings" w:cs="Wingdings"/>
          <w:noProof/>
          <w:sz w:val="22"/>
        </w:rPr>
        <w:t></w:t>
      </w:r>
      <w:r w:rsidRPr="00744DCA">
        <w:rPr>
          <w:i/>
          <w:noProof/>
          <w:sz w:val="22"/>
        </w:rPr>
        <w:t xml:space="preserve"> </w:t>
      </w:r>
      <w:r w:rsidRPr="00744DCA">
        <w:rPr>
          <w:b/>
          <w:noProof/>
        </w:rPr>
        <w:t>a new action following a pilot project/preparatory action</w:t>
      </w:r>
      <w:r w:rsidRPr="00744DCA">
        <w:rPr>
          <w:rStyle w:val="FootnoteReference"/>
          <w:b/>
          <w:noProof/>
        </w:rPr>
        <w:footnoteReference w:id="12"/>
      </w:r>
      <w:r w:rsidRPr="00744DCA">
        <w:rPr>
          <w:noProof/>
          <w:sz w:val="22"/>
        </w:rPr>
        <w:t xml:space="preserve"> </w:t>
      </w:r>
    </w:p>
    <w:p w14:paraId="1F4CF1BC" w14:textId="77777777" w:rsidR="0053346D" w:rsidRPr="00744DCA" w:rsidRDefault="0053346D" w:rsidP="0053346D">
      <w:pPr>
        <w:pStyle w:val="Text1"/>
        <w:rPr>
          <w:noProof/>
          <w:sz w:val="22"/>
        </w:rPr>
      </w:pPr>
      <w:r w:rsidRPr="00744DCA">
        <w:rPr>
          <w:rFonts w:ascii="Wingdings" w:eastAsia="Wingdings" w:hAnsi="Wingdings" w:cs="Wingdings"/>
          <w:noProof/>
          <w:sz w:val="22"/>
        </w:rPr>
        <w:t></w:t>
      </w:r>
      <w:r w:rsidRPr="00744DCA">
        <w:rPr>
          <w:i/>
          <w:noProof/>
          <w:sz w:val="22"/>
        </w:rPr>
        <w:t xml:space="preserve"> </w:t>
      </w:r>
      <w:r w:rsidRPr="00744DCA">
        <w:rPr>
          <w:b/>
          <w:noProof/>
        </w:rPr>
        <w:t>the extension of an existing action</w:t>
      </w:r>
      <w:r w:rsidRPr="00744DCA">
        <w:rPr>
          <w:noProof/>
          <w:sz w:val="22"/>
        </w:rPr>
        <w:t xml:space="preserve"> </w:t>
      </w:r>
    </w:p>
    <w:p w14:paraId="65E26A86" w14:textId="77777777" w:rsidR="0053346D" w:rsidRPr="00744DCA" w:rsidRDefault="0053346D" w:rsidP="0053346D">
      <w:pPr>
        <w:pStyle w:val="Text1"/>
        <w:rPr>
          <w:noProof/>
        </w:rPr>
      </w:pPr>
      <w:r w:rsidRPr="00744DCA">
        <w:rPr>
          <w:rFonts w:ascii="Wingdings" w:eastAsia="Wingdings" w:hAnsi="Wingdings" w:cs="Wingdings"/>
          <w:noProof/>
          <w:sz w:val="22"/>
        </w:rPr>
        <w:t></w:t>
      </w:r>
      <w:r w:rsidRPr="00744DCA">
        <w:rPr>
          <w:i/>
          <w:noProof/>
          <w:sz w:val="22"/>
        </w:rPr>
        <w:t xml:space="preserve"> </w:t>
      </w:r>
      <w:r w:rsidRPr="00744DCA">
        <w:rPr>
          <w:b/>
          <w:noProof/>
        </w:rPr>
        <w:t>a merger or redirection of one or more actions towards another/a new action</w:t>
      </w:r>
      <w:r w:rsidRPr="00744DCA">
        <w:rPr>
          <w:noProof/>
        </w:rPr>
        <w:t xml:space="preserve"> </w:t>
      </w:r>
    </w:p>
    <w:p w14:paraId="3A1D7D7B" w14:textId="77777777" w:rsidR="0053346D" w:rsidRPr="00744DCA" w:rsidRDefault="0053346D" w:rsidP="0053346D">
      <w:pPr>
        <w:pStyle w:val="ManualHeading2"/>
        <w:rPr>
          <w:bCs/>
          <w:noProof/>
          <w:szCs w:val="24"/>
        </w:rPr>
      </w:pPr>
      <w:bookmarkStart w:id="20" w:name="_Toc514938015"/>
      <w:bookmarkStart w:id="21" w:name="_Toc520485029"/>
      <w:r w:rsidRPr="00744DCA">
        <w:rPr>
          <w:noProof/>
        </w:rPr>
        <w:t>1.4.</w:t>
      </w:r>
      <w:r w:rsidRPr="00744DCA">
        <w:rPr>
          <w:noProof/>
        </w:rPr>
        <w:tab/>
        <w:t>Objective(s)</w:t>
      </w:r>
      <w:bookmarkEnd w:id="20"/>
      <w:bookmarkEnd w:id="21"/>
    </w:p>
    <w:p w14:paraId="1863B99E" w14:textId="77777777" w:rsidR="0053346D" w:rsidRPr="00744DCA" w:rsidRDefault="0053346D" w:rsidP="0053346D">
      <w:pPr>
        <w:pStyle w:val="ManualHeading3"/>
        <w:rPr>
          <w:noProof/>
        </w:rPr>
      </w:pPr>
      <w:bookmarkStart w:id="22" w:name="_Toc514938016"/>
      <w:bookmarkStart w:id="23" w:name="_Toc520485030"/>
      <w:r w:rsidRPr="00744DCA">
        <w:rPr>
          <w:noProof/>
        </w:rPr>
        <w:t>1.4.1.</w:t>
      </w:r>
      <w:r w:rsidRPr="00744DCA">
        <w:rPr>
          <w:noProof/>
        </w:rPr>
        <w:tab/>
        <w:t>General objective(s)</w:t>
      </w:r>
      <w:bookmarkEnd w:id="22"/>
      <w:bookmarkEnd w:id="23"/>
    </w:p>
    <w:p w14:paraId="44D4A562" w14:textId="77777777" w:rsidR="0053346D" w:rsidRPr="00744DCA" w:rsidRDefault="0053346D" w:rsidP="0053346D">
      <w:pPr>
        <w:pStyle w:val="Text1"/>
        <w:pBdr>
          <w:top w:val="single" w:sz="4" w:space="1" w:color="auto"/>
          <w:left w:val="single" w:sz="4" w:space="4" w:color="auto"/>
          <w:bottom w:val="single" w:sz="4" w:space="1" w:color="auto"/>
          <w:right w:val="single" w:sz="4" w:space="4" w:color="auto"/>
        </w:pBdr>
        <w:rPr>
          <w:noProof/>
        </w:rPr>
      </w:pPr>
      <w:r w:rsidRPr="00744DCA">
        <w:rPr>
          <w:noProof/>
        </w:rPr>
        <w:t>The Programme establishes a set of measures aimed at supporting defence readiness of the Union and its Member States through the strengthening of the competitiveness, responsiveness and ability of the European Defence Technological and Industrial Base (EDTIB) to ensure the timely availability and supply of defence products and at contributing to the recovery, reconstruction and modernisation of the Ukraine Defence Technological and Industrial Base (Ukrainian DTIB), in particular by means of the following:</w:t>
      </w:r>
    </w:p>
    <w:p w14:paraId="2CD98947" w14:textId="77777777" w:rsidR="00CC749C" w:rsidRDefault="00CC749C" w:rsidP="0053346D">
      <w:pPr>
        <w:pStyle w:val="Text1"/>
        <w:pBdr>
          <w:top w:val="single" w:sz="4" w:space="1" w:color="auto"/>
          <w:left w:val="single" w:sz="4" w:space="4" w:color="auto"/>
          <w:bottom w:val="single" w:sz="4" w:space="1" w:color="auto"/>
          <w:right w:val="single" w:sz="4" w:space="4" w:color="auto"/>
        </w:pBdr>
        <w:rPr>
          <w:noProof/>
        </w:rPr>
      </w:pPr>
    </w:p>
    <w:p w14:paraId="3074391E" w14:textId="77777777" w:rsidR="00EB7BB7" w:rsidRPr="00EB7BB7" w:rsidRDefault="00EB7BB7" w:rsidP="00E12333">
      <w:pPr>
        <w:pStyle w:val="Point1"/>
        <w:pBdr>
          <w:top w:val="single" w:sz="4" w:space="1" w:color="auto"/>
          <w:left w:val="single" w:sz="4" w:space="4" w:color="auto"/>
          <w:bottom w:val="single" w:sz="4" w:space="1" w:color="auto"/>
          <w:right w:val="single" w:sz="4" w:space="4" w:color="auto"/>
        </w:pBdr>
        <w:rPr>
          <w:noProof/>
        </w:rPr>
      </w:pPr>
      <w:r>
        <w:rPr>
          <w:noProof/>
        </w:rPr>
        <w:t>(1)</w:t>
      </w:r>
      <w:r>
        <w:rPr>
          <w:noProof/>
        </w:rPr>
        <w:tab/>
      </w:r>
      <w:r w:rsidRPr="00EB7BB7">
        <w:rPr>
          <w:noProof/>
        </w:rPr>
        <w:t>the establishment of the European Defence Industrial Programme (the ‘Programme’), comprising measures for the strengthening of the competitiveness, responsiveness and ability of the EDTIB, which may include the establishment of a fund for the acceleration of defence supply chain transformation (‘FAST’);</w:t>
      </w:r>
    </w:p>
    <w:p w14:paraId="75C002F2" w14:textId="77777777" w:rsidR="00EB7BB7" w:rsidRPr="00EB7BB7" w:rsidRDefault="00EB7BB7" w:rsidP="00E04821">
      <w:pPr>
        <w:pStyle w:val="Point1"/>
        <w:pBdr>
          <w:top w:val="single" w:sz="4" w:space="1" w:color="auto"/>
          <w:left w:val="single" w:sz="4" w:space="4" w:color="auto"/>
          <w:bottom w:val="single" w:sz="4" w:space="1" w:color="auto"/>
          <w:right w:val="single" w:sz="4" w:space="4" w:color="auto"/>
        </w:pBdr>
        <w:rPr>
          <w:noProof/>
        </w:rPr>
      </w:pPr>
      <w:r>
        <w:rPr>
          <w:noProof/>
        </w:rPr>
        <w:t>(2)</w:t>
      </w:r>
      <w:r>
        <w:rPr>
          <w:noProof/>
        </w:rPr>
        <w:tab/>
      </w:r>
      <w:r w:rsidRPr="00EB7BB7">
        <w:rPr>
          <w:noProof/>
        </w:rPr>
        <w:t>the establishment of a cooperation programme with Ukraine with a view to the recovery, reconstruction and modernisation of the Ukraine Defence Technological and Industrial Base (the ‘Ukraine Support Instrument’);</w:t>
      </w:r>
    </w:p>
    <w:p w14:paraId="623DEFF4" w14:textId="77777777" w:rsidR="00EB7BB7" w:rsidRPr="00EB7BB7" w:rsidRDefault="00EB7BB7" w:rsidP="00E04821">
      <w:pPr>
        <w:pStyle w:val="Point1"/>
        <w:pBdr>
          <w:top w:val="single" w:sz="4" w:space="1" w:color="auto"/>
          <w:left w:val="single" w:sz="4" w:space="4" w:color="auto"/>
          <w:bottom w:val="single" w:sz="4" w:space="1" w:color="auto"/>
          <w:right w:val="single" w:sz="4" w:space="4" w:color="auto"/>
        </w:pBdr>
        <w:rPr>
          <w:noProof/>
        </w:rPr>
      </w:pPr>
      <w:r>
        <w:rPr>
          <w:noProof/>
        </w:rPr>
        <w:t>(3)</w:t>
      </w:r>
      <w:r>
        <w:rPr>
          <w:noProof/>
        </w:rPr>
        <w:tab/>
      </w:r>
      <w:r w:rsidRPr="00EB7BB7">
        <w:rPr>
          <w:noProof/>
        </w:rPr>
        <w:t>a legal framework laying down the requirements and procedures for and the effects of setting-up the Structure for European Armament Programme (‘SEAP’) ;</w:t>
      </w:r>
    </w:p>
    <w:p w14:paraId="7D2B4F29" w14:textId="77777777" w:rsidR="00EB7BB7" w:rsidRPr="00EB7BB7" w:rsidRDefault="00EB7BB7" w:rsidP="00E04821">
      <w:pPr>
        <w:pStyle w:val="Point1"/>
        <w:pBdr>
          <w:top w:val="single" w:sz="4" w:space="1" w:color="auto"/>
          <w:left w:val="single" w:sz="4" w:space="4" w:color="auto"/>
          <w:bottom w:val="single" w:sz="4" w:space="1" w:color="auto"/>
          <w:right w:val="single" w:sz="4" w:space="4" w:color="auto"/>
        </w:pBdr>
        <w:rPr>
          <w:noProof/>
        </w:rPr>
      </w:pPr>
      <w:r>
        <w:rPr>
          <w:noProof/>
        </w:rPr>
        <w:t>(4)</w:t>
      </w:r>
      <w:r>
        <w:rPr>
          <w:noProof/>
        </w:rPr>
        <w:tab/>
      </w:r>
      <w:r w:rsidRPr="00EB7BB7">
        <w:rPr>
          <w:noProof/>
        </w:rPr>
        <w:t>a legal framework aiming at ensuring security of supply, removing obstacles and bottlenecks and supporting the production of defence products;</w:t>
      </w:r>
    </w:p>
    <w:p w14:paraId="0188CAD7" w14:textId="77777777" w:rsidR="00CC749C" w:rsidRDefault="00EB7BB7" w:rsidP="00E04821">
      <w:pPr>
        <w:pStyle w:val="Point1"/>
        <w:pBdr>
          <w:top w:val="single" w:sz="4" w:space="1" w:color="auto"/>
          <w:left w:val="single" w:sz="4" w:space="4" w:color="auto"/>
          <w:bottom w:val="single" w:sz="4" w:space="1" w:color="auto"/>
          <w:right w:val="single" w:sz="4" w:space="4" w:color="auto"/>
        </w:pBdr>
        <w:rPr>
          <w:noProof/>
        </w:rPr>
      </w:pPr>
      <w:r>
        <w:rPr>
          <w:noProof/>
        </w:rPr>
        <w:t>(5)</w:t>
      </w:r>
      <w:r>
        <w:rPr>
          <w:noProof/>
        </w:rPr>
        <w:tab/>
      </w:r>
      <w:r w:rsidRPr="00EB7BB7">
        <w:rPr>
          <w:noProof/>
        </w:rPr>
        <w:t>the establishment of a Defence Industrial Readiness Board</w:t>
      </w:r>
      <w:r w:rsidR="00B3262B">
        <w:rPr>
          <w:noProof/>
        </w:rPr>
        <w:t>.</w:t>
      </w:r>
      <w:r w:rsidRPr="00EB7BB7">
        <w:rPr>
          <w:noProof/>
        </w:rPr>
        <w:t xml:space="preserve"> </w:t>
      </w:r>
    </w:p>
    <w:p w14:paraId="77DA3FCB" w14:textId="77777777" w:rsidR="0053346D" w:rsidRPr="00744DCA" w:rsidRDefault="0053346D" w:rsidP="0053346D">
      <w:pPr>
        <w:pStyle w:val="Text1"/>
        <w:pBdr>
          <w:top w:val="single" w:sz="4" w:space="1" w:color="auto"/>
          <w:left w:val="single" w:sz="4" w:space="4" w:color="auto"/>
          <w:bottom w:val="single" w:sz="4" w:space="1" w:color="auto"/>
          <w:right w:val="single" w:sz="4" w:space="4" w:color="auto"/>
        </w:pBdr>
        <w:rPr>
          <w:noProof/>
        </w:rPr>
      </w:pPr>
      <w:r w:rsidRPr="00744DCA">
        <w:rPr>
          <w:noProof/>
        </w:rPr>
        <w:t xml:space="preserve"> </w:t>
      </w:r>
    </w:p>
    <w:p w14:paraId="0ACE369A" w14:textId="77777777" w:rsidR="0053346D" w:rsidRPr="00744DCA" w:rsidRDefault="0053346D" w:rsidP="0053346D">
      <w:pPr>
        <w:pStyle w:val="ManualHeading3"/>
        <w:rPr>
          <w:bCs/>
          <w:noProof/>
          <w:szCs w:val="24"/>
        </w:rPr>
      </w:pPr>
      <w:bookmarkStart w:id="24" w:name="_Toc514938018"/>
      <w:bookmarkStart w:id="25" w:name="_Toc520485031"/>
      <w:r w:rsidRPr="00744DCA">
        <w:rPr>
          <w:noProof/>
        </w:rPr>
        <w:t>1.4.2.</w:t>
      </w:r>
      <w:r w:rsidRPr="00744DCA">
        <w:rPr>
          <w:noProof/>
        </w:rPr>
        <w:tab/>
        <w:t>Specific objective(s)</w:t>
      </w:r>
      <w:bookmarkEnd w:id="24"/>
      <w:bookmarkEnd w:id="25"/>
    </w:p>
    <w:p w14:paraId="24116785" w14:textId="77777777" w:rsidR="0053346D" w:rsidRPr="00744DCA" w:rsidRDefault="0053346D" w:rsidP="0053346D">
      <w:pPr>
        <w:pStyle w:val="Text1"/>
        <w:pBdr>
          <w:top w:val="single" w:sz="4" w:space="1" w:color="auto"/>
          <w:left w:val="single" w:sz="4" w:space="4" w:color="auto"/>
          <w:bottom w:val="single" w:sz="4" w:space="1" w:color="auto"/>
          <w:right w:val="single" w:sz="4" w:space="4" w:color="auto"/>
        </w:pBdr>
        <w:rPr>
          <w:noProof/>
        </w:rPr>
      </w:pPr>
      <w:r w:rsidRPr="00744DCA">
        <w:rPr>
          <w:noProof/>
        </w:rPr>
        <w:t>N/A</w:t>
      </w:r>
    </w:p>
    <w:p w14:paraId="4ABD2E49" w14:textId="77777777" w:rsidR="0053346D" w:rsidRPr="00744DCA" w:rsidRDefault="0053346D" w:rsidP="0053346D">
      <w:pPr>
        <w:pStyle w:val="ManualHeading3"/>
        <w:rPr>
          <w:noProof/>
        </w:rPr>
      </w:pPr>
      <w:bookmarkStart w:id="26" w:name="_Toc514938019"/>
      <w:bookmarkStart w:id="27" w:name="_Toc520485032"/>
      <w:r w:rsidRPr="00744DCA">
        <w:rPr>
          <w:noProof/>
        </w:rPr>
        <w:t>1.4.3.</w:t>
      </w:r>
      <w:r w:rsidRPr="00744DCA">
        <w:rPr>
          <w:noProof/>
        </w:rPr>
        <w:tab/>
        <w:t>Expected result(s) and impact</w:t>
      </w:r>
      <w:bookmarkEnd w:id="26"/>
      <w:bookmarkEnd w:id="27"/>
    </w:p>
    <w:p w14:paraId="56A57F9C" w14:textId="77777777" w:rsidR="0053346D" w:rsidRPr="00744DCA" w:rsidRDefault="0053346D" w:rsidP="0053346D">
      <w:pPr>
        <w:pStyle w:val="Text1"/>
        <w:rPr>
          <w:i/>
          <w:noProof/>
          <w:sz w:val="20"/>
        </w:rPr>
      </w:pPr>
      <w:r w:rsidRPr="00744DCA">
        <w:rPr>
          <w:i/>
          <w:noProof/>
          <w:sz w:val="20"/>
        </w:rPr>
        <w:t>Specify the effects which the proposal/initiative should have on the beneficiaries/groups targeted.</w:t>
      </w:r>
    </w:p>
    <w:p w14:paraId="261D5C64" w14:textId="77777777" w:rsidR="0053346D" w:rsidRPr="00744DCA" w:rsidRDefault="0053346D" w:rsidP="0053346D">
      <w:pPr>
        <w:pStyle w:val="Text1"/>
        <w:pBdr>
          <w:top w:val="single" w:sz="4" w:space="1" w:color="auto"/>
          <w:left w:val="single" w:sz="4" w:space="4" w:color="auto"/>
          <w:bottom w:val="single" w:sz="4" w:space="1" w:color="auto"/>
          <w:right w:val="single" w:sz="4" w:space="4" w:color="auto"/>
        </w:pBdr>
        <w:rPr>
          <w:noProof/>
        </w:rPr>
      </w:pPr>
      <w:r w:rsidRPr="00744DCA">
        <w:rPr>
          <w:noProof/>
        </w:rPr>
        <w:t xml:space="preserve">Expected results: EDIP should contribute to closing the funding gap until 2027, by providing financial support for the reinforcement of the European and of the Ukraine DTIB, in a predictable, </w:t>
      </w:r>
      <w:r w:rsidR="54AE83D4" w:rsidRPr="00744DCA">
        <w:rPr>
          <w:noProof/>
        </w:rPr>
        <w:t>contin</w:t>
      </w:r>
      <w:r w:rsidR="38B951D0" w:rsidRPr="00744DCA">
        <w:rPr>
          <w:noProof/>
        </w:rPr>
        <w:t>u</w:t>
      </w:r>
      <w:r w:rsidR="54AE83D4" w:rsidRPr="00744DCA">
        <w:rPr>
          <w:noProof/>
        </w:rPr>
        <w:t>ous</w:t>
      </w:r>
      <w:r w:rsidRPr="00744DCA">
        <w:rPr>
          <w:noProof/>
        </w:rPr>
        <w:t xml:space="preserve"> and timely manner on the basis of an integrated approach.</w:t>
      </w:r>
    </w:p>
    <w:p w14:paraId="4F6E1E33" w14:textId="77777777" w:rsidR="0053346D" w:rsidRPr="00744DCA" w:rsidRDefault="0053346D" w:rsidP="0053346D">
      <w:pPr>
        <w:pStyle w:val="ManualHeading3"/>
        <w:rPr>
          <w:noProof/>
          <w:szCs w:val="24"/>
        </w:rPr>
      </w:pPr>
      <w:bookmarkStart w:id="28" w:name="_Toc514938023"/>
      <w:bookmarkStart w:id="29" w:name="_Toc520485033"/>
      <w:r w:rsidRPr="00744DCA">
        <w:rPr>
          <w:noProof/>
        </w:rPr>
        <w:t>1.4.4.</w:t>
      </w:r>
      <w:r w:rsidRPr="00744DCA">
        <w:rPr>
          <w:noProof/>
        </w:rPr>
        <w:tab/>
        <w:t>Indicators of performance</w:t>
      </w:r>
      <w:bookmarkEnd w:id="28"/>
      <w:bookmarkEnd w:id="29"/>
    </w:p>
    <w:p w14:paraId="4E897B5E" w14:textId="77777777" w:rsidR="0053346D" w:rsidRPr="00744DCA" w:rsidRDefault="0053346D" w:rsidP="0053346D">
      <w:pPr>
        <w:pStyle w:val="Text1"/>
        <w:rPr>
          <w:i/>
          <w:noProof/>
          <w:sz w:val="20"/>
        </w:rPr>
      </w:pPr>
      <w:r w:rsidRPr="00744DCA">
        <w:rPr>
          <w:i/>
          <w:noProof/>
          <w:sz w:val="20"/>
        </w:rPr>
        <w:t>Specify the indicators for monitoring progress and achievements.</w:t>
      </w:r>
    </w:p>
    <w:p w14:paraId="0B4EB41F" w14:textId="77777777" w:rsidR="0053346D" w:rsidRPr="00744DCA" w:rsidRDefault="0053346D" w:rsidP="0053346D">
      <w:pPr>
        <w:pStyle w:val="Text1"/>
        <w:pBdr>
          <w:top w:val="single" w:sz="4" w:space="1" w:color="auto"/>
          <w:left w:val="single" w:sz="4" w:space="4" w:color="auto"/>
          <w:bottom w:val="single" w:sz="4" w:space="1" w:color="auto"/>
          <w:right w:val="single" w:sz="4" w:space="4" w:color="auto"/>
        </w:pBdr>
        <w:rPr>
          <w:noProof/>
        </w:rPr>
      </w:pPr>
      <w:r w:rsidRPr="00744DCA">
        <w:rPr>
          <w:noProof/>
        </w:rPr>
        <w:t>Taking into consideration the short period of implementation, the results and impacts of the Programme will be assessed under retrospective evaluation at the end of the programme implementation.</w:t>
      </w:r>
    </w:p>
    <w:p w14:paraId="6560BD1C" w14:textId="77777777" w:rsidR="0053346D" w:rsidRPr="00744DCA" w:rsidRDefault="0053346D" w:rsidP="0053346D">
      <w:pPr>
        <w:pStyle w:val="Text1"/>
        <w:pBdr>
          <w:top w:val="single" w:sz="4" w:space="1" w:color="auto"/>
          <w:left w:val="single" w:sz="4" w:space="4" w:color="auto"/>
          <w:bottom w:val="single" w:sz="4" w:space="1" w:color="auto"/>
          <w:right w:val="single" w:sz="4" w:space="4" w:color="auto"/>
        </w:pBdr>
        <w:rPr>
          <w:noProof/>
        </w:rPr>
      </w:pPr>
      <w:r w:rsidRPr="00744DCA">
        <w:rPr>
          <w:noProof/>
        </w:rPr>
        <w:t>The Commission will ensure that the necessary indicators used for the monitoring of programme implementation will be put in place by the entity entrusted with the programme implementation. These will include:</w:t>
      </w:r>
    </w:p>
    <w:p w14:paraId="4B43CFAF" w14:textId="77777777" w:rsidR="0053346D" w:rsidRPr="00744DCA" w:rsidRDefault="0053346D" w:rsidP="0053346D">
      <w:pPr>
        <w:pStyle w:val="Text1"/>
        <w:pBdr>
          <w:top w:val="single" w:sz="4" w:space="1" w:color="auto"/>
          <w:left w:val="single" w:sz="4" w:space="4" w:color="auto"/>
          <w:bottom w:val="single" w:sz="4" w:space="1" w:color="auto"/>
          <w:right w:val="single" w:sz="4" w:space="4" w:color="auto"/>
        </w:pBdr>
        <w:rPr>
          <w:noProof/>
        </w:rPr>
      </w:pPr>
      <w:r w:rsidRPr="00744DCA">
        <w:rPr>
          <w:noProof/>
        </w:rPr>
        <w:t>- increase of production capacity for defence products within the EU;</w:t>
      </w:r>
    </w:p>
    <w:p w14:paraId="038357BA" w14:textId="77777777" w:rsidR="0053346D" w:rsidRPr="00744DCA" w:rsidRDefault="0053346D" w:rsidP="0053346D">
      <w:pPr>
        <w:pStyle w:val="Text1"/>
        <w:pBdr>
          <w:top w:val="single" w:sz="4" w:space="1" w:color="auto"/>
          <w:left w:val="single" w:sz="4" w:space="4" w:color="auto"/>
          <w:bottom w:val="single" w:sz="4" w:space="1" w:color="auto"/>
          <w:right w:val="single" w:sz="4" w:space="4" w:color="auto"/>
        </w:pBdr>
        <w:rPr>
          <w:noProof/>
        </w:rPr>
      </w:pPr>
      <w:r w:rsidRPr="00744DCA">
        <w:rPr>
          <w:noProof/>
        </w:rPr>
        <w:t>- reduction of production lead time;</w:t>
      </w:r>
    </w:p>
    <w:p w14:paraId="60C9244E" w14:textId="77777777" w:rsidR="0053346D" w:rsidRPr="00744DCA" w:rsidRDefault="0053346D" w:rsidP="0053346D">
      <w:pPr>
        <w:pStyle w:val="Text1"/>
        <w:pBdr>
          <w:top w:val="single" w:sz="4" w:space="1" w:color="auto"/>
          <w:left w:val="single" w:sz="4" w:space="4" w:color="auto"/>
          <w:bottom w:val="single" w:sz="4" w:space="1" w:color="auto"/>
          <w:right w:val="single" w:sz="4" w:space="4" w:color="auto"/>
        </w:pBdr>
        <w:rPr>
          <w:noProof/>
        </w:rPr>
      </w:pPr>
      <w:r w:rsidRPr="00744DCA">
        <w:rPr>
          <w:noProof/>
        </w:rPr>
        <w:t xml:space="preserve">- number of Member States participating in cooperation for common procurement; </w:t>
      </w:r>
    </w:p>
    <w:p w14:paraId="1F82A4D9" w14:textId="77777777" w:rsidR="0053346D" w:rsidRPr="00744DCA" w:rsidRDefault="0053346D" w:rsidP="0053346D">
      <w:pPr>
        <w:pStyle w:val="Text1"/>
        <w:pBdr>
          <w:top w:val="single" w:sz="4" w:space="1" w:color="auto"/>
          <w:left w:val="single" w:sz="4" w:space="4" w:color="auto"/>
          <w:bottom w:val="single" w:sz="4" w:space="1" w:color="auto"/>
          <w:right w:val="single" w:sz="4" w:space="4" w:color="auto"/>
        </w:pBdr>
        <w:rPr>
          <w:noProof/>
        </w:rPr>
      </w:pPr>
      <w:r w:rsidRPr="00744DCA">
        <w:rPr>
          <w:noProof/>
        </w:rPr>
        <w:t>- number of economic operators receiving a facilitated access to finance;</w:t>
      </w:r>
    </w:p>
    <w:p w14:paraId="71FACA82" w14:textId="77777777" w:rsidR="0053346D" w:rsidRPr="00744DCA" w:rsidRDefault="0053346D" w:rsidP="0053346D">
      <w:pPr>
        <w:pStyle w:val="Text1"/>
        <w:pBdr>
          <w:top w:val="single" w:sz="4" w:space="1" w:color="auto"/>
          <w:left w:val="single" w:sz="4" w:space="4" w:color="auto"/>
          <w:bottom w:val="single" w:sz="4" w:space="1" w:color="auto"/>
          <w:right w:val="single" w:sz="4" w:space="4" w:color="auto"/>
        </w:pBdr>
        <w:rPr>
          <w:noProof/>
        </w:rPr>
      </w:pPr>
      <w:r w:rsidRPr="00744DCA">
        <w:rPr>
          <w:noProof/>
        </w:rPr>
        <w:t>- number of new cross-border cooperations with undertakings established in another Member States or associated countries</w:t>
      </w:r>
      <w:r w:rsidR="580087F6" w:rsidRPr="00744DCA">
        <w:rPr>
          <w:noProof/>
        </w:rPr>
        <w:t>;</w:t>
      </w:r>
    </w:p>
    <w:p w14:paraId="3D37C77A" w14:textId="77777777" w:rsidR="0053346D" w:rsidRPr="00744DCA" w:rsidRDefault="0053346D" w:rsidP="0053346D">
      <w:pPr>
        <w:pStyle w:val="Text1"/>
        <w:pBdr>
          <w:top w:val="single" w:sz="4" w:space="1" w:color="auto"/>
          <w:left w:val="single" w:sz="4" w:space="4" w:color="auto"/>
          <w:bottom w:val="single" w:sz="4" w:space="1" w:color="auto"/>
          <w:right w:val="single" w:sz="4" w:space="4" w:color="auto"/>
        </w:pBdr>
        <w:rPr>
          <w:noProof/>
        </w:rPr>
      </w:pPr>
      <w:r w:rsidRPr="00744DCA">
        <w:rPr>
          <w:noProof/>
        </w:rPr>
        <w:t>- increase of support to Ukraine.</w:t>
      </w:r>
    </w:p>
    <w:p w14:paraId="1FEC5CAD" w14:textId="77777777" w:rsidR="0053346D" w:rsidRPr="00744DCA" w:rsidRDefault="0053346D" w:rsidP="0053346D">
      <w:pPr>
        <w:pStyle w:val="ManualHeading2"/>
        <w:rPr>
          <w:bCs/>
          <w:noProof/>
          <w:szCs w:val="24"/>
        </w:rPr>
      </w:pPr>
      <w:bookmarkStart w:id="30" w:name="_Toc514938025"/>
      <w:bookmarkStart w:id="31" w:name="_Toc520485034"/>
      <w:r w:rsidRPr="00744DCA">
        <w:rPr>
          <w:noProof/>
        </w:rPr>
        <w:t>1.5.</w:t>
      </w:r>
      <w:r w:rsidRPr="00744DCA">
        <w:rPr>
          <w:noProof/>
        </w:rPr>
        <w:tab/>
        <w:t>Grounds for the proposal/initiative</w:t>
      </w:r>
      <w:bookmarkEnd w:id="30"/>
      <w:bookmarkEnd w:id="31"/>
      <w:r w:rsidRPr="00744DCA">
        <w:rPr>
          <w:noProof/>
        </w:rPr>
        <w:t xml:space="preserve"> </w:t>
      </w:r>
    </w:p>
    <w:p w14:paraId="49AC2C05" w14:textId="77777777" w:rsidR="0053346D" w:rsidRPr="00744DCA" w:rsidRDefault="0053346D" w:rsidP="0053346D">
      <w:pPr>
        <w:pStyle w:val="ManualHeading3"/>
        <w:rPr>
          <w:noProof/>
        </w:rPr>
      </w:pPr>
      <w:bookmarkStart w:id="32" w:name="_Toc514938026"/>
      <w:bookmarkStart w:id="33" w:name="_Toc520485035"/>
      <w:r w:rsidRPr="00744DCA">
        <w:rPr>
          <w:noProof/>
        </w:rPr>
        <w:t>1.5.1.</w:t>
      </w:r>
      <w:r w:rsidRPr="00744DCA">
        <w:rPr>
          <w:noProof/>
        </w:rPr>
        <w:tab/>
        <w:t>Requirement(s) to be met in the short or long term including a detailed timeline for roll-out of the implementation of the initiative</w:t>
      </w:r>
      <w:bookmarkEnd w:id="32"/>
      <w:bookmarkEnd w:id="33"/>
    </w:p>
    <w:p w14:paraId="6D21871E" w14:textId="77777777" w:rsidR="0053346D" w:rsidRPr="00744DCA" w:rsidRDefault="0053346D" w:rsidP="0053346D">
      <w:pPr>
        <w:pStyle w:val="Text1"/>
        <w:pBdr>
          <w:top w:val="single" w:sz="4" w:space="1" w:color="auto"/>
          <w:left w:val="single" w:sz="4" w:space="4" w:color="auto"/>
          <w:bottom w:val="single" w:sz="4" w:space="1" w:color="auto"/>
          <w:right w:val="single" w:sz="4" w:space="4" w:color="auto"/>
        </w:pBdr>
        <w:rPr>
          <w:noProof/>
        </w:rPr>
      </w:pPr>
      <w:r w:rsidRPr="00744DCA">
        <w:rPr>
          <w:noProof/>
        </w:rPr>
        <w:t>The Regulation will be implemented through direct management</w:t>
      </w:r>
      <w:r w:rsidR="00D60C0D" w:rsidRPr="00744DCA">
        <w:rPr>
          <w:noProof/>
        </w:rPr>
        <w:t xml:space="preserve"> and indirect management, in particular for </w:t>
      </w:r>
      <w:r w:rsidR="00915FF9" w:rsidRPr="00744DCA">
        <w:rPr>
          <w:noProof/>
        </w:rPr>
        <w:t>the implementation of blending operations</w:t>
      </w:r>
      <w:r w:rsidRPr="00744DCA">
        <w:rPr>
          <w:noProof/>
        </w:rPr>
        <w:t>. The Commission will need to be staffed with the appropriate experts in order to monitor effectively the implemention</w:t>
      </w:r>
      <w:r w:rsidR="00915FF9" w:rsidRPr="00744DCA">
        <w:rPr>
          <w:noProof/>
        </w:rPr>
        <w:t>, including</w:t>
      </w:r>
      <w:r w:rsidR="0035476E" w:rsidRPr="00744DCA">
        <w:rPr>
          <w:noProof/>
        </w:rPr>
        <w:t xml:space="preserve"> where </w:t>
      </w:r>
      <w:r w:rsidR="01D223A6" w:rsidRPr="00744DCA">
        <w:rPr>
          <w:noProof/>
        </w:rPr>
        <w:t>implem</w:t>
      </w:r>
      <w:r w:rsidR="6883ECA1" w:rsidRPr="00744DCA">
        <w:rPr>
          <w:noProof/>
        </w:rPr>
        <w:t>en</w:t>
      </w:r>
      <w:r w:rsidR="01D223A6" w:rsidRPr="00744DCA">
        <w:rPr>
          <w:noProof/>
        </w:rPr>
        <w:t>tation</w:t>
      </w:r>
      <w:r w:rsidR="0035476E" w:rsidRPr="00744DCA">
        <w:rPr>
          <w:noProof/>
        </w:rPr>
        <w:t xml:space="preserve"> is entrusted to third parties based on a contribution agreement</w:t>
      </w:r>
      <w:r w:rsidRPr="00744DCA">
        <w:rPr>
          <w:noProof/>
        </w:rPr>
        <w:t>.</w:t>
      </w:r>
    </w:p>
    <w:p w14:paraId="3A4978CB" w14:textId="77777777" w:rsidR="0053346D" w:rsidRPr="00744DCA" w:rsidRDefault="0053346D" w:rsidP="0053346D">
      <w:pPr>
        <w:pStyle w:val="ManualHeading3"/>
        <w:rPr>
          <w:bCs/>
          <w:noProof/>
          <w:szCs w:val="24"/>
        </w:rPr>
      </w:pPr>
      <w:bookmarkStart w:id="34" w:name="_Toc514938029"/>
      <w:bookmarkStart w:id="35" w:name="_Toc520485036"/>
      <w:r w:rsidRPr="00744DCA">
        <w:rPr>
          <w:noProof/>
        </w:rPr>
        <w:t>1.5.2.</w:t>
      </w:r>
      <w:r w:rsidRPr="00744DCA">
        <w:rPr>
          <w:noProof/>
        </w:rPr>
        <w:tab/>
        <w:t>Added value of Union involvement (it may result from different factors, e.g. coordination gains, legal certainty, greater effectiveness or complementarities). For the purposes of this point 'added value of Union involvement' is the value resulting from Union intervention, which is additional to the value that would have been otherwise created by Member States alone.</w:t>
      </w:r>
      <w:bookmarkEnd w:id="34"/>
      <w:bookmarkEnd w:id="35"/>
    </w:p>
    <w:p w14:paraId="2FABD6FE" w14:textId="77777777" w:rsidR="0053346D" w:rsidRPr="00744DCA" w:rsidRDefault="0053346D" w:rsidP="0053346D">
      <w:pPr>
        <w:pStyle w:val="Text1"/>
        <w:pBdr>
          <w:top w:val="single" w:sz="4" w:space="1" w:color="auto"/>
          <w:left w:val="single" w:sz="4" w:space="4" w:color="auto"/>
          <w:bottom w:val="single" w:sz="4" w:space="1" w:color="auto"/>
          <w:right w:val="single" w:sz="4" w:space="4" w:color="auto"/>
        </w:pBdr>
        <w:rPr>
          <w:noProof/>
        </w:rPr>
      </w:pPr>
      <w:r w:rsidRPr="00744DCA">
        <w:rPr>
          <w:noProof/>
        </w:rPr>
        <w:t xml:space="preserve">As highlighted by the Joint Communication on Defence Investment </w:t>
      </w:r>
      <w:r w:rsidR="49F5B803" w:rsidRPr="00744DCA">
        <w:rPr>
          <w:noProof/>
        </w:rPr>
        <w:t>G</w:t>
      </w:r>
      <w:r w:rsidR="54AE83D4" w:rsidRPr="00744DCA">
        <w:rPr>
          <w:noProof/>
        </w:rPr>
        <w:t xml:space="preserve">aps </w:t>
      </w:r>
      <w:r w:rsidR="504A1336" w:rsidRPr="00744DCA">
        <w:rPr>
          <w:noProof/>
        </w:rPr>
        <w:t>Analysis</w:t>
      </w:r>
      <w:r w:rsidRPr="00744DCA">
        <w:rPr>
          <w:noProof/>
        </w:rPr>
        <w:t xml:space="preserve"> and </w:t>
      </w:r>
      <w:r w:rsidR="3818E917" w:rsidRPr="00744DCA">
        <w:rPr>
          <w:noProof/>
        </w:rPr>
        <w:t>W</w:t>
      </w:r>
      <w:r w:rsidR="54AE83D4" w:rsidRPr="00744DCA">
        <w:rPr>
          <w:noProof/>
        </w:rPr>
        <w:t xml:space="preserve">ay </w:t>
      </w:r>
      <w:r w:rsidR="62D36D6F" w:rsidRPr="00744DCA">
        <w:rPr>
          <w:noProof/>
        </w:rPr>
        <w:t>F</w:t>
      </w:r>
      <w:r w:rsidRPr="00744DCA">
        <w:rPr>
          <w:noProof/>
        </w:rPr>
        <w:t xml:space="preserve">orward (JOIN/2022/24 final), decades of underinvestment generates gaps within defence capabilities available to EU Member States armed forces, as well as industrial gaps within the Union. Fragmentation of the demand also generated national industrial silos and a corresponding multitude of defence systems of the same kind, often not interoperable amongst each other. The current defence market context is marked by an increased security threat, sees Member States rapidly increasing their defence budgets and aiming at similar equipment’s purchases. This results into an amount of demand for defence products which overcome EDTIB manufacturing capacities for such products, currently tailored for peacetime. In this context, significant investments are needed for which defence companies, which do not normally engage substantial self-funded industrial investments, will need derisking, as well as regulatory support to remove existing bottlenecks such as access to skilled personnel, raw materials. The Union intervention by de-risking industrial investments via grants and incentivizing the cooperation for common procurement will allow a faster adaptation to ongoing structural market change. The proposed measures will also encourage the EDTIB’s and Ukraine DTIB’s resilience through cross-border industrial partnerships and collaboration of relevant companies in a joint industry effort to avoid worsening fragmentation of the supply chains. </w:t>
      </w:r>
    </w:p>
    <w:p w14:paraId="6E63A08B" w14:textId="77777777" w:rsidR="0053346D" w:rsidRPr="00744DCA" w:rsidRDefault="0053346D" w:rsidP="0053346D">
      <w:pPr>
        <w:pStyle w:val="ManualHeading3"/>
        <w:rPr>
          <w:noProof/>
        </w:rPr>
      </w:pPr>
      <w:bookmarkStart w:id="36" w:name="_Toc514938030"/>
      <w:bookmarkStart w:id="37" w:name="_Toc520485037"/>
      <w:r w:rsidRPr="00744DCA">
        <w:rPr>
          <w:noProof/>
        </w:rPr>
        <w:t>1.5.3.</w:t>
      </w:r>
      <w:r w:rsidRPr="00744DCA">
        <w:rPr>
          <w:noProof/>
        </w:rPr>
        <w:tab/>
        <w:t>Lessons learned from similar experiences in the past</w:t>
      </w:r>
      <w:bookmarkEnd w:id="36"/>
      <w:bookmarkEnd w:id="37"/>
    </w:p>
    <w:p w14:paraId="7F12DF44" w14:textId="77777777" w:rsidR="0053346D" w:rsidRPr="00744DCA" w:rsidRDefault="0053346D" w:rsidP="0053346D">
      <w:pPr>
        <w:pStyle w:val="Text1"/>
        <w:pBdr>
          <w:top w:val="single" w:sz="4" w:space="1" w:color="auto"/>
          <w:left w:val="single" w:sz="4" w:space="4" w:color="auto"/>
          <w:bottom w:val="single" w:sz="4" w:space="1" w:color="auto"/>
          <w:right w:val="single" w:sz="4" w:space="4" w:color="auto"/>
        </w:pBdr>
        <w:rPr>
          <w:noProof/>
        </w:rPr>
      </w:pPr>
      <w:r w:rsidRPr="00744DCA">
        <w:rPr>
          <w:noProof/>
        </w:rPr>
        <w:t>N/A</w:t>
      </w:r>
    </w:p>
    <w:p w14:paraId="120C2DC4" w14:textId="77777777" w:rsidR="0053346D" w:rsidRPr="00744DCA" w:rsidRDefault="0053346D" w:rsidP="0053346D">
      <w:pPr>
        <w:pStyle w:val="ManualHeading3"/>
        <w:rPr>
          <w:noProof/>
        </w:rPr>
      </w:pPr>
      <w:bookmarkStart w:id="38" w:name="_Toc514938033"/>
      <w:bookmarkStart w:id="39" w:name="_Toc520485038"/>
      <w:r w:rsidRPr="00744DCA">
        <w:rPr>
          <w:noProof/>
        </w:rPr>
        <w:t>1.5.4.</w:t>
      </w:r>
      <w:r w:rsidRPr="00744DCA">
        <w:rPr>
          <w:noProof/>
        </w:rPr>
        <w:tab/>
        <w:t>Compatibility with the Multiannual Financial Framework and possible synergies with other appropriate instruments</w:t>
      </w:r>
      <w:bookmarkEnd w:id="38"/>
      <w:bookmarkEnd w:id="39"/>
    </w:p>
    <w:p w14:paraId="784467A1" w14:textId="77777777" w:rsidR="0053346D" w:rsidRPr="00744DCA" w:rsidRDefault="6D57F95A" w:rsidP="77F4BA51">
      <w:pPr>
        <w:pStyle w:val="Text1"/>
        <w:pBdr>
          <w:top w:val="single" w:sz="4" w:space="1" w:color="auto"/>
          <w:left w:val="single" w:sz="4" w:space="4" w:color="auto"/>
          <w:bottom w:val="single" w:sz="4" w:space="1" w:color="auto"/>
          <w:right w:val="single" w:sz="4" w:space="4" w:color="auto"/>
        </w:pBdr>
        <w:rPr>
          <w:noProof/>
        </w:rPr>
      </w:pPr>
      <w:r w:rsidRPr="00744DCA">
        <w:rPr>
          <w:noProof/>
        </w:rPr>
        <w:t xml:space="preserve">The </w:t>
      </w:r>
      <w:r w:rsidR="1507F02A" w:rsidRPr="00744DCA">
        <w:rPr>
          <w:noProof/>
        </w:rPr>
        <w:t xml:space="preserve">Programme </w:t>
      </w:r>
      <w:r w:rsidRPr="00744DCA">
        <w:rPr>
          <w:noProof/>
        </w:rPr>
        <w:t>will integrate two running EU instruments, the Instrument for the Reinforcement of the European Defence Industry through common Procurement (EDIRPA) and the Regulation supporting Ammunition Production (ASAP), and existing EU programmes such as the European Defence Fund</w:t>
      </w:r>
      <w:r w:rsidR="56E0FC08" w:rsidRPr="00744DCA">
        <w:rPr>
          <w:noProof/>
        </w:rPr>
        <w:t>.</w:t>
      </w:r>
      <w:r w:rsidRPr="00744DCA">
        <w:rPr>
          <w:noProof/>
        </w:rPr>
        <w:t xml:space="preserve"> </w:t>
      </w:r>
      <w:r w:rsidR="5454E033" w:rsidRPr="00744DCA">
        <w:rPr>
          <w:noProof/>
        </w:rPr>
        <w:t>It will also take into account other</w:t>
      </w:r>
      <w:r w:rsidRPr="00744DCA">
        <w:rPr>
          <w:noProof/>
        </w:rPr>
        <w:t xml:space="preserve"> EU defence initiatives such as the Permanent Structured Cooperation (PESCO) or the Strategic Compass for Security and Defence. It will generate synergies with other EU programmes. </w:t>
      </w:r>
    </w:p>
    <w:p w14:paraId="73488ADD" w14:textId="77777777" w:rsidR="0053346D" w:rsidRPr="00744DCA" w:rsidRDefault="0053346D" w:rsidP="0053346D">
      <w:pPr>
        <w:pStyle w:val="ManualHeading3"/>
        <w:rPr>
          <w:noProof/>
        </w:rPr>
      </w:pPr>
      <w:bookmarkStart w:id="40" w:name="_Toc514938036"/>
      <w:bookmarkStart w:id="41" w:name="_Toc520485039"/>
      <w:r w:rsidRPr="00744DCA">
        <w:rPr>
          <w:noProof/>
        </w:rPr>
        <w:t>1.5.5.</w:t>
      </w:r>
      <w:r w:rsidRPr="00744DCA">
        <w:rPr>
          <w:noProof/>
        </w:rPr>
        <w:tab/>
        <w:t>Assessment of the different available financing options, including scope for redeployment</w:t>
      </w:r>
      <w:bookmarkEnd w:id="40"/>
      <w:bookmarkEnd w:id="41"/>
    </w:p>
    <w:p w14:paraId="41043865" w14:textId="77777777" w:rsidR="0053346D" w:rsidRPr="00744DCA" w:rsidRDefault="0053346D" w:rsidP="0053346D">
      <w:pPr>
        <w:pStyle w:val="Text1"/>
        <w:pBdr>
          <w:top w:val="single" w:sz="4" w:space="1" w:color="auto"/>
          <w:left w:val="single" w:sz="4" w:space="4" w:color="auto"/>
          <w:bottom w:val="single" w:sz="4" w:space="1" w:color="auto"/>
          <w:right w:val="single" w:sz="4" w:space="4" w:color="auto"/>
        </w:pBdr>
        <w:rPr>
          <w:noProof/>
        </w:rPr>
      </w:pPr>
      <w:r w:rsidRPr="00744DCA">
        <w:rPr>
          <w:noProof/>
        </w:rPr>
        <w:t>N/A</w:t>
      </w:r>
    </w:p>
    <w:p w14:paraId="59F45B1F" w14:textId="77777777" w:rsidR="0053346D" w:rsidRPr="00744DCA" w:rsidRDefault="0053346D" w:rsidP="0053346D">
      <w:pPr>
        <w:pStyle w:val="Text1"/>
        <w:rPr>
          <w:noProof/>
        </w:rPr>
      </w:pPr>
    </w:p>
    <w:p w14:paraId="0E58ABB3" w14:textId="77777777" w:rsidR="0053346D" w:rsidRPr="00744DCA" w:rsidRDefault="0053346D" w:rsidP="0053346D">
      <w:pPr>
        <w:pStyle w:val="ManualHeading2"/>
        <w:rPr>
          <w:bCs/>
          <w:noProof/>
          <w:szCs w:val="24"/>
        </w:rPr>
      </w:pPr>
      <w:r w:rsidRPr="00744DCA">
        <w:rPr>
          <w:noProof/>
        </w:rPr>
        <w:br w:type="page"/>
      </w:r>
      <w:bookmarkStart w:id="42" w:name="_Toc514938039"/>
      <w:bookmarkStart w:id="43" w:name="_Toc520485040"/>
      <w:r w:rsidRPr="00744DCA">
        <w:rPr>
          <w:noProof/>
        </w:rPr>
        <w:t>1.6.</w:t>
      </w:r>
      <w:r w:rsidRPr="00744DCA">
        <w:rPr>
          <w:noProof/>
        </w:rPr>
        <w:tab/>
        <w:t>Duration and financial impact of the proposal/initiative</w:t>
      </w:r>
      <w:bookmarkEnd w:id="42"/>
      <w:bookmarkEnd w:id="43"/>
    </w:p>
    <w:p w14:paraId="7ABFBA08" w14:textId="77777777" w:rsidR="0053346D" w:rsidRPr="00744DCA" w:rsidRDefault="0053346D" w:rsidP="0053346D">
      <w:pPr>
        <w:pStyle w:val="Text1"/>
        <w:rPr>
          <w:noProof/>
        </w:rPr>
      </w:pPr>
      <w:r w:rsidRPr="00744DCA">
        <w:rPr>
          <w:rFonts w:ascii="Wingdings" w:eastAsia="Wingdings" w:hAnsi="Wingdings" w:cs="Wingdings"/>
          <w:noProof/>
        </w:rPr>
        <w:t></w:t>
      </w:r>
      <w:r w:rsidRPr="00744DCA">
        <w:rPr>
          <w:b/>
          <w:i/>
          <w:noProof/>
        </w:rPr>
        <w:t xml:space="preserve"> </w:t>
      </w:r>
      <w:r w:rsidRPr="00744DCA">
        <w:rPr>
          <w:b/>
          <w:noProof/>
        </w:rPr>
        <w:t xml:space="preserve">limited duration </w:t>
      </w:r>
    </w:p>
    <w:p w14:paraId="2850B41A" w14:textId="77777777" w:rsidR="0053346D" w:rsidRPr="00744DCA" w:rsidRDefault="0053346D" w:rsidP="0053346D">
      <w:pPr>
        <w:pStyle w:val="ListDash2"/>
        <w:rPr>
          <w:noProof/>
        </w:rPr>
      </w:pPr>
      <w:r w:rsidRPr="00744DCA">
        <w:rPr>
          <w:rFonts w:ascii="Wingdings" w:eastAsia="Wingdings" w:hAnsi="Wingdings" w:cs="Wingdings"/>
          <w:noProof/>
        </w:rPr>
        <w:t></w:t>
      </w:r>
      <w:r w:rsidRPr="00744DCA">
        <w:rPr>
          <w:noProof/>
        </w:rPr>
        <w:tab/>
        <w:t xml:space="preserve">in effect from 2025 to 31/12/2027 </w:t>
      </w:r>
    </w:p>
    <w:p w14:paraId="3B1A1234" w14:textId="77777777" w:rsidR="0053346D" w:rsidRPr="00744DCA" w:rsidRDefault="0053346D" w:rsidP="0053346D">
      <w:pPr>
        <w:pStyle w:val="ListDash2"/>
        <w:rPr>
          <w:noProof/>
        </w:rPr>
      </w:pPr>
      <w:r w:rsidRPr="00744DCA">
        <w:rPr>
          <w:rFonts w:ascii="Wingdings" w:eastAsia="Wingdings" w:hAnsi="Wingdings" w:cs="Wingdings"/>
          <w:noProof/>
        </w:rPr>
        <w:t></w:t>
      </w:r>
      <w:r w:rsidRPr="00744DCA">
        <w:rPr>
          <w:noProof/>
        </w:rPr>
        <w:tab/>
        <w:t xml:space="preserve">Financial impact from 2025 to 2027 for commitment appropriations and from 2026 to 2033 for payment appropriations.  </w:t>
      </w:r>
    </w:p>
    <w:p w14:paraId="723916AD" w14:textId="77777777" w:rsidR="0053346D" w:rsidRPr="00744DCA" w:rsidRDefault="0053346D" w:rsidP="0053346D">
      <w:pPr>
        <w:pStyle w:val="Text1"/>
        <w:rPr>
          <w:noProof/>
        </w:rPr>
      </w:pPr>
      <w:r w:rsidRPr="00744DCA">
        <w:rPr>
          <w:rFonts w:ascii="Wingdings" w:eastAsia="Wingdings" w:hAnsi="Wingdings" w:cs="Wingdings"/>
          <w:noProof/>
        </w:rPr>
        <w:t></w:t>
      </w:r>
      <w:r w:rsidRPr="00744DCA">
        <w:rPr>
          <w:b/>
          <w:i/>
          <w:noProof/>
        </w:rPr>
        <w:t xml:space="preserve"> </w:t>
      </w:r>
      <w:r w:rsidRPr="00744DCA">
        <w:rPr>
          <w:b/>
          <w:noProof/>
        </w:rPr>
        <w:t>unlimited duration</w:t>
      </w:r>
    </w:p>
    <w:p w14:paraId="1327D71F" w14:textId="77777777" w:rsidR="0053346D" w:rsidRPr="00744DCA" w:rsidRDefault="0053346D" w:rsidP="0053346D">
      <w:pPr>
        <w:pStyle w:val="ListDash1"/>
        <w:rPr>
          <w:noProof/>
        </w:rPr>
      </w:pPr>
      <w:r w:rsidRPr="00744DCA">
        <w:rPr>
          <w:noProof/>
        </w:rPr>
        <w:t>Implementation with a start-up period from YYYY to YYYY,</w:t>
      </w:r>
    </w:p>
    <w:p w14:paraId="7A7485DE" w14:textId="77777777" w:rsidR="0053346D" w:rsidRPr="00744DCA" w:rsidRDefault="0053346D" w:rsidP="0053346D">
      <w:pPr>
        <w:pStyle w:val="ListDash1"/>
        <w:rPr>
          <w:noProof/>
        </w:rPr>
      </w:pPr>
      <w:r w:rsidRPr="00744DCA">
        <w:rPr>
          <w:noProof/>
        </w:rPr>
        <w:t>followed by full-scale operation.</w:t>
      </w:r>
    </w:p>
    <w:p w14:paraId="63408C09" w14:textId="77777777" w:rsidR="0053346D" w:rsidRPr="00744DCA" w:rsidRDefault="0053346D" w:rsidP="0053346D">
      <w:pPr>
        <w:pStyle w:val="ManualHeading2"/>
        <w:rPr>
          <w:bCs/>
          <w:noProof/>
          <w:szCs w:val="24"/>
        </w:rPr>
      </w:pPr>
      <w:bookmarkStart w:id="44" w:name="_Toc514938040"/>
      <w:bookmarkStart w:id="45" w:name="_Toc520485041"/>
      <w:r w:rsidRPr="00744DCA">
        <w:rPr>
          <w:noProof/>
        </w:rPr>
        <w:t>1.7.</w:t>
      </w:r>
      <w:r w:rsidRPr="00744DCA">
        <w:rPr>
          <w:noProof/>
        </w:rPr>
        <w:tab/>
        <w:t>Method(s) of budget implementation planned</w:t>
      </w:r>
      <w:r w:rsidRPr="00744DCA">
        <w:rPr>
          <w:rStyle w:val="FootnoteReference"/>
          <w:noProof/>
        </w:rPr>
        <w:footnoteReference w:id="13"/>
      </w:r>
      <w:bookmarkEnd w:id="44"/>
      <w:bookmarkEnd w:id="45"/>
      <w:r w:rsidRPr="00744DCA">
        <w:rPr>
          <w:rStyle w:val="FootnoteReference"/>
          <w:noProof/>
        </w:rPr>
        <w:t xml:space="preserve"> </w:t>
      </w:r>
    </w:p>
    <w:p w14:paraId="3E490ECF" w14:textId="77777777" w:rsidR="0053346D" w:rsidRPr="00744DCA" w:rsidRDefault="0053346D" w:rsidP="0053346D">
      <w:pPr>
        <w:pStyle w:val="Text1"/>
        <w:rPr>
          <w:noProof/>
        </w:rPr>
      </w:pPr>
      <w:r w:rsidRPr="00744DCA">
        <w:rPr>
          <w:rFonts w:ascii="Wingdings" w:eastAsia="Wingdings" w:hAnsi="Wingdings" w:cs="Wingdings"/>
          <w:noProof/>
        </w:rPr>
        <w:t></w:t>
      </w:r>
      <w:r w:rsidRPr="00744DCA">
        <w:rPr>
          <w:i/>
          <w:noProof/>
        </w:rPr>
        <w:t xml:space="preserve"> </w:t>
      </w:r>
      <w:r w:rsidRPr="00744DCA">
        <w:rPr>
          <w:b/>
          <w:noProof/>
        </w:rPr>
        <w:t>Direct management</w:t>
      </w:r>
      <w:r w:rsidRPr="00744DCA">
        <w:rPr>
          <w:noProof/>
        </w:rPr>
        <w:t xml:space="preserve"> by the Commission</w:t>
      </w:r>
    </w:p>
    <w:p w14:paraId="13C9F75D" w14:textId="77777777" w:rsidR="0053346D" w:rsidRPr="00744DCA" w:rsidRDefault="0053346D" w:rsidP="0053346D">
      <w:pPr>
        <w:pStyle w:val="ListDash2"/>
        <w:rPr>
          <w:rFonts w:cs="EUAlbertina"/>
          <w:noProof/>
        </w:rPr>
      </w:pPr>
      <w:r w:rsidRPr="00744DCA">
        <w:rPr>
          <w:rFonts w:ascii="Wingdings" w:eastAsia="Wingdings" w:hAnsi="Wingdings" w:cs="Wingdings"/>
          <w:noProof/>
        </w:rPr>
        <w:t></w:t>
      </w:r>
      <w:r w:rsidRPr="00744DCA">
        <w:rPr>
          <w:noProof/>
        </w:rPr>
        <w:t xml:space="preserve"> by its departments, including by its staff in the Union delegations; </w:t>
      </w:r>
    </w:p>
    <w:p w14:paraId="46236E4C" w14:textId="77777777" w:rsidR="0053346D" w:rsidRPr="00744DCA" w:rsidRDefault="0053346D" w:rsidP="0053346D">
      <w:pPr>
        <w:pStyle w:val="ListDash2"/>
        <w:rPr>
          <w:noProof/>
        </w:rPr>
      </w:pPr>
      <w:r w:rsidRPr="00744DCA">
        <w:rPr>
          <w:rFonts w:ascii="Wingdings" w:eastAsia="Wingdings" w:hAnsi="Wingdings" w:cs="Wingdings"/>
          <w:noProof/>
        </w:rPr>
        <w:t></w:t>
      </w:r>
      <w:r w:rsidRPr="00744DCA">
        <w:rPr>
          <w:noProof/>
        </w:rPr>
        <w:tab/>
        <w:t xml:space="preserve">by the executive agencies </w:t>
      </w:r>
    </w:p>
    <w:p w14:paraId="584B2656" w14:textId="77777777" w:rsidR="0053346D" w:rsidRPr="00744DCA" w:rsidRDefault="0053346D" w:rsidP="0053346D">
      <w:pPr>
        <w:pStyle w:val="Text1"/>
        <w:rPr>
          <w:noProof/>
        </w:rPr>
      </w:pPr>
      <w:r w:rsidRPr="00744DCA">
        <w:rPr>
          <w:rFonts w:ascii="Wingdings" w:eastAsia="Wingdings" w:hAnsi="Wingdings" w:cs="Wingdings"/>
          <w:noProof/>
        </w:rPr>
        <w:t></w:t>
      </w:r>
      <w:r w:rsidRPr="00744DCA">
        <w:rPr>
          <w:b/>
          <w:i/>
          <w:noProof/>
        </w:rPr>
        <w:t xml:space="preserve"> </w:t>
      </w:r>
      <w:r w:rsidRPr="00744DCA">
        <w:rPr>
          <w:b/>
          <w:noProof/>
        </w:rPr>
        <w:t>Shared management</w:t>
      </w:r>
      <w:r w:rsidRPr="00744DCA">
        <w:rPr>
          <w:noProof/>
        </w:rPr>
        <w:t xml:space="preserve"> with the Member States </w:t>
      </w:r>
    </w:p>
    <w:p w14:paraId="560A8B15" w14:textId="77777777" w:rsidR="0053346D" w:rsidRPr="00744DCA" w:rsidRDefault="00AA5BAC" w:rsidP="0053346D">
      <w:pPr>
        <w:pStyle w:val="Text1"/>
        <w:rPr>
          <w:noProof/>
        </w:rPr>
      </w:pPr>
      <w:r w:rsidRPr="00744DCA">
        <w:rPr>
          <w:rFonts w:ascii="Wingdings" w:eastAsia="Wingdings" w:hAnsi="Wingdings" w:cs="Wingdings"/>
          <w:noProof/>
        </w:rPr>
        <w:t></w:t>
      </w:r>
      <w:r w:rsidR="0053346D" w:rsidRPr="00744DCA">
        <w:rPr>
          <w:i/>
          <w:noProof/>
        </w:rPr>
        <w:t xml:space="preserve"> </w:t>
      </w:r>
      <w:r w:rsidR="0053346D" w:rsidRPr="00744DCA">
        <w:rPr>
          <w:b/>
          <w:noProof/>
        </w:rPr>
        <w:t>Indirect management</w:t>
      </w:r>
      <w:r w:rsidR="0053346D" w:rsidRPr="00744DCA">
        <w:rPr>
          <w:noProof/>
        </w:rPr>
        <w:t xml:space="preserve"> by entrusting budget implementation tasks to:</w:t>
      </w:r>
    </w:p>
    <w:p w14:paraId="6D86764C" w14:textId="77777777" w:rsidR="0053346D" w:rsidRPr="00744DCA" w:rsidRDefault="0053346D" w:rsidP="0053346D">
      <w:pPr>
        <w:pStyle w:val="ListDash2"/>
        <w:rPr>
          <w:noProof/>
        </w:rPr>
      </w:pPr>
      <w:r w:rsidRPr="00744DCA">
        <w:rPr>
          <w:rFonts w:ascii="Wingdings" w:eastAsia="Wingdings" w:hAnsi="Wingdings" w:cs="Wingdings"/>
          <w:noProof/>
        </w:rPr>
        <w:t></w:t>
      </w:r>
      <w:r w:rsidRPr="00744DCA">
        <w:rPr>
          <w:noProof/>
        </w:rPr>
        <w:t xml:space="preserve"> third countries or the bodies they have designated;</w:t>
      </w:r>
    </w:p>
    <w:p w14:paraId="5A75415C" w14:textId="77777777" w:rsidR="0053346D" w:rsidRPr="00744DCA" w:rsidRDefault="00AA5BAC" w:rsidP="0053346D">
      <w:pPr>
        <w:pStyle w:val="ListDash2"/>
        <w:rPr>
          <w:noProof/>
        </w:rPr>
      </w:pPr>
      <w:r w:rsidRPr="00744DCA">
        <w:rPr>
          <w:rFonts w:ascii="Wingdings" w:eastAsia="Wingdings" w:hAnsi="Wingdings" w:cs="Wingdings"/>
          <w:noProof/>
        </w:rPr>
        <w:t></w:t>
      </w:r>
      <w:r w:rsidR="0053346D" w:rsidRPr="00744DCA">
        <w:rPr>
          <w:noProof/>
        </w:rPr>
        <w:t xml:space="preserve"> international organisations and their agencies (to be specified);</w:t>
      </w:r>
    </w:p>
    <w:p w14:paraId="5F595B15" w14:textId="77777777" w:rsidR="0053346D" w:rsidRPr="00744DCA" w:rsidRDefault="00AA5BAC" w:rsidP="0053346D">
      <w:pPr>
        <w:pStyle w:val="ListDash2"/>
        <w:rPr>
          <w:noProof/>
        </w:rPr>
      </w:pPr>
      <w:r w:rsidRPr="00744DCA">
        <w:rPr>
          <w:rFonts w:ascii="Wingdings" w:eastAsia="Wingdings" w:hAnsi="Wingdings" w:cs="Wingdings"/>
          <w:noProof/>
        </w:rPr>
        <w:t></w:t>
      </w:r>
      <w:r w:rsidR="0053346D" w:rsidRPr="00744DCA">
        <w:rPr>
          <w:noProof/>
        </w:rPr>
        <w:t xml:space="preserve"> the EIB and the European Investment Fund;</w:t>
      </w:r>
    </w:p>
    <w:p w14:paraId="02082DB8" w14:textId="77777777" w:rsidR="0053346D" w:rsidRPr="00744DCA" w:rsidRDefault="0053346D" w:rsidP="0053346D">
      <w:pPr>
        <w:pStyle w:val="ListDash2"/>
        <w:rPr>
          <w:noProof/>
        </w:rPr>
      </w:pPr>
      <w:r w:rsidRPr="00744DCA">
        <w:rPr>
          <w:rFonts w:ascii="Wingdings" w:eastAsia="Wingdings" w:hAnsi="Wingdings" w:cs="Wingdings"/>
          <w:noProof/>
        </w:rPr>
        <w:t></w:t>
      </w:r>
      <w:r w:rsidRPr="00744DCA">
        <w:rPr>
          <w:noProof/>
        </w:rPr>
        <w:t xml:space="preserve"> bodies referred to in Articles 70 and 71 of the Financial Regulation;</w:t>
      </w:r>
    </w:p>
    <w:p w14:paraId="0ECE8D57" w14:textId="77777777" w:rsidR="0053346D" w:rsidRPr="00744DCA" w:rsidRDefault="00AA5BAC" w:rsidP="0053346D">
      <w:pPr>
        <w:pStyle w:val="ListDash2"/>
        <w:rPr>
          <w:noProof/>
        </w:rPr>
      </w:pPr>
      <w:r w:rsidRPr="00744DCA">
        <w:rPr>
          <w:rFonts w:ascii="Wingdings" w:eastAsia="Wingdings" w:hAnsi="Wingdings" w:cs="Wingdings"/>
          <w:noProof/>
        </w:rPr>
        <w:t></w:t>
      </w:r>
      <w:r w:rsidR="0053346D" w:rsidRPr="00744DCA">
        <w:rPr>
          <w:noProof/>
        </w:rPr>
        <w:t xml:space="preserve"> public law bodies;</w:t>
      </w:r>
    </w:p>
    <w:p w14:paraId="2510FD81" w14:textId="77777777" w:rsidR="0053346D" w:rsidRPr="00744DCA" w:rsidRDefault="0053346D" w:rsidP="0053346D">
      <w:pPr>
        <w:pStyle w:val="ListDash2"/>
        <w:rPr>
          <w:noProof/>
        </w:rPr>
      </w:pPr>
      <w:r w:rsidRPr="00744DCA">
        <w:rPr>
          <w:rFonts w:ascii="Wingdings" w:eastAsia="Wingdings" w:hAnsi="Wingdings" w:cs="Wingdings"/>
          <w:noProof/>
        </w:rPr>
        <w:t></w:t>
      </w:r>
      <w:r w:rsidRPr="00744DCA">
        <w:rPr>
          <w:noProof/>
        </w:rPr>
        <w:t xml:space="preserve"> bodies governed by private law with a public service mission to the extent that they are provided with adequate financial guarantees;</w:t>
      </w:r>
    </w:p>
    <w:p w14:paraId="17D9FF81" w14:textId="77777777" w:rsidR="0053346D" w:rsidRPr="00744DCA" w:rsidRDefault="0053346D" w:rsidP="0053346D">
      <w:pPr>
        <w:pStyle w:val="ListDash2"/>
        <w:rPr>
          <w:noProof/>
        </w:rPr>
      </w:pPr>
      <w:r w:rsidRPr="00744DCA">
        <w:rPr>
          <w:rFonts w:ascii="Wingdings" w:eastAsia="Wingdings" w:hAnsi="Wingdings" w:cs="Wingdings"/>
          <w:noProof/>
        </w:rPr>
        <w:t></w:t>
      </w:r>
      <w:r w:rsidRPr="00744DCA">
        <w:rPr>
          <w:noProof/>
        </w:rPr>
        <w:t xml:space="preserve"> bodies governed by the private law of a Member State that are entrusted with the implementation of a public-private partnership and that are provided with adequate financial guarantees;</w:t>
      </w:r>
    </w:p>
    <w:p w14:paraId="212BAFD6" w14:textId="77777777" w:rsidR="0053346D" w:rsidRPr="00744DCA" w:rsidRDefault="00AA5BAC" w:rsidP="0053346D">
      <w:pPr>
        <w:pStyle w:val="ListDash2"/>
        <w:rPr>
          <w:noProof/>
        </w:rPr>
      </w:pPr>
      <w:r w:rsidRPr="00744DCA">
        <w:rPr>
          <w:rFonts w:ascii="Wingdings" w:eastAsia="Wingdings" w:hAnsi="Wingdings" w:cs="Wingdings"/>
          <w:noProof/>
        </w:rPr>
        <w:t></w:t>
      </w:r>
      <w:r w:rsidR="0053346D" w:rsidRPr="00744DCA">
        <w:rPr>
          <w:noProof/>
        </w:rPr>
        <w:t xml:space="preserve"> bodies or persons entrusted with the implementation of specific actions in the CFSP pursuant to Title V of the TEU, and identified in the relevant basic act.</w:t>
      </w:r>
    </w:p>
    <w:p w14:paraId="24057285" w14:textId="77777777" w:rsidR="0053346D" w:rsidRPr="00744DCA" w:rsidRDefault="0053346D" w:rsidP="0053346D">
      <w:pPr>
        <w:pStyle w:val="ListDash2"/>
        <w:rPr>
          <w:i/>
          <w:noProof/>
          <w:sz w:val="18"/>
          <w:u w:val="single"/>
        </w:rPr>
      </w:pPr>
      <w:r w:rsidRPr="00744DCA">
        <w:rPr>
          <w:i/>
          <w:noProof/>
          <w:sz w:val="18"/>
        </w:rPr>
        <w:t>If more than one management mode is indicated, please provide details in the ‘Comments’ section.</w:t>
      </w:r>
    </w:p>
    <w:p w14:paraId="000720A0" w14:textId="77777777" w:rsidR="0053346D" w:rsidRPr="00744DCA" w:rsidRDefault="0053346D" w:rsidP="0053346D">
      <w:pPr>
        <w:rPr>
          <w:noProof/>
        </w:rPr>
      </w:pPr>
      <w:r w:rsidRPr="00744DCA">
        <w:rPr>
          <w:noProof/>
        </w:rPr>
        <w:t xml:space="preserve">Comments </w:t>
      </w:r>
    </w:p>
    <w:p w14:paraId="2C7B5878" w14:textId="77777777" w:rsidR="0053346D" w:rsidRPr="00744DCA" w:rsidRDefault="0053346D" w:rsidP="0053346D">
      <w:pPr>
        <w:pBdr>
          <w:top w:val="single" w:sz="4" w:space="1" w:color="auto"/>
          <w:left w:val="single" w:sz="4" w:space="4" w:color="auto"/>
          <w:bottom w:val="single" w:sz="4" w:space="1" w:color="auto"/>
          <w:right w:val="single" w:sz="4" w:space="4" w:color="auto"/>
        </w:pBdr>
        <w:rPr>
          <w:noProof/>
        </w:rPr>
      </w:pPr>
      <w:r w:rsidRPr="00744DCA">
        <w:rPr>
          <w:noProof/>
        </w:rPr>
        <w:t xml:space="preserve">The European Defence Industry Programme shall be implemented in direct management </w:t>
      </w:r>
      <w:r w:rsidR="00E70157" w:rsidRPr="00744DCA">
        <w:rPr>
          <w:noProof/>
        </w:rPr>
        <w:t xml:space="preserve">and indirect management </w:t>
      </w:r>
      <w:r w:rsidRPr="00744DCA">
        <w:rPr>
          <w:noProof/>
        </w:rPr>
        <w:t>in accordance with the Financial Regulation.</w:t>
      </w:r>
    </w:p>
    <w:p w14:paraId="12FDABDF" w14:textId="77777777" w:rsidR="0053346D" w:rsidRPr="00744DCA" w:rsidRDefault="0053346D" w:rsidP="0053346D">
      <w:pPr>
        <w:rPr>
          <w:noProof/>
        </w:rPr>
        <w:sectPr w:rsidR="0053346D" w:rsidRPr="00744DCA" w:rsidSect="00E82958">
          <w:pgSz w:w="11907" w:h="16840" w:code="9"/>
          <w:pgMar w:top="1134" w:right="1418" w:bottom="1134" w:left="1418" w:header="709" w:footer="709" w:gutter="0"/>
          <w:cols w:space="708"/>
          <w:docGrid w:linePitch="360"/>
        </w:sectPr>
      </w:pPr>
    </w:p>
    <w:p w14:paraId="28B73493" w14:textId="77777777" w:rsidR="0053346D" w:rsidRPr="00744DCA" w:rsidRDefault="0053346D" w:rsidP="0053346D">
      <w:pPr>
        <w:pStyle w:val="ManualHeading1"/>
        <w:rPr>
          <w:bCs/>
          <w:noProof/>
          <w:szCs w:val="24"/>
        </w:rPr>
      </w:pPr>
      <w:bookmarkStart w:id="46" w:name="_Toc514938041"/>
      <w:bookmarkStart w:id="47" w:name="_Toc520485042"/>
      <w:r w:rsidRPr="00744DCA">
        <w:rPr>
          <w:noProof/>
        </w:rPr>
        <w:t>2.</w:t>
      </w:r>
      <w:r w:rsidRPr="00744DCA">
        <w:rPr>
          <w:noProof/>
        </w:rPr>
        <w:tab/>
        <w:t>MANAGEMENT MEASURES</w:t>
      </w:r>
      <w:bookmarkEnd w:id="46"/>
      <w:bookmarkEnd w:id="47"/>
      <w:r w:rsidRPr="00744DCA">
        <w:rPr>
          <w:noProof/>
        </w:rPr>
        <w:t xml:space="preserve"> </w:t>
      </w:r>
    </w:p>
    <w:p w14:paraId="1768A579" w14:textId="77777777" w:rsidR="0053346D" w:rsidRPr="00744DCA" w:rsidRDefault="0053346D" w:rsidP="0053346D">
      <w:pPr>
        <w:pStyle w:val="ManualHeading2"/>
        <w:rPr>
          <w:noProof/>
        </w:rPr>
      </w:pPr>
      <w:bookmarkStart w:id="48" w:name="_Toc514938042"/>
      <w:bookmarkStart w:id="49" w:name="_Toc520485043"/>
      <w:r w:rsidRPr="00744DCA">
        <w:rPr>
          <w:noProof/>
        </w:rPr>
        <w:t>2.1.</w:t>
      </w:r>
      <w:r w:rsidRPr="00744DCA">
        <w:rPr>
          <w:noProof/>
        </w:rPr>
        <w:tab/>
        <w:t>Monitoring and reporting rules</w:t>
      </w:r>
      <w:bookmarkEnd w:id="48"/>
      <w:bookmarkEnd w:id="49"/>
      <w:r w:rsidRPr="00744DCA">
        <w:rPr>
          <w:noProof/>
        </w:rPr>
        <w:t xml:space="preserve"> </w:t>
      </w:r>
    </w:p>
    <w:p w14:paraId="24A0E408" w14:textId="77777777" w:rsidR="0053346D" w:rsidRPr="00744DCA" w:rsidRDefault="0053346D" w:rsidP="0053346D">
      <w:pPr>
        <w:pStyle w:val="Text1"/>
        <w:rPr>
          <w:i/>
          <w:noProof/>
          <w:sz w:val="20"/>
        </w:rPr>
      </w:pPr>
      <w:r w:rsidRPr="00744DCA">
        <w:rPr>
          <w:i/>
          <w:noProof/>
          <w:sz w:val="20"/>
        </w:rPr>
        <w:t>Specify frequency and conditions.</w:t>
      </w:r>
    </w:p>
    <w:p w14:paraId="4B58CEE9" w14:textId="77777777" w:rsidR="0053346D" w:rsidRPr="00744DCA" w:rsidRDefault="0053346D" w:rsidP="0053346D">
      <w:pPr>
        <w:pStyle w:val="Text1"/>
        <w:pBdr>
          <w:top w:val="single" w:sz="4" w:space="1" w:color="auto"/>
          <w:left w:val="single" w:sz="4" w:space="4" w:color="auto"/>
          <w:bottom w:val="single" w:sz="4" w:space="1" w:color="auto"/>
          <w:right w:val="single" w:sz="4" w:space="4" w:color="auto"/>
        </w:pBdr>
        <w:rPr>
          <w:noProof/>
        </w:rPr>
      </w:pPr>
      <w:r w:rsidRPr="00744DCA">
        <w:rPr>
          <w:noProof/>
        </w:rPr>
        <w:t xml:space="preserve">In accordance with article </w:t>
      </w:r>
      <w:r w:rsidR="00294166" w:rsidRPr="00744DCA">
        <w:rPr>
          <w:noProof/>
        </w:rPr>
        <w:t>63</w:t>
      </w:r>
      <w:r w:rsidRPr="00744DCA">
        <w:rPr>
          <w:noProof/>
        </w:rPr>
        <w:t xml:space="preserve"> of the Programme the Commission will draw up an evaluation report not later dan 30/06/2027 for the Programme and submit it to the EP and Council. The report shall evaluate the impact and effectiveness of the actions under the </w:t>
      </w:r>
      <w:r w:rsidR="00E00CE8" w:rsidRPr="00744DCA">
        <w:rPr>
          <w:noProof/>
        </w:rPr>
        <w:t>Programme</w:t>
      </w:r>
      <w:r w:rsidRPr="00744DCA">
        <w:rPr>
          <w:noProof/>
        </w:rPr>
        <w:t>. To this end, the Commission will put in place necessary monitoring arrangements to ensure that relevant data are collected reliably and smoothly.</w:t>
      </w:r>
    </w:p>
    <w:p w14:paraId="2906AFD7" w14:textId="77777777" w:rsidR="0053346D" w:rsidRPr="00744DCA" w:rsidRDefault="0053346D" w:rsidP="0053346D">
      <w:pPr>
        <w:pStyle w:val="ManualHeading2"/>
        <w:rPr>
          <w:bCs/>
          <w:noProof/>
          <w:szCs w:val="24"/>
        </w:rPr>
      </w:pPr>
      <w:bookmarkStart w:id="50" w:name="_Toc514938045"/>
      <w:bookmarkStart w:id="51" w:name="_Toc520485044"/>
      <w:r w:rsidRPr="00744DCA">
        <w:rPr>
          <w:noProof/>
        </w:rPr>
        <w:t>2.2.</w:t>
      </w:r>
      <w:r w:rsidRPr="00744DCA">
        <w:rPr>
          <w:noProof/>
        </w:rPr>
        <w:tab/>
        <w:t>Management and control system(s)</w:t>
      </w:r>
      <w:bookmarkEnd w:id="50"/>
      <w:bookmarkEnd w:id="51"/>
      <w:r w:rsidRPr="00744DCA">
        <w:rPr>
          <w:noProof/>
        </w:rPr>
        <w:t xml:space="preserve"> </w:t>
      </w:r>
    </w:p>
    <w:p w14:paraId="009493DD" w14:textId="77777777" w:rsidR="0053346D" w:rsidRPr="00744DCA" w:rsidRDefault="0053346D" w:rsidP="0053346D">
      <w:pPr>
        <w:pStyle w:val="ManualHeading3"/>
        <w:rPr>
          <w:noProof/>
        </w:rPr>
      </w:pPr>
      <w:bookmarkStart w:id="52" w:name="_Toc514938046"/>
      <w:bookmarkStart w:id="53" w:name="_Toc520485045"/>
      <w:r w:rsidRPr="00744DCA">
        <w:rPr>
          <w:noProof/>
        </w:rPr>
        <w:t>2.2.1.</w:t>
      </w:r>
      <w:r w:rsidRPr="00744DCA">
        <w:rPr>
          <w:noProof/>
        </w:rPr>
        <w:tab/>
        <w:t>Justification of the management mode(s), the funding implementation mechanism(s), the payment modalities and the control strategy proposed</w:t>
      </w:r>
      <w:bookmarkEnd w:id="52"/>
      <w:bookmarkEnd w:id="53"/>
    </w:p>
    <w:p w14:paraId="5EF94712" w14:textId="77777777" w:rsidR="0053346D" w:rsidRPr="00744DCA" w:rsidRDefault="0053346D" w:rsidP="0053346D">
      <w:pPr>
        <w:pStyle w:val="Text1"/>
        <w:pBdr>
          <w:top w:val="single" w:sz="4" w:space="1" w:color="auto"/>
          <w:left w:val="single" w:sz="4" w:space="4" w:color="auto"/>
          <w:bottom w:val="single" w:sz="4" w:space="1" w:color="auto"/>
          <w:right w:val="single" w:sz="4" w:space="4" w:color="auto"/>
        </w:pBdr>
        <w:rPr>
          <w:noProof/>
        </w:rPr>
      </w:pPr>
      <w:r w:rsidRPr="00744DCA">
        <w:rPr>
          <w:noProof/>
        </w:rPr>
        <w:t xml:space="preserve">The Commission would have overall responsibility for the implementation of the Programme. In particular, the Commission intends to implement the Programme mainly in direct management. The use of direct management mode clarifies the responsibilities (implementation by authorising officers), shortens the delivery chain (reducing Time To Grant and Time To Pay), avoids conflicts of interests and reduces the implementation costs (no management fees for an entrusted entity). </w:t>
      </w:r>
    </w:p>
    <w:p w14:paraId="1C2869D0" w14:textId="77777777" w:rsidR="0053346D" w:rsidRPr="00744DCA" w:rsidRDefault="0053346D" w:rsidP="0053346D">
      <w:pPr>
        <w:pStyle w:val="Text1"/>
        <w:pBdr>
          <w:top w:val="single" w:sz="4" w:space="1" w:color="auto"/>
          <w:left w:val="single" w:sz="4" w:space="4" w:color="auto"/>
          <w:bottom w:val="single" w:sz="4" w:space="1" w:color="auto"/>
          <w:right w:val="single" w:sz="4" w:space="4" w:color="auto"/>
        </w:pBdr>
        <w:rPr>
          <w:noProof/>
        </w:rPr>
      </w:pPr>
      <w:r w:rsidRPr="00744DCA">
        <w:rPr>
          <w:noProof/>
        </w:rPr>
        <w:t>The Commission should define the funding priorities and conditions through one or several work programmes. The definition of priorities should be supported by the work of the Defence Industry Readiness Board. A Programme Committee of Member States should be established, to which the European Defence Agency should be invited to provide its views and expertise to the committee as an observer, and the European External Action Service, including its Military Staff, should be invited to assist in the committee. The Commission would adopt the work programmes following the opinion of the committee under the examination procedure.</w:t>
      </w:r>
    </w:p>
    <w:p w14:paraId="5570218F" w14:textId="77777777" w:rsidR="0053346D" w:rsidRPr="00744DCA" w:rsidRDefault="0053346D" w:rsidP="0053346D">
      <w:pPr>
        <w:pStyle w:val="Text1"/>
        <w:pBdr>
          <w:top w:val="single" w:sz="4" w:space="1" w:color="auto"/>
          <w:left w:val="single" w:sz="4" w:space="4" w:color="auto"/>
          <w:bottom w:val="single" w:sz="4" w:space="1" w:color="auto"/>
          <w:right w:val="single" w:sz="4" w:space="4" w:color="auto"/>
        </w:pBdr>
        <w:rPr>
          <w:noProof/>
        </w:rPr>
      </w:pPr>
      <w:r w:rsidRPr="00744DCA">
        <w:rPr>
          <w:noProof/>
        </w:rPr>
        <w:t>The funding under the Programme will mainly take the form of grants covering up to 100% of the costs of the action, as well as loans. The Commission may use simplified cost options (e.g. financing not linked to costs) in its grants in order to reduce the administrative burden for the beneficiaries and focus the effort on the results of the actions, in particular where recipients of funding are Member States contracting authorities.</w:t>
      </w:r>
    </w:p>
    <w:p w14:paraId="49C4525A" w14:textId="77777777" w:rsidR="0053346D" w:rsidRPr="00744DCA" w:rsidRDefault="0053346D" w:rsidP="0053346D">
      <w:pPr>
        <w:pStyle w:val="Text1"/>
        <w:pBdr>
          <w:top w:val="single" w:sz="4" w:space="1" w:color="auto"/>
          <w:left w:val="single" w:sz="4" w:space="4" w:color="auto"/>
          <w:bottom w:val="single" w:sz="4" w:space="1" w:color="auto"/>
          <w:right w:val="single" w:sz="4" w:space="4" w:color="auto"/>
        </w:pBdr>
        <w:rPr>
          <w:noProof/>
        </w:rPr>
      </w:pPr>
      <w:r w:rsidRPr="00744DCA">
        <w:rPr>
          <w:noProof/>
        </w:rPr>
        <w:t>The payment scheme will be prepared taking into account the beneficiary’s proposal (in order to allow the beneficiary to avoid any treasury issue) while ensuring the protection of the Union budget. The Commission, as granting authority, may – in case of lack of or inadequate implementation of the actions or delays – reduce, withhold or terminate its financial contribution.</w:t>
      </w:r>
    </w:p>
    <w:p w14:paraId="0B9813A6" w14:textId="77777777" w:rsidR="0053346D" w:rsidRPr="00744DCA" w:rsidRDefault="0053346D" w:rsidP="0053346D">
      <w:pPr>
        <w:pStyle w:val="Text1"/>
        <w:pBdr>
          <w:top w:val="single" w:sz="4" w:space="1" w:color="auto"/>
          <w:left w:val="single" w:sz="4" w:space="4" w:color="auto"/>
          <w:bottom w:val="single" w:sz="4" w:space="1" w:color="auto"/>
          <w:right w:val="single" w:sz="4" w:space="4" w:color="auto"/>
        </w:pBdr>
        <w:rPr>
          <w:noProof/>
        </w:rPr>
      </w:pPr>
      <w:r w:rsidRPr="00744DCA">
        <w:rPr>
          <w:noProof/>
        </w:rPr>
        <w:t>The control strategy for the programme, including ex-ante and ex-post controls, will build around the experience acquired in the EDF, and its precursor programmes, EDIDP and PADR.</w:t>
      </w:r>
    </w:p>
    <w:p w14:paraId="64368FAF" w14:textId="77777777" w:rsidR="0053346D" w:rsidRPr="00744DCA" w:rsidRDefault="0053346D" w:rsidP="0053346D">
      <w:pPr>
        <w:pStyle w:val="Text1"/>
        <w:pBdr>
          <w:top w:val="single" w:sz="4" w:space="1" w:color="auto"/>
          <w:left w:val="single" w:sz="4" w:space="4" w:color="auto"/>
          <w:bottom w:val="single" w:sz="4" w:space="1" w:color="auto"/>
          <w:right w:val="single" w:sz="4" w:space="4" w:color="auto"/>
        </w:pBdr>
        <w:rPr>
          <w:noProof/>
        </w:rPr>
      </w:pPr>
      <w:r w:rsidRPr="00744DCA">
        <w:rPr>
          <w:noProof/>
        </w:rPr>
        <w:t>Special attention will be paid to actions benefitting Ukraine. The control mechanisms in place provide a framework to ensure that all the appropriate measures to protect the financial interests of the Union are in place. It will guarantee that the principle of proportionality is taken into account and the specific conditions under which the Programme will operate.</w:t>
      </w:r>
    </w:p>
    <w:p w14:paraId="1C331840" w14:textId="77777777" w:rsidR="0053346D" w:rsidRPr="00744DCA" w:rsidRDefault="0053346D" w:rsidP="0053346D">
      <w:pPr>
        <w:pStyle w:val="ManualHeading3"/>
        <w:rPr>
          <w:bCs/>
          <w:noProof/>
          <w:szCs w:val="24"/>
        </w:rPr>
      </w:pPr>
      <w:bookmarkStart w:id="54" w:name="_Toc514938047"/>
      <w:bookmarkStart w:id="55" w:name="_Toc520485046"/>
      <w:r w:rsidRPr="00744DCA">
        <w:rPr>
          <w:noProof/>
        </w:rPr>
        <w:t>2.2.2.</w:t>
      </w:r>
      <w:r w:rsidRPr="00744DCA">
        <w:rPr>
          <w:noProof/>
        </w:rPr>
        <w:tab/>
        <w:t>Information concerning the risks identified and the internal control system(s) set up to mitigate them</w:t>
      </w:r>
      <w:bookmarkEnd w:id="54"/>
      <w:bookmarkEnd w:id="55"/>
    </w:p>
    <w:p w14:paraId="6F360366" w14:textId="77777777" w:rsidR="0053346D" w:rsidRPr="00744DCA" w:rsidRDefault="0053346D" w:rsidP="0053346D">
      <w:pPr>
        <w:pStyle w:val="Text1"/>
        <w:pBdr>
          <w:top w:val="single" w:sz="4" w:space="1" w:color="auto"/>
          <w:left w:val="single" w:sz="4" w:space="4" w:color="auto"/>
          <w:bottom w:val="single" w:sz="4" w:space="1" w:color="auto"/>
          <w:right w:val="single" w:sz="4" w:space="4" w:color="auto"/>
        </w:pBdr>
        <w:rPr>
          <w:noProof/>
        </w:rPr>
      </w:pPr>
      <w:r w:rsidRPr="00744DCA">
        <w:rPr>
          <w:noProof/>
        </w:rPr>
        <w:t xml:space="preserve">The Programme is meant to support the reinforcement of the European and Ukraine DTIB. </w:t>
      </w:r>
    </w:p>
    <w:p w14:paraId="062D4A15" w14:textId="77777777" w:rsidR="0053346D" w:rsidRPr="00744DCA" w:rsidRDefault="0053346D" w:rsidP="0053346D">
      <w:pPr>
        <w:pStyle w:val="Text1"/>
        <w:pBdr>
          <w:top w:val="single" w:sz="4" w:space="1" w:color="auto"/>
          <w:left w:val="single" w:sz="4" w:space="4" w:color="auto"/>
          <w:bottom w:val="single" w:sz="4" w:space="1" w:color="auto"/>
          <w:right w:val="single" w:sz="4" w:space="4" w:color="auto"/>
        </w:pBdr>
        <w:rPr>
          <w:noProof/>
        </w:rPr>
      </w:pPr>
      <w:r w:rsidRPr="00744DCA">
        <w:rPr>
          <w:noProof/>
        </w:rPr>
        <w:t xml:space="preserve">Risks associated are an insufficient budgetary volume compared to actual needs, difficulty to identify bottlenecks within production, urgency of needs by Union’s armed forces compared with production processes. The instrument being complementary to other initiatives agreed by the Council to support EU </w:t>
      </w:r>
      <w:r w:rsidR="00294166" w:rsidRPr="00744DCA">
        <w:rPr>
          <w:noProof/>
        </w:rPr>
        <w:t xml:space="preserve">Member States’ </w:t>
      </w:r>
      <w:r w:rsidRPr="00744DCA">
        <w:rPr>
          <w:noProof/>
        </w:rPr>
        <w:t xml:space="preserve">Armed Forces and Ukraine, coordination of demand between Member States, is a precondition. </w:t>
      </w:r>
    </w:p>
    <w:p w14:paraId="127FBC02" w14:textId="77777777" w:rsidR="0053346D" w:rsidRPr="00744DCA" w:rsidRDefault="0053346D" w:rsidP="0053346D">
      <w:pPr>
        <w:pStyle w:val="Text1"/>
        <w:pBdr>
          <w:top w:val="single" w:sz="4" w:space="1" w:color="auto"/>
          <w:left w:val="single" w:sz="4" w:space="4" w:color="auto"/>
          <w:bottom w:val="single" w:sz="4" w:space="1" w:color="auto"/>
          <w:right w:val="single" w:sz="4" w:space="4" w:color="auto"/>
        </w:pBdr>
        <w:rPr>
          <w:noProof/>
        </w:rPr>
      </w:pPr>
      <w:r w:rsidRPr="00744DCA">
        <w:rPr>
          <w:noProof/>
        </w:rPr>
        <w:t xml:space="preserve">The Commission would therefore implement the </w:t>
      </w:r>
      <w:r w:rsidR="00E00CE8" w:rsidRPr="00744DCA">
        <w:rPr>
          <w:noProof/>
        </w:rPr>
        <w:t xml:space="preserve">Programme </w:t>
      </w:r>
      <w:r w:rsidRPr="00744DCA">
        <w:rPr>
          <w:noProof/>
        </w:rPr>
        <w:t>in direct management building on the expertise gained in implementing the European Defence Fund,</w:t>
      </w:r>
      <w:r w:rsidR="00294166" w:rsidRPr="00744DCA">
        <w:rPr>
          <w:noProof/>
        </w:rPr>
        <w:t xml:space="preserve"> ASAP and EDIRPA</w:t>
      </w:r>
      <w:r w:rsidRPr="00744DCA">
        <w:rPr>
          <w:noProof/>
        </w:rPr>
        <w:t xml:space="preserve"> prepare and adopt work programmes in a timely manner, shorten the time to grant.</w:t>
      </w:r>
    </w:p>
    <w:p w14:paraId="495C4AEE" w14:textId="77777777" w:rsidR="0053346D" w:rsidRPr="00744DCA" w:rsidRDefault="0053346D" w:rsidP="0053346D">
      <w:pPr>
        <w:pStyle w:val="ManualHeading3"/>
        <w:rPr>
          <w:noProof/>
        </w:rPr>
      </w:pPr>
      <w:bookmarkStart w:id="56" w:name="_Toc514938048"/>
      <w:bookmarkStart w:id="57" w:name="_Toc520485047"/>
      <w:r w:rsidRPr="00744DCA">
        <w:rPr>
          <w:noProof/>
        </w:rPr>
        <w:t>2.2.3.</w:t>
      </w:r>
      <w:r w:rsidRPr="00744DCA">
        <w:rPr>
          <w:noProof/>
        </w:rPr>
        <w:tab/>
        <w:t>Estimation and justification of the cost-effectiveness of the controls (ratio of "control costs ÷ value of the related funds managed"), and assessment of the expected levels of risk of error (at payment &amp; at closure)</w:t>
      </w:r>
      <w:bookmarkEnd w:id="56"/>
      <w:bookmarkEnd w:id="57"/>
      <w:r w:rsidRPr="00744DCA">
        <w:rPr>
          <w:noProof/>
        </w:rPr>
        <w:t xml:space="preserve"> </w:t>
      </w:r>
    </w:p>
    <w:p w14:paraId="74B35AC2" w14:textId="77777777" w:rsidR="0053346D" w:rsidRPr="00744DCA" w:rsidRDefault="0053346D" w:rsidP="0053346D">
      <w:pPr>
        <w:pStyle w:val="Text1"/>
        <w:pBdr>
          <w:top w:val="single" w:sz="4" w:space="1" w:color="auto"/>
          <w:left w:val="single" w:sz="4" w:space="4" w:color="auto"/>
          <w:bottom w:val="single" w:sz="4" w:space="1" w:color="auto"/>
          <w:right w:val="single" w:sz="4" w:space="4" w:color="auto"/>
        </w:pBdr>
        <w:rPr>
          <w:noProof/>
        </w:rPr>
      </w:pPr>
      <w:r w:rsidRPr="00744DCA">
        <w:rPr>
          <w:noProof/>
        </w:rPr>
        <w:t xml:space="preserve">The budget of the programme will </w:t>
      </w:r>
      <w:r w:rsidR="00605AAA">
        <w:rPr>
          <w:noProof/>
        </w:rPr>
        <w:t xml:space="preserve">mainly </w:t>
      </w:r>
      <w:r w:rsidRPr="00744DCA">
        <w:rPr>
          <w:noProof/>
        </w:rPr>
        <w:t xml:space="preserve">be implemented under direct management. Based on the Commission experience on grant management, the overall control costs of the </w:t>
      </w:r>
      <w:r w:rsidR="005F06B2" w:rsidRPr="00744DCA">
        <w:rPr>
          <w:noProof/>
        </w:rPr>
        <w:t xml:space="preserve">Programme </w:t>
      </w:r>
      <w:r w:rsidRPr="00744DCA">
        <w:rPr>
          <w:noProof/>
        </w:rPr>
        <w:t xml:space="preserve">by the Commission are estimated at less than 1% of the related funds managed. </w:t>
      </w:r>
    </w:p>
    <w:p w14:paraId="1FADBD90" w14:textId="77777777" w:rsidR="0053346D" w:rsidRPr="00744DCA" w:rsidRDefault="0053346D" w:rsidP="0053346D">
      <w:pPr>
        <w:pStyle w:val="Text1"/>
        <w:pBdr>
          <w:top w:val="single" w:sz="4" w:space="1" w:color="auto"/>
          <w:left w:val="single" w:sz="4" w:space="4" w:color="auto"/>
          <w:bottom w:val="single" w:sz="4" w:space="1" w:color="auto"/>
          <w:right w:val="single" w:sz="4" w:space="4" w:color="auto"/>
        </w:pBdr>
        <w:rPr>
          <w:noProof/>
        </w:rPr>
      </w:pPr>
      <w:r w:rsidRPr="00744DCA">
        <w:rPr>
          <w:noProof/>
        </w:rPr>
        <w:t xml:space="preserve">In terms of expected error rate(s), the aim is to maintain the error rate below the threshold of 2%. The Commission considers that the implementation of the programme in direct management, with trained (experienced staff, possibly recruited from Member States Ministries of Defence) and well-staffed teams acting under delegated authorising officers, applying clear rules and making an appropriate use of output based instruments will maintain an error rate below the 2% materiality threshold. </w:t>
      </w:r>
    </w:p>
    <w:p w14:paraId="674E052B" w14:textId="77810B39" w:rsidR="0053346D" w:rsidRPr="00744DCA" w:rsidRDefault="0053346D" w:rsidP="0053346D">
      <w:pPr>
        <w:pStyle w:val="Text1"/>
        <w:pBdr>
          <w:top w:val="single" w:sz="4" w:space="1" w:color="auto"/>
          <w:left w:val="single" w:sz="4" w:space="4" w:color="auto"/>
          <w:bottom w:val="single" w:sz="4" w:space="1" w:color="auto"/>
          <w:right w:val="single" w:sz="4" w:space="4" w:color="auto"/>
        </w:pBdr>
        <w:rPr>
          <w:noProof/>
          <w:color w:val="0000FF"/>
        </w:rPr>
      </w:pPr>
      <w:r w:rsidRPr="00744DCA">
        <w:rPr>
          <w:noProof/>
        </w:rPr>
        <w:t xml:space="preserve">Financial contribution may be provided in the form of financing not linked to cost referred to in point (a) of Article 125(1) of </w:t>
      </w:r>
      <w:r>
        <w:rPr>
          <w:noProof/>
        </w:rPr>
        <w:t>Regulation (EU, Euratom) No 2018/1046</w:t>
      </w:r>
      <w:r w:rsidRPr="00744DCA">
        <w:rPr>
          <w:noProof/>
        </w:rPr>
        <w:t>.</w:t>
      </w:r>
    </w:p>
    <w:p w14:paraId="372923E1" w14:textId="77777777" w:rsidR="0053346D" w:rsidRPr="00744DCA" w:rsidRDefault="0053346D" w:rsidP="0053346D">
      <w:pPr>
        <w:pStyle w:val="ManualHeading2"/>
        <w:rPr>
          <w:bCs/>
          <w:noProof/>
          <w:szCs w:val="24"/>
        </w:rPr>
      </w:pPr>
      <w:bookmarkStart w:id="58" w:name="_Toc514938049"/>
      <w:bookmarkStart w:id="59" w:name="_Toc520485048"/>
      <w:r w:rsidRPr="00744DCA">
        <w:rPr>
          <w:noProof/>
        </w:rPr>
        <w:t>2.3.</w:t>
      </w:r>
      <w:r w:rsidRPr="00744DCA">
        <w:rPr>
          <w:noProof/>
        </w:rPr>
        <w:tab/>
        <w:t>Measures to prevent fraud and irregularities</w:t>
      </w:r>
      <w:bookmarkEnd w:id="58"/>
      <w:bookmarkEnd w:id="59"/>
      <w:r w:rsidRPr="00744DCA">
        <w:rPr>
          <w:noProof/>
        </w:rPr>
        <w:t xml:space="preserve"> </w:t>
      </w:r>
    </w:p>
    <w:p w14:paraId="40523FBC" w14:textId="77777777" w:rsidR="0053346D" w:rsidRPr="00744DCA" w:rsidRDefault="0053346D" w:rsidP="0053346D">
      <w:pPr>
        <w:pStyle w:val="Text1"/>
        <w:rPr>
          <w:i/>
          <w:noProof/>
          <w:sz w:val="20"/>
        </w:rPr>
      </w:pPr>
      <w:r w:rsidRPr="00744DCA">
        <w:rPr>
          <w:i/>
          <w:noProof/>
          <w:sz w:val="20"/>
        </w:rPr>
        <w:t>Specify existing or envisaged prevention and protection measures, e.g. from the Anti-Fraud Strategy.</w:t>
      </w:r>
    </w:p>
    <w:p w14:paraId="2E63F6B3" w14:textId="77777777" w:rsidR="0053346D" w:rsidRPr="00744DCA" w:rsidRDefault="0053346D" w:rsidP="0053346D">
      <w:pPr>
        <w:pStyle w:val="Text1"/>
        <w:pBdr>
          <w:top w:val="single" w:sz="4" w:space="1" w:color="auto"/>
          <w:left w:val="single" w:sz="4" w:space="4" w:color="auto"/>
          <w:bottom w:val="single" w:sz="4" w:space="1" w:color="auto"/>
          <w:right w:val="single" w:sz="4" w:space="4" w:color="auto"/>
        </w:pBdr>
        <w:rPr>
          <w:noProof/>
        </w:rPr>
      </w:pPr>
      <w:r w:rsidRPr="00744DCA">
        <w:rPr>
          <w:noProof/>
        </w:rPr>
        <w:t>The European Anti-Fraud Office (OLAF) is competent to carry out investigations on operations supported under this initiative. Agreements resulting from this Regulation, including agreements concluded with international organisations, shall provide for supervision and financial control by the Commission, or any representative authorised by it, and audits by the European Court of Auditors, the European Public Prosecutor’s Office (EPPO) or OLAF, if necessary on-the spot. Commission's officials who have the required security clearance, can also make on site visits.</w:t>
      </w:r>
    </w:p>
    <w:p w14:paraId="4BFBFDFA" w14:textId="77777777" w:rsidR="0053346D" w:rsidRPr="00744DCA" w:rsidRDefault="0053346D" w:rsidP="0053346D">
      <w:pPr>
        <w:rPr>
          <w:noProof/>
        </w:rPr>
        <w:sectPr w:rsidR="0053346D" w:rsidRPr="00744DCA" w:rsidSect="00E82958">
          <w:pgSz w:w="11907" w:h="16840" w:code="9"/>
          <w:pgMar w:top="1134" w:right="1418" w:bottom="1134" w:left="1418" w:header="709" w:footer="709" w:gutter="0"/>
          <w:cols w:space="708"/>
          <w:docGrid w:linePitch="360"/>
        </w:sectPr>
      </w:pPr>
    </w:p>
    <w:p w14:paraId="1D4B4E91" w14:textId="77777777" w:rsidR="00625704" w:rsidRDefault="0053346D" w:rsidP="00625704">
      <w:pPr>
        <w:pStyle w:val="ManualHeading1"/>
        <w:rPr>
          <w:bCs/>
          <w:noProof/>
          <w:szCs w:val="24"/>
        </w:rPr>
      </w:pPr>
      <w:bookmarkStart w:id="60" w:name="_Toc514938050"/>
      <w:bookmarkStart w:id="61" w:name="_Toc520485049"/>
      <w:r w:rsidRPr="00744DCA">
        <w:rPr>
          <w:noProof/>
        </w:rPr>
        <w:t>3.</w:t>
      </w:r>
      <w:r w:rsidRPr="00744DCA">
        <w:rPr>
          <w:noProof/>
        </w:rPr>
        <w:tab/>
      </w:r>
      <w:bookmarkEnd w:id="60"/>
      <w:bookmarkEnd w:id="61"/>
      <w:r w:rsidR="00625704">
        <w:rPr>
          <w:noProof/>
        </w:rPr>
        <w:t xml:space="preserve">ESTIMATED FINANCIAL IMPACT OF THE PROPOSAL/INITIATIVE </w:t>
      </w:r>
    </w:p>
    <w:p w14:paraId="6D11D5FB" w14:textId="77777777" w:rsidR="00625704" w:rsidRDefault="00625704" w:rsidP="00625704">
      <w:pPr>
        <w:pStyle w:val="ManualHeading2"/>
        <w:rPr>
          <w:noProof/>
        </w:rPr>
      </w:pPr>
      <w:bookmarkStart w:id="62" w:name="_Toc514938051"/>
      <w:bookmarkStart w:id="63" w:name="_Toc520485050"/>
      <w:r w:rsidRPr="0021790A">
        <w:rPr>
          <w:noProof/>
        </w:rPr>
        <w:t>3.1.</w:t>
      </w:r>
      <w:r w:rsidRPr="0021790A">
        <w:rPr>
          <w:noProof/>
        </w:rPr>
        <w:tab/>
      </w:r>
      <w:r>
        <w:rPr>
          <w:noProof/>
        </w:rPr>
        <w:t>Heading(s) of the multiannual financial framework and expenditure budget line(s) affected</w:t>
      </w:r>
      <w:bookmarkEnd w:id="62"/>
      <w:bookmarkEnd w:id="63"/>
      <w:r>
        <w:rPr>
          <w:noProof/>
        </w:rPr>
        <w:t xml:space="preserve"> </w:t>
      </w:r>
    </w:p>
    <w:p w14:paraId="604AFF0F" w14:textId="77777777" w:rsidR="00625704" w:rsidRDefault="00625704" w:rsidP="00625704">
      <w:pPr>
        <w:pStyle w:val="ListBullet1"/>
        <w:rPr>
          <w:noProof/>
        </w:rPr>
      </w:pPr>
      <w:r>
        <w:rPr>
          <w:noProof/>
        </w:rPr>
        <w:t xml:space="preserve">Existing budget lines </w:t>
      </w:r>
    </w:p>
    <w:p w14:paraId="3827CC79" w14:textId="77777777" w:rsidR="00625704" w:rsidRPr="009B753E" w:rsidRDefault="00625704" w:rsidP="00625704">
      <w:pPr>
        <w:pStyle w:val="Text1"/>
        <w:rPr>
          <w:i/>
          <w:noProof/>
        </w:rPr>
      </w:pPr>
      <w:r w:rsidRPr="009B753E">
        <w:rPr>
          <w:i/>
          <w:noProof/>
          <w:u w:val="single"/>
        </w:rPr>
        <w:t>In order</w:t>
      </w:r>
      <w:r w:rsidRPr="009B753E">
        <w:rPr>
          <w:i/>
          <w:noProof/>
        </w:rPr>
        <w:t xml:space="preserve"> of multiannual financial framework headings and budget lines.</w:t>
      </w:r>
    </w:p>
    <w:tbl>
      <w:tblPr>
        <w:tblW w:w="105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3960"/>
        <w:gridCol w:w="1080"/>
        <w:gridCol w:w="956"/>
        <w:gridCol w:w="1080"/>
        <w:gridCol w:w="956"/>
        <w:gridCol w:w="1448"/>
      </w:tblGrid>
      <w:tr w:rsidR="00625704" w14:paraId="63001160" w14:textId="77777777" w:rsidTr="00FA026A">
        <w:tc>
          <w:tcPr>
            <w:tcW w:w="1080" w:type="dxa"/>
            <w:vMerge w:val="restart"/>
            <w:vAlign w:val="center"/>
          </w:tcPr>
          <w:p w14:paraId="69DC189E" w14:textId="77777777" w:rsidR="00625704" w:rsidRPr="003A769F" w:rsidRDefault="00625704" w:rsidP="00C06A68">
            <w:pPr>
              <w:spacing w:before="60" w:after="60"/>
              <w:jc w:val="center"/>
              <w:rPr>
                <w:noProof/>
                <w:lang w:val="en-IE"/>
              </w:rPr>
            </w:pPr>
            <w:r w:rsidRPr="003A769F">
              <w:rPr>
                <w:noProof/>
                <w:sz w:val="18"/>
                <w:lang w:val="en-IE"/>
              </w:rPr>
              <w:t>Heading of multiannual financial framework</w:t>
            </w:r>
          </w:p>
        </w:tc>
        <w:tc>
          <w:tcPr>
            <w:tcW w:w="3960" w:type="dxa"/>
            <w:vAlign w:val="center"/>
          </w:tcPr>
          <w:p w14:paraId="3BA95D5C" w14:textId="77777777" w:rsidR="00625704" w:rsidRDefault="00625704" w:rsidP="00C06A68">
            <w:pPr>
              <w:spacing w:before="60" w:after="60"/>
              <w:jc w:val="center"/>
              <w:rPr>
                <w:noProof/>
              </w:rPr>
            </w:pPr>
            <w:r>
              <w:rPr>
                <w:noProof/>
                <w:sz w:val="20"/>
              </w:rPr>
              <w:t>Budget line</w:t>
            </w:r>
          </w:p>
        </w:tc>
        <w:tc>
          <w:tcPr>
            <w:tcW w:w="1080" w:type="dxa"/>
            <w:vAlign w:val="center"/>
          </w:tcPr>
          <w:p w14:paraId="6B6F64D7" w14:textId="77777777" w:rsidR="00625704" w:rsidRDefault="00625704" w:rsidP="00C06A68">
            <w:pPr>
              <w:spacing w:before="60" w:after="60"/>
              <w:jc w:val="center"/>
              <w:rPr>
                <w:noProof/>
              </w:rPr>
            </w:pPr>
            <w:r>
              <w:rPr>
                <w:noProof/>
                <w:sz w:val="18"/>
              </w:rPr>
              <w:t xml:space="preserve">Type of </w:t>
            </w:r>
            <w:r>
              <w:rPr>
                <w:noProof/>
                <w:sz w:val="22"/>
              </w:rPr>
              <w:br/>
            </w:r>
            <w:r>
              <w:rPr>
                <w:noProof/>
                <w:sz w:val="18"/>
              </w:rPr>
              <w:t>expenditure</w:t>
            </w:r>
          </w:p>
        </w:tc>
        <w:tc>
          <w:tcPr>
            <w:tcW w:w="4440" w:type="dxa"/>
            <w:gridSpan w:val="4"/>
            <w:vAlign w:val="center"/>
          </w:tcPr>
          <w:p w14:paraId="2B7C84D1" w14:textId="77777777" w:rsidR="00625704" w:rsidRDefault="00625704" w:rsidP="00C06A68">
            <w:pPr>
              <w:spacing w:before="60" w:after="60"/>
              <w:jc w:val="center"/>
              <w:rPr>
                <w:noProof/>
              </w:rPr>
            </w:pPr>
            <w:r>
              <w:rPr>
                <w:noProof/>
                <w:sz w:val="20"/>
              </w:rPr>
              <w:t xml:space="preserve">Contribution </w:t>
            </w:r>
          </w:p>
        </w:tc>
      </w:tr>
      <w:tr w:rsidR="00625704" w:rsidRPr="00FF5DD8" w14:paraId="4D63C582" w14:textId="77777777" w:rsidTr="00FA026A">
        <w:tc>
          <w:tcPr>
            <w:tcW w:w="1080" w:type="dxa"/>
            <w:vMerge/>
            <w:vAlign w:val="center"/>
          </w:tcPr>
          <w:p w14:paraId="14A78CB5" w14:textId="77777777" w:rsidR="00625704" w:rsidRPr="00FF5DD8" w:rsidRDefault="00625704" w:rsidP="00C06A68">
            <w:pPr>
              <w:jc w:val="center"/>
              <w:rPr>
                <w:noProof/>
              </w:rPr>
            </w:pPr>
          </w:p>
        </w:tc>
        <w:tc>
          <w:tcPr>
            <w:tcW w:w="3960" w:type="dxa"/>
            <w:vAlign w:val="center"/>
          </w:tcPr>
          <w:p w14:paraId="7ACDC6C1" w14:textId="77777777" w:rsidR="00625704" w:rsidRPr="00FF5DD8" w:rsidRDefault="00625704" w:rsidP="00C06A68">
            <w:pPr>
              <w:rPr>
                <w:noProof/>
              </w:rPr>
            </w:pPr>
            <w:r w:rsidRPr="00FF5DD8">
              <w:rPr>
                <w:noProof/>
                <w:sz w:val="20"/>
              </w:rPr>
              <w:t xml:space="preserve">Number </w:t>
            </w:r>
            <w:r w:rsidRPr="00FF5DD8">
              <w:rPr>
                <w:noProof/>
                <w:sz w:val="22"/>
              </w:rPr>
              <w:br/>
            </w:r>
          </w:p>
        </w:tc>
        <w:tc>
          <w:tcPr>
            <w:tcW w:w="1080" w:type="dxa"/>
            <w:vAlign w:val="center"/>
          </w:tcPr>
          <w:p w14:paraId="434ED37F" w14:textId="77777777" w:rsidR="00625704" w:rsidRPr="00FF5DD8" w:rsidRDefault="00625704" w:rsidP="00C06A68">
            <w:pPr>
              <w:jc w:val="center"/>
              <w:rPr>
                <w:noProof/>
              </w:rPr>
            </w:pPr>
            <w:r w:rsidRPr="00FF5DD8">
              <w:rPr>
                <w:noProof/>
                <w:sz w:val="18"/>
              </w:rPr>
              <w:t>Diff./Non-diff.</w:t>
            </w:r>
            <w:r w:rsidRPr="00FF5DD8">
              <w:rPr>
                <w:rStyle w:val="FootnoteReference"/>
                <w:noProof/>
                <w:sz w:val="18"/>
              </w:rPr>
              <w:footnoteReference w:id="14"/>
            </w:r>
          </w:p>
        </w:tc>
        <w:tc>
          <w:tcPr>
            <w:tcW w:w="956" w:type="dxa"/>
            <w:vAlign w:val="center"/>
          </w:tcPr>
          <w:p w14:paraId="421492DE" w14:textId="77777777" w:rsidR="00625704" w:rsidRPr="00FF5DD8" w:rsidRDefault="00625704" w:rsidP="00C06A68">
            <w:pPr>
              <w:jc w:val="center"/>
              <w:rPr>
                <w:b/>
                <w:noProof/>
                <w:sz w:val="18"/>
              </w:rPr>
            </w:pPr>
            <w:r w:rsidRPr="00FF5DD8">
              <w:rPr>
                <w:noProof/>
                <w:sz w:val="18"/>
              </w:rPr>
              <w:t>from EFTA countries</w:t>
            </w:r>
            <w:r w:rsidRPr="00FF5DD8">
              <w:rPr>
                <w:rStyle w:val="FootnoteReference"/>
                <w:noProof/>
                <w:sz w:val="18"/>
              </w:rPr>
              <w:footnoteReference w:id="15"/>
            </w:r>
          </w:p>
        </w:tc>
        <w:tc>
          <w:tcPr>
            <w:tcW w:w="1080" w:type="dxa"/>
            <w:vAlign w:val="center"/>
          </w:tcPr>
          <w:p w14:paraId="2A531F6C" w14:textId="77777777" w:rsidR="00625704" w:rsidRPr="003A769F" w:rsidRDefault="00625704" w:rsidP="00C06A68">
            <w:pPr>
              <w:jc w:val="center"/>
              <w:rPr>
                <w:noProof/>
                <w:sz w:val="18"/>
                <w:lang w:val="en-IE"/>
              </w:rPr>
            </w:pPr>
            <w:r w:rsidRPr="003A769F">
              <w:rPr>
                <w:noProof/>
                <w:sz w:val="18"/>
                <w:lang w:val="en-IE"/>
              </w:rPr>
              <w:t>from candidate countries and potential candidates</w:t>
            </w:r>
            <w:r w:rsidRPr="00FF5DD8">
              <w:rPr>
                <w:rStyle w:val="FootnoteReference"/>
                <w:noProof/>
                <w:sz w:val="18"/>
              </w:rPr>
              <w:footnoteReference w:id="16"/>
            </w:r>
          </w:p>
        </w:tc>
        <w:tc>
          <w:tcPr>
            <w:tcW w:w="956" w:type="dxa"/>
            <w:vAlign w:val="center"/>
          </w:tcPr>
          <w:p w14:paraId="51E944BB" w14:textId="77777777" w:rsidR="00625704" w:rsidRPr="00FF5DD8" w:rsidRDefault="00625704" w:rsidP="00C06A68">
            <w:pPr>
              <w:jc w:val="center"/>
              <w:rPr>
                <w:noProof/>
                <w:sz w:val="18"/>
              </w:rPr>
            </w:pPr>
            <w:r>
              <w:rPr>
                <w:noProof/>
                <w:sz w:val="18"/>
              </w:rPr>
              <w:t>f</w:t>
            </w:r>
            <w:r w:rsidRPr="00FF5DD8">
              <w:rPr>
                <w:noProof/>
                <w:sz w:val="18"/>
              </w:rPr>
              <w:t>rom</w:t>
            </w:r>
            <w:r>
              <w:rPr>
                <w:noProof/>
                <w:sz w:val="18"/>
              </w:rPr>
              <w:t xml:space="preserve">other </w:t>
            </w:r>
            <w:r w:rsidRPr="00FF5DD8">
              <w:rPr>
                <w:noProof/>
                <w:sz w:val="18"/>
              </w:rPr>
              <w:t>third countries</w:t>
            </w:r>
          </w:p>
        </w:tc>
        <w:tc>
          <w:tcPr>
            <w:tcW w:w="1448" w:type="dxa"/>
            <w:vAlign w:val="center"/>
          </w:tcPr>
          <w:p w14:paraId="7CFE933F" w14:textId="77777777" w:rsidR="00625704" w:rsidRPr="00FF5DD8" w:rsidRDefault="00625704" w:rsidP="00C06A68">
            <w:pPr>
              <w:jc w:val="center"/>
              <w:rPr>
                <w:noProof/>
              </w:rPr>
            </w:pPr>
            <w:r w:rsidRPr="00154373">
              <w:rPr>
                <w:noProof/>
                <w:sz w:val="18"/>
                <w:szCs w:val="18"/>
                <w:lang w:val="en-IE"/>
              </w:rPr>
              <w:t>other assigned revenue</w:t>
            </w:r>
          </w:p>
        </w:tc>
      </w:tr>
      <w:tr w:rsidR="00625704" w14:paraId="71680374" w14:textId="77777777" w:rsidTr="00FA026A">
        <w:tc>
          <w:tcPr>
            <w:tcW w:w="1080" w:type="dxa"/>
            <w:vAlign w:val="center"/>
          </w:tcPr>
          <w:p w14:paraId="079CDC2E" w14:textId="77777777" w:rsidR="00625704" w:rsidRDefault="00625704" w:rsidP="00C06A68">
            <w:pPr>
              <w:jc w:val="center"/>
              <w:rPr>
                <w:noProof/>
                <w:color w:val="0000FF"/>
              </w:rPr>
            </w:pPr>
          </w:p>
        </w:tc>
        <w:tc>
          <w:tcPr>
            <w:tcW w:w="3960" w:type="dxa"/>
            <w:vAlign w:val="center"/>
          </w:tcPr>
          <w:p w14:paraId="27B77CEC" w14:textId="77777777" w:rsidR="00625704" w:rsidRDefault="00625704" w:rsidP="00C06A68">
            <w:pPr>
              <w:spacing w:before="60"/>
              <w:rPr>
                <w:noProof/>
              </w:rPr>
            </w:pPr>
            <w:r>
              <w:rPr>
                <w:noProof/>
                <w:sz w:val="22"/>
              </w:rPr>
              <w:t>[XX.YY.YY.YY]</w:t>
            </w:r>
          </w:p>
          <w:p w14:paraId="454023A7" w14:textId="77777777" w:rsidR="00625704" w:rsidRDefault="00625704" w:rsidP="00C06A68">
            <w:pPr>
              <w:spacing w:after="60"/>
              <w:rPr>
                <w:noProof/>
              </w:rPr>
            </w:pPr>
          </w:p>
        </w:tc>
        <w:tc>
          <w:tcPr>
            <w:tcW w:w="1080" w:type="dxa"/>
            <w:vAlign w:val="center"/>
          </w:tcPr>
          <w:p w14:paraId="48A4A72B" w14:textId="77777777" w:rsidR="00625704" w:rsidRDefault="00625704" w:rsidP="00C06A68">
            <w:pPr>
              <w:jc w:val="center"/>
              <w:rPr>
                <w:noProof/>
                <w:color w:val="0000FF"/>
              </w:rPr>
            </w:pPr>
            <w:r>
              <w:rPr>
                <w:noProof/>
                <w:sz w:val="22"/>
              </w:rPr>
              <w:t>Diff./Non-diff.</w:t>
            </w:r>
          </w:p>
        </w:tc>
        <w:tc>
          <w:tcPr>
            <w:tcW w:w="956" w:type="dxa"/>
            <w:vAlign w:val="center"/>
          </w:tcPr>
          <w:p w14:paraId="6FADECDE" w14:textId="77777777" w:rsidR="00625704" w:rsidRPr="008D0E8A" w:rsidRDefault="00625704" w:rsidP="00C06A68">
            <w:pPr>
              <w:jc w:val="center"/>
              <w:rPr>
                <w:noProof/>
                <w:sz w:val="20"/>
                <w:szCs w:val="20"/>
              </w:rPr>
            </w:pPr>
            <w:r w:rsidRPr="007974DD">
              <w:rPr>
                <w:noProof/>
                <w:sz w:val="20"/>
                <w:szCs w:val="20"/>
              </w:rPr>
              <w:t>YES/NO</w:t>
            </w:r>
          </w:p>
        </w:tc>
        <w:tc>
          <w:tcPr>
            <w:tcW w:w="1080" w:type="dxa"/>
            <w:vAlign w:val="center"/>
          </w:tcPr>
          <w:p w14:paraId="7E64EF17" w14:textId="77777777" w:rsidR="00625704" w:rsidRPr="008D0E8A" w:rsidRDefault="00625704" w:rsidP="00C06A68">
            <w:pPr>
              <w:jc w:val="center"/>
              <w:rPr>
                <w:noProof/>
                <w:sz w:val="20"/>
                <w:szCs w:val="20"/>
              </w:rPr>
            </w:pPr>
            <w:r w:rsidRPr="007974DD">
              <w:rPr>
                <w:noProof/>
                <w:sz w:val="20"/>
                <w:szCs w:val="20"/>
              </w:rPr>
              <w:t>YES/NO</w:t>
            </w:r>
          </w:p>
        </w:tc>
        <w:tc>
          <w:tcPr>
            <w:tcW w:w="956" w:type="dxa"/>
            <w:vAlign w:val="center"/>
          </w:tcPr>
          <w:p w14:paraId="01353BAC" w14:textId="77777777" w:rsidR="00625704" w:rsidRPr="008D0E8A" w:rsidRDefault="00625704" w:rsidP="00C06A68">
            <w:pPr>
              <w:jc w:val="center"/>
              <w:rPr>
                <w:noProof/>
                <w:sz w:val="20"/>
                <w:szCs w:val="20"/>
              </w:rPr>
            </w:pPr>
            <w:r w:rsidRPr="007974DD">
              <w:rPr>
                <w:noProof/>
                <w:sz w:val="20"/>
                <w:szCs w:val="20"/>
              </w:rPr>
              <w:t>YES/NO</w:t>
            </w:r>
          </w:p>
        </w:tc>
        <w:tc>
          <w:tcPr>
            <w:tcW w:w="1448" w:type="dxa"/>
            <w:vAlign w:val="center"/>
          </w:tcPr>
          <w:p w14:paraId="723EE1C4" w14:textId="77777777" w:rsidR="00625704" w:rsidRPr="008D0E8A" w:rsidRDefault="00625704" w:rsidP="00C06A68">
            <w:pPr>
              <w:jc w:val="center"/>
              <w:rPr>
                <w:noProof/>
                <w:sz w:val="20"/>
                <w:szCs w:val="20"/>
              </w:rPr>
            </w:pPr>
            <w:r w:rsidRPr="007974DD">
              <w:rPr>
                <w:noProof/>
                <w:sz w:val="20"/>
                <w:szCs w:val="20"/>
              </w:rPr>
              <w:t>YES/NO</w:t>
            </w:r>
          </w:p>
        </w:tc>
      </w:tr>
    </w:tbl>
    <w:p w14:paraId="3E596A0F" w14:textId="77777777" w:rsidR="00625704" w:rsidRDefault="00625704" w:rsidP="00625704">
      <w:pPr>
        <w:pStyle w:val="ListBullet1"/>
        <w:rPr>
          <w:noProof/>
        </w:rPr>
      </w:pPr>
      <w:r>
        <w:rPr>
          <w:noProof/>
        </w:rPr>
        <w:t xml:space="preserve">New budget lines requested </w:t>
      </w:r>
    </w:p>
    <w:p w14:paraId="0746911A" w14:textId="77777777" w:rsidR="00625704" w:rsidRDefault="00625704" w:rsidP="00625704">
      <w:pPr>
        <w:pStyle w:val="Text1"/>
        <w:rPr>
          <w:i/>
          <w:noProof/>
          <w:sz w:val="20"/>
        </w:rPr>
      </w:pPr>
      <w:r>
        <w:rPr>
          <w:i/>
          <w:noProof/>
          <w:u w:val="single"/>
        </w:rPr>
        <w:t>In order</w:t>
      </w:r>
      <w:r>
        <w:rPr>
          <w:i/>
          <w:noProof/>
        </w:rPr>
        <w:t xml:space="preserve"> of multiannual financial framework headings and budget lines.</w:t>
      </w:r>
    </w:p>
    <w:tbl>
      <w:tblPr>
        <w:tblW w:w="105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3960"/>
        <w:gridCol w:w="1080"/>
        <w:gridCol w:w="956"/>
        <w:gridCol w:w="1080"/>
        <w:gridCol w:w="956"/>
        <w:gridCol w:w="1448"/>
      </w:tblGrid>
      <w:tr w:rsidR="00625704" w14:paraId="53BC853C" w14:textId="77777777" w:rsidTr="00FA026A">
        <w:tc>
          <w:tcPr>
            <w:tcW w:w="1080" w:type="dxa"/>
            <w:vMerge w:val="restart"/>
            <w:vAlign w:val="center"/>
          </w:tcPr>
          <w:p w14:paraId="39394925" w14:textId="77777777" w:rsidR="00625704" w:rsidRPr="003A769F" w:rsidRDefault="00625704" w:rsidP="00C06A68">
            <w:pPr>
              <w:spacing w:before="60" w:after="60"/>
              <w:jc w:val="center"/>
              <w:rPr>
                <w:noProof/>
                <w:sz w:val="18"/>
                <w:szCs w:val="18"/>
                <w:lang w:val="en-IE"/>
              </w:rPr>
            </w:pPr>
            <w:r w:rsidRPr="003A769F">
              <w:rPr>
                <w:noProof/>
                <w:sz w:val="18"/>
                <w:lang w:val="en-IE"/>
              </w:rPr>
              <w:t>Heading of multiannual financial framework</w:t>
            </w:r>
          </w:p>
        </w:tc>
        <w:tc>
          <w:tcPr>
            <w:tcW w:w="3960" w:type="dxa"/>
            <w:vAlign w:val="center"/>
          </w:tcPr>
          <w:p w14:paraId="65B7DAD8" w14:textId="77777777" w:rsidR="00625704" w:rsidRDefault="00625704" w:rsidP="00C06A68">
            <w:pPr>
              <w:spacing w:before="60" w:after="60"/>
              <w:jc w:val="center"/>
              <w:rPr>
                <w:noProof/>
              </w:rPr>
            </w:pPr>
            <w:r>
              <w:rPr>
                <w:noProof/>
                <w:sz w:val="20"/>
              </w:rPr>
              <w:t>Budget line</w:t>
            </w:r>
          </w:p>
        </w:tc>
        <w:tc>
          <w:tcPr>
            <w:tcW w:w="1080" w:type="dxa"/>
            <w:vAlign w:val="center"/>
          </w:tcPr>
          <w:p w14:paraId="59537878" w14:textId="77777777" w:rsidR="00625704" w:rsidRDefault="00625704" w:rsidP="00C06A68">
            <w:pPr>
              <w:spacing w:before="60" w:after="60"/>
              <w:jc w:val="center"/>
              <w:rPr>
                <w:noProof/>
              </w:rPr>
            </w:pPr>
            <w:r>
              <w:rPr>
                <w:noProof/>
                <w:sz w:val="18"/>
              </w:rPr>
              <w:t>Type of</w:t>
            </w:r>
            <w:r>
              <w:rPr>
                <w:noProof/>
                <w:sz w:val="22"/>
              </w:rPr>
              <w:br/>
            </w:r>
            <w:r>
              <w:rPr>
                <w:noProof/>
                <w:sz w:val="18"/>
              </w:rPr>
              <w:t>expenditure</w:t>
            </w:r>
          </w:p>
        </w:tc>
        <w:tc>
          <w:tcPr>
            <w:tcW w:w="4440" w:type="dxa"/>
            <w:gridSpan w:val="4"/>
            <w:vAlign w:val="center"/>
          </w:tcPr>
          <w:p w14:paraId="724171ED" w14:textId="77777777" w:rsidR="00625704" w:rsidRDefault="00625704" w:rsidP="00C06A68">
            <w:pPr>
              <w:spacing w:before="60" w:after="60"/>
              <w:jc w:val="center"/>
              <w:rPr>
                <w:noProof/>
              </w:rPr>
            </w:pPr>
            <w:r>
              <w:rPr>
                <w:noProof/>
                <w:sz w:val="20"/>
              </w:rPr>
              <w:t xml:space="preserve">Contribution </w:t>
            </w:r>
          </w:p>
        </w:tc>
      </w:tr>
      <w:tr w:rsidR="00625704" w14:paraId="42E188BB" w14:textId="77777777" w:rsidTr="00FA026A">
        <w:tc>
          <w:tcPr>
            <w:tcW w:w="1080" w:type="dxa"/>
            <w:vMerge/>
            <w:vAlign w:val="center"/>
          </w:tcPr>
          <w:p w14:paraId="02503D9F" w14:textId="77777777" w:rsidR="00625704" w:rsidRDefault="00625704" w:rsidP="00C06A68">
            <w:pPr>
              <w:jc w:val="center"/>
              <w:rPr>
                <w:noProof/>
              </w:rPr>
            </w:pPr>
          </w:p>
        </w:tc>
        <w:tc>
          <w:tcPr>
            <w:tcW w:w="3960" w:type="dxa"/>
            <w:vAlign w:val="center"/>
          </w:tcPr>
          <w:p w14:paraId="5B58A2AD" w14:textId="77777777" w:rsidR="00625704" w:rsidRDefault="00625704" w:rsidP="00C06A68">
            <w:pPr>
              <w:rPr>
                <w:noProof/>
              </w:rPr>
            </w:pPr>
            <w:r>
              <w:rPr>
                <w:noProof/>
                <w:sz w:val="20"/>
              </w:rPr>
              <w:t xml:space="preserve">Number </w:t>
            </w:r>
            <w:r>
              <w:rPr>
                <w:noProof/>
                <w:sz w:val="22"/>
              </w:rPr>
              <w:br/>
            </w:r>
          </w:p>
        </w:tc>
        <w:tc>
          <w:tcPr>
            <w:tcW w:w="1080" w:type="dxa"/>
            <w:vAlign w:val="center"/>
          </w:tcPr>
          <w:p w14:paraId="72659D3D" w14:textId="77777777" w:rsidR="00625704" w:rsidRDefault="00625704" w:rsidP="00C06A68">
            <w:pPr>
              <w:jc w:val="center"/>
              <w:rPr>
                <w:noProof/>
              </w:rPr>
            </w:pPr>
            <w:r>
              <w:rPr>
                <w:noProof/>
                <w:sz w:val="18"/>
              </w:rPr>
              <w:t>Diff./Non-diff.</w:t>
            </w:r>
          </w:p>
        </w:tc>
        <w:tc>
          <w:tcPr>
            <w:tcW w:w="956" w:type="dxa"/>
            <w:vAlign w:val="center"/>
          </w:tcPr>
          <w:p w14:paraId="3F4E2E90" w14:textId="77777777" w:rsidR="00625704" w:rsidRDefault="00625704" w:rsidP="00C06A68">
            <w:pPr>
              <w:jc w:val="center"/>
              <w:rPr>
                <w:noProof/>
                <w:sz w:val="18"/>
              </w:rPr>
            </w:pPr>
            <w:r>
              <w:rPr>
                <w:noProof/>
                <w:sz w:val="18"/>
              </w:rPr>
              <w:t>from EFTA countries</w:t>
            </w:r>
          </w:p>
        </w:tc>
        <w:tc>
          <w:tcPr>
            <w:tcW w:w="1080" w:type="dxa"/>
            <w:vAlign w:val="center"/>
          </w:tcPr>
          <w:p w14:paraId="355D1877" w14:textId="77777777" w:rsidR="00625704" w:rsidRPr="003A769F" w:rsidRDefault="00625704" w:rsidP="00C06A68">
            <w:pPr>
              <w:jc w:val="center"/>
              <w:rPr>
                <w:noProof/>
                <w:sz w:val="18"/>
                <w:lang w:val="en-IE"/>
              </w:rPr>
            </w:pPr>
            <w:r w:rsidRPr="003A769F">
              <w:rPr>
                <w:noProof/>
                <w:sz w:val="18"/>
                <w:lang w:val="en-IE"/>
              </w:rPr>
              <w:t>from candidate countries and potential candidates</w:t>
            </w:r>
          </w:p>
        </w:tc>
        <w:tc>
          <w:tcPr>
            <w:tcW w:w="956" w:type="dxa"/>
            <w:vAlign w:val="center"/>
          </w:tcPr>
          <w:p w14:paraId="4F805204" w14:textId="77777777" w:rsidR="00625704" w:rsidRPr="00FF5DD8" w:rsidRDefault="00625704" w:rsidP="00C06A68">
            <w:pPr>
              <w:jc w:val="center"/>
              <w:rPr>
                <w:noProof/>
                <w:sz w:val="18"/>
              </w:rPr>
            </w:pPr>
            <w:r w:rsidRPr="00FF5DD8">
              <w:rPr>
                <w:noProof/>
                <w:sz w:val="18"/>
              </w:rPr>
              <w:t>from  other third countries</w:t>
            </w:r>
          </w:p>
        </w:tc>
        <w:tc>
          <w:tcPr>
            <w:tcW w:w="1448" w:type="dxa"/>
            <w:vAlign w:val="center"/>
          </w:tcPr>
          <w:p w14:paraId="08D7338E" w14:textId="77777777" w:rsidR="00625704" w:rsidRPr="00FF5DD8" w:rsidRDefault="00625704" w:rsidP="00C06A68">
            <w:pPr>
              <w:jc w:val="center"/>
              <w:rPr>
                <w:noProof/>
              </w:rPr>
            </w:pPr>
            <w:r w:rsidRPr="00154373">
              <w:rPr>
                <w:noProof/>
                <w:sz w:val="18"/>
                <w:szCs w:val="18"/>
                <w:lang w:val="en-IE"/>
              </w:rPr>
              <w:t xml:space="preserve">other assigned revenue </w:t>
            </w:r>
          </w:p>
        </w:tc>
      </w:tr>
      <w:tr w:rsidR="00625704" w14:paraId="658E6CCC" w14:textId="77777777" w:rsidTr="00FA026A">
        <w:tc>
          <w:tcPr>
            <w:tcW w:w="1080" w:type="dxa"/>
            <w:vAlign w:val="center"/>
          </w:tcPr>
          <w:p w14:paraId="614745F9" w14:textId="77777777" w:rsidR="00625704" w:rsidRDefault="00625704" w:rsidP="00C06A68">
            <w:pPr>
              <w:jc w:val="center"/>
              <w:rPr>
                <w:noProof/>
                <w:color w:val="0000FF"/>
              </w:rPr>
            </w:pPr>
            <w:r>
              <w:rPr>
                <w:noProof/>
                <w:color w:val="0000FF"/>
              </w:rPr>
              <w:t>5</w:t>
            </w:r>
          </w:p>
        </w:tc>
        <w:tc>
          <w:tcPr>
            <w:tcW w:w="3960" w:type="dxa"/>
            <w:vAlign w:val="center"/>
          </w:tcPr>
          <w:p w14:paraId="06544BB6" w14:textId="4C03BBD0" w:rsidR="00C232D3" w:rsidRDefault="00625704" w:rsidP="00543412">
            <w:pPr>
              <w:spacing w:after="60"/>
              <w:rPr>
                <w:noProof/>
                <w:color w:val="0000FF"/>
              </w:rPr>
            </w:pPr>
            <w:r>
              <w:rPr>
                <w:noProof/>
                <w:sz w:val="22"/>
              </w:rPr>
              <w:t>13.0106 - Support expenditure for the EDIP Programme</w:t>
            </w:r>
          </w:p>
        </w:tc>
        <w:tc>
          <w:tcPr>
            <w:tcW w:w="1080" w:type="dxa"/>
            <w:vAlign w:val="center"/>
          </w:tcPr>
          <w:p w14:paraId="0DAECD9B" w14:textId="77777777" w:rsidR="00625704" w:rsidRDefault="00625704" w:rsidP="00C06A68">
            <w:pPr>
              <w:jc w:val="center"/>
              <w:rPr>
                <w:noProof/>
                <w:color w:val="0000FF"/>
              </w:rPr>
            </w:pPr>
            <w:r>
              <w:rPr>
                <w:noProof/>
                <w:color w:val="0000FF"/>
              </w:rPr>
              <w:t>Non-diff.</w:t>
            </w:r>
          </w:p>
        </w:tc>
        <w:tc>
          <w:tcPr>
            <w:tcW w:w="956" w:type="dxa"/>
            <w:vAlign w:val="center"/>
          </w:tcPr>
          <w:p w14:paraId="0612607F" w14:textId="77777777" w:rsidR="00625704" w:rsidRPr="008D0E8A" w:rsidRDefault="00625704" w:rsidP="00C06A68">
            <w:pPr>
              <w:jc w:val="center"/>
              <w:rPr>
                <w:noProof/>
                <w:sz w:val="20"/>
                <w:szCs w:val="20"/>
              </w:rPr>
            </w:pPr>
            <w:r>
              <w:rPr>
                <w:noProof/>
                <w:sz w:val="20"/>
                <w:szCs w:val="20"/>
              </w:rPr>
              <w:t>YES</w:t>
            </w:r>
          </w:p>
        </w:tc>
        <w:tc>
          <w:tcPr>
            <w:tcW w:w="1080" w:type="dxa"/>
            <w:vAlign w:val="center"/>
          </w:tcPr>
          <w:p w14:paraId="0A0C898F" w14:textId="77777777" w:rsidR="00625704" w:rsidRPr="008D0E8A" w:rsidRDefault="00E47E0F" w:rsidP="00C06A68">
            <w:pPr>
              <w:jc w:val="center"/>
              <w:rPr>
                <w:noProof/>
                <w:color w:val="0000FF"/>
                <w:sz w:val="20"/>
                <w:szCs w:val="20"/>
              </w:rPr>
            </w:pPr>
            <w:r>
              <w:rPr>
                <w:noProof/>
                <w:sz w:val="20"/>
                <w:szCs w:val="20"/>
              </w:rPr>
              <w:t>pm</w:t>
            </w:r>
          </w:p>
        </w:tc>
        <w:tc>
          <w:tcPr>
            <w:tcW w:w="956" w:type="dxa"/>
            <w:vAlign w:val="center"/>
          </w:tcPr>
          <w:p w14:paraId="1E05E6E0" w14:textId="77777777" w:rsidR="00625704" w:rsidRPr="008D0E8A" w:rsidRDefault="00E47E0F" w:rsidP="00C06A68">
            <w:pPr>
              <w:jc w:val="center"/>
              <w:rPr>
                <w:noProof/>
                <w:color w:val="0000FF"/>
                <w:sz w:val="20"/>
                <w:szCs w:val="20"/>
              </w:rPr>
            </w:pPr>
            <w:r>
              <w:rPr>
                <w:noProof/>
                <w:sz w:val="20"/>
                <w:szCs w:val="20"/>
              </w:rPr>
              <w:t>YES</w:t>
            </w:r>
          </w:p>
        </w:tc>
        <w:tc>
          <w:tcPr>
            <w:tcW w:w="1448" w:type="dxa"/>
            <w:vAlign w:val="center"/>
          </w:tcPr>
          <w:p w14:paraId="6376F47E" w14:textId="77777777" w:rsidR="00625704" w:rsidRPr="008D0E8A" w:rsidRDefault="00E47E0F" w:rsidP="00C06A68">
            <w:pPr>
              <w:jc w:val="center"/>
              <w:rPr>
                <w:noProof/>
                <w:sz w:val="20"/>
                <w:szCs w:val="20"/>
              </w:rPr>
            </w:pPr>
            <w:r>
              <w:rPr>
                <w:noProof/>
                <w:sz w:val="20"/>
                <w:szCs w:val="20"/>
              </w:rPr>
              <w:t>YES</w:t>
            </w:r>
          </w:p>
        </w:tc>
      </w:tr>
      <w:tr w:rsidR="00625704" w14:paraId="7100AAC8" w14:textId="77777777" w:rsidTr="00FA026A">
        <w:tc>
          <w:tcPr>
            <w:tcW w:w="1080" w:type="dxa"/>
            <w:vAlign w:val="center"/>
          </w:tcPr>
          <w:p w14:paraId="23F0C4F3" w14:textId="77777777" w:rsidR="00625704" w:rsidRDefault="00625704" w:rsidP="00C06A68">
            <w:pPr>
              <w:jc w:val="center"/>
              <w:rPr>
                <w:noProof/>
                <w:color w:val="0000FF"/>
              </w:rPr>
            </w:pPr>
            <w:r>
              <w:rPr>
                <w:noProof/>
                <w:color w:val="0000FF"/>
              </w:rPr>
              <w:t>5</w:t>
            </w:r>
          </w:p>
        </w:tc>
        <w:tc>
          <w:tcPr>
            <w:tcW w:w="3960" w:type="dxa"/>
            <w:vAlign w:val="center"/>
          </w:tcPr>
          <w:p w14:paraId="66C054E6" w14:textId="1BB9D283" w:rsidR="00625704" w:rsidRDefault="00625704">
            <w:pPr>
              <w:spacing w:after="60"/>
              <w:rPr>
                <w:noProof/>
                <w:sz w:val="22"/>
              </w:rPr>
            </w:pPr>
            <w:r>
              <w:rPr>
                <w:noProof/>
                <w:sz w:val="22"/>
              </w:rPr>
              <w:t>13.0801 - EDIP Programme</w:t>
            </w:r>
          </w:p>
        </w:tc>
        <w:tc>
          <w:tcPr>
            <w:tcW w:w="1080" w:type="dxa"/>
            <w:vAlign w:val="center"/>
          </w:tcPr>
          <w:p w14:paraId="7B85E55A" w14:textId="77777777" w:rsidR="00625704" w:rsidRDefault="00625704" w:rsidP="00C06A68">
            <w:pPr>
              <w:jc w:val="center"/>
              <w:rPr>
                <w:noProof/>
                <w:color w:val="0000FF"/>
              </w:rPr>
            </w:pPr>
            <w:r>
              <w:rPr>
                <w:noProof/>
                <w:color w:val="0000FF"/>
              </w:rPr>
              <w:t>Diff.</w:t>
            </w:r>
          </w:p>
        </w:tc>
        <w:tc>
          <w:tcPr>
            <w:tcW w:w="956" w:type="dxa"/>
            <w:vAlign w:val="center"/>
          </w:tcPr>
          <w:p w14:paraId="5ABC99D1" w14:textId="77777777" w:rsidR="00625704" w:rsidRDefault="00625704" w:rsidP="00C06A68">
            <w:pPr>
              <w:jc w:val="center"/>
              <w:rPr>
                <w:noProof/>
                <w:sz w:val="20"/>
                <w:szCs w:val="20"/>
              </w:rPr>
            </w:pPr>
            <w:r>
              <w:rPr>
                <w:noProof/>
                <w:sz w:val="20"/>
                <w:szCs w:val="20"/>
              </w:rPr>
              <w:t>YES</w:t>
            </w:r>
          </w:p>
        </w:tc>
        <w:tc>
          <w:tcPr>
            <w:tcW w:w="1080" w:type="dxa"/>
            <w:vAlign w:val="center"/>
          </w:tcPr>
          <w:p w14:paraId="1065C4F7" w14:textId="77777777" w:rsidR="00625704" w:rsidRDefault="00E47E0F" w:rsidP="00C06A68">
            <w:pPr>
              <w:jc w:val="center"/>
              <w:rPr>
                <w:noProof/>
                <w:sz w:val="20"/>
                <w:szCs w:val="20"/>
              </w:rPr>
            </w:pPr>
            <w:r>
              <w:rPr>
                <w:noProof/>
                <w:sz w:val="20"/>
                <w:szCs w:val="20"/>
              </w:rPr>
              <w:t>pm</w:t>
            </w:r>
          </w:p>
        </w:tc>
        <w:tc>
          <w:tcPr>
            <w:tcW w:w="956" w:type="dxa"/>
            <w:vAlign w:val="center"/>
          </w:tcPr>
          <w:p w14:paraId="2B41E9A2" w14:textId="77777777" w:rsidR="00625704" w:rsidRDefault="00E47E0F" w:rsidP="00C06A68">
            <w:pPr>
              <w:jc w:val="center"/>
              <w:rPr>
                <w:noProof/>
                <w:sz w:val="20"/>
                <w:szCs w:val="20"/>
              </w:rPr>
            </w:pPr>
            <w:r>
              <w:rPr>
                <w:noProof/>
                <w:sz w:val="20"/>
                <w:szCs w:val="20"/>
              </w:rPr>
              <w:t>YES</w:t>
            </w:r>
          </w:p>
        </w:tc>
        <w:tc>
          <w:tcPr>
            <w:tcW w:w="1448" w:type="dxa"/>
            <w:vAlign w:val="center"/>
          </w:tcPr>
          <w:p w14:paraId="1AACC4A5" w14:textId="77777777" w:rsidR="00625704" w:rsidRDefault="00E47E0F" w:rsidP="00C06A68">
            <w:pPr>
              <w:jc w:val="center"/>
              <w:rPr>
                <w:noProof/>
                <w:sz w:val="20"/>
                <w:szCs w:val="20"/>
              </w:rPr>
            </w:pPr>
            <w:r>
              <w:rPr>
                <w:noProof/>
                <w:sz w:val="20"/>
                <w:szCs w:val="20"/>
              </w:rPr>
              <w:t>YES</w:t>
            </w:r>
          </w:p>
        </w:tc>
      </w:tr>
      <w:tr w:rsidR="007C66D8" w14:paraId="68B01AE5" w14:textId="77777777" w:rsidTr="00FA026A">
        <w:tc>
          <w:tcPr>
            <w:tcW w:w="1080" w:type="dxa"/>
            <w:vAlign w:val="center"/>
          </w:tcPr>
          <w:p w14:paraId="32F5B227" w14:textId="66E9F3A0" w:rsidR="007C66D8" w:rsidRDefault="007C66D8" w:rsidP="00C06A68">
            <w:pPr>
              <w:jc w:val="center"/>
              <w:rPr>
                <w:noProof/>
                <w:color w:val="0000FF"/>
              </w:rPr>
            </w:pPr>
            <w:r>
              <w:rPr>
                <w:noProof/>
                <w:color w:val="0000FF"/>
              </w:rPr>
              <w:t>6</w:t>
            </w:r>
          </w:p>
        </w:tc>
        <w:tc>
          <w:tcPr>
            <w:tcW w:w="3960" w:type="dxa"/>
            <w:vAlign w:val="center"/>
          </w:tcPr>
          <w:p w14:paraId="16C0430F" w14:textId="1DB29EBD" w:rsidR="007C66D8" w:rsidRDefault="007C66D8" w:rsidP="0040496C">
            <w:pPr>
              <w:spacing w:after="60"/>
              <w:rPr>
                <w:noProof/>
                <w:sz w:val="22"/>
              </w:rPr>
            </w:pPr>
            <w:r>
              <w:rPr>
                <w:noProof/>
                <w:sz w:val="22"/>
              </w:rPr>
              <w:t>14.01xx – Support expenditure for the Ukraine Support Instrument</w:t>
            </w:r>
          </w:p>
        </w:tc>
        <w:tc>
          <w:tcPr>
            <w:tcW w:w="1080" w:type="dxa"/>
            <w:vAlign w:val="center"/>
          </w:tcPr>
          <w:p w14:paraId="68D95576" w14:textId="52242A7D" w:rsidR="007C66D8" w:rsidRDefault="007C66D8" w:rsidP="00C06A68">
            <w:pPr>
              <w:jc w:val="center"/>
              <w:rPr>
                <w:noProof/>
                <w:color w:val="0000FF"/>
              </w:rPr>
            </w:pPr>
            <w:r>
              <w:rPr>
                <w:noProof/>
                <w:color w:val="0000FF"/>
              </w:rPr>
              <w:t>Non-diff.</w:t>
            </w:r>
          </w:p>
        </w:tc>
        <w:tc>
          <w:tcPr>
            <w:tcW w:w="956" w:type="dxa"/>
            <w:vAlign w:val="center"/>
          </w:tcPr>
          <w:p w14:paraId="74B086DA" w14:textId="4F95A6C3" w:rsidR="007C66D8" w:rsidRDefault="007C66D8" w:rsidP="00C06A68">
            <w:pPr>
              <w:jc w:val="center"/>
              <w:rPr>
                <w:noProof/>
                <w:sz w:val="20"/>
                <w:szCs w:val="20"/>
              </w:rPr>
            </w:pPr>
            <w:r>
              <w:rPr>
                <w:noProof/>
                <w:sz w:val="20"/>
                <w:szCs w:val="20"/>
              </w:rPr>
              <w:t>NO</w:t>
            </w:r>
          </w:p>
        </w:tc>
        <w:tc>
          <w:tcPr>
            <w:tcW w:w="1080" w:type="dxa"/>
            <w:vAlign w:val="center"/>
          </w:tcPr>
          <w:p w14:paraId="3332441E" w14:textId="3529DC67" w:rsidR="007C66D8" w:rsidRDefault="007C66D8" w:rsidP="00C06A68">
            <w:pPr>
              <w:jc w:val="center"/>
              <w:rPr>
                <w:noProof/>
                <w:sz w:val="20"/>
                <w:szCs w:val="20"/>
              </w:rPr>
            </w:pPr>
            <w:r>
              <w:rPr>
                <w:noProof/>
                <w:sz w:val="20"/>
                <w:szCs w:val="20"/>
              </w:rPr>
              <w:t>pm</w:t>
            </w:r>
          </w:p>
        </w:tc>
        <w:tc>
          <w:tcPr>
            <w:tcW w:w="956" w:type="dxa"/>
            <w:vAlign w:val="center"/>
          </w:tcPr>
          <w:p w14:paraId="2A6C1488" w14:textId="39123705" w:rsidR="007C66D8" w:rsidRDefault="007C66D8" w:rsidP="00C06A68">
            <w:pPr>
              <w:jc w:val="center"/>
              <w:rPr>
                <w:noProof/>
                <w:sz w:val="20"/>
                <w:szCs w:val="20"/>
              </w:rPr>
            </w:pPr>
            <w:r>
              <w:rPr>
                <w:noProof/>
                <w:sz w:val="20"/>
                <w:szCs w:val="20"/>
              </w:rPr>
              <w:t>YES</w:t>
            </w:r>
          </w:p>
        </w:tc>
        <w:tc>
          <w:tcPr>
            <w:tcW w:w="1448" w:type="dxa"/>
            <w:vAlign w:val="center"/>
          </w:tcPr>
          <w:p w14:paraId="0F5C72E3" w14:textId="12A7B1C6" w:rsidR="007C66D8" w:rsidRDefault="007C66D8" w:rsidP="00C06A68">
            <w:pPr>
              <w:jc w:val="center"/>
              <w:rPr>
                <w:noProof/>
                <w:sz w:val="20"/>
                <w:szCs w:val="20"/>
              </w:rPr>
            </w:pPr>
            <w:r>
              <w:rPr>
                <w:noProof/>
                <w:sz w:val="20"/>
                <w:szCs w:val="20"/>
              </w:rPr>
              <w:t>YES</w:t>
            </w:r>
          </w:p>
        </w:tc>
      </w:tr>
      <w:tr w:rsidR="00543412" w14:paraId="3540FC43" w14:textId="77777777" w:rsidTr="00FA026A">
        <w:tc>
          <w:tcPr>
            <w:tcW w:w="1080" w:type="dxa"/>
            <w:vAlign w:val="center"/>
          </w:tcPr>
          <w:p w14:paraId="737A8A1F" w14:textId="0AA625B0" w:rsidR="00543412" w:rsidRDefault="00543412" w:rsidP="00C06A68">
            <w:pPr>
              <w:jc w:val="center"/>
              <w:rPr>
                <w:noProof/>
                <w:color w:val="0000FF"/>
              </w:rPr>
            </w:pPr>
            <w:r>
              <w:rPr>
                <w:noProof/>
                <w:color w:val="0000FF"/>
              </w:rPr>
              <w:t>6</w:t>
            </w:r>
          </w:p>
        </w:tc>
        <w:tc>
          <w:tcPr>
            <w:tcW w:w="3960" w:type="dxa"/>
            <w:vAlign w:val="center"/>
          </w:tcPr>
          <w:p w14:paraId="3F11CA9D" w14:textId="5BFB8913" w:rsidR="00543412" w:rsidRDefault="00543412" w:rsidP="00C06A68">
            <w:pPr>
              <w:spacing w:before="60" w:line="276" w:lineRule="auto"/>
              <w:rPr>
                <w:noProof/>
                <w:sz w:val="22"/>
              </w:rPr>
            </w:pPr>
            <w:r>
              <w:rPr>
                <w:noProof/>
                <w:sz w:val="22"/>
              </w:rPr>
              <w:t>14.0901 – Ukraine Support Instrument</w:t>
            </w:r>
          </w:p>
        </w:tc>
        <w:tc>
          <w:tcPr>
            <w:tcW w:w="1080" w:type="dxa"/>
            <w:vAlign w:val="center"/>
          </w:tcPr>
          <w:p w14:paraId="2896AC8C" w14:textId="7DE58CE0" w:rsidR="00543412" w:rsidRDefault="00543412" w:rsidP="00C06A68">
            <w:pPr>
              <w:jc w:val="center"/>
              <w:rPr>
                <w:noProof/>
                <w:color w:val="0000FF"/>
              </w:rPr>
            </w:pPr>
            <w:r>
              <w:rPr>
                <w:noProof/>
                <w:color w:val="0000FF"/>
              </w:rPr>
              <w:t>Diff.</w:t>
            </w:r>
          </w:p>
        </w:tc>
        <w:tc>
          <w:tcPr>
            <w:tcW w:w="956" w:type="dxa"/>
            <w:vAlign w:val="center"/>
          </w:tcPr>
          <w:p w14:paraId="37664396" w14:textId="19186185" w:rsidR="00543412" w:rsidRDefault="00543412" w:rsidP="00C06A68">
            <w:pPr>
              <w:jc w:val="center"/>
              <w:rPr>
                <w:noProof/>
                <w:sz w:val="20"/>
                <w:szCs w:val="20"/>
              </w:rPr>
            </w:pPr>
            <w:r>
              <w:rPr>
                <w:noProof/>
                <w:sz w:val="20"/>
                <w:szCs w:val="20"/>
              </w:rPr>
              <w:t>NO</w:t>
            </w:r>
          </w:p>
        </w:tc>
        <w:tc>
          <w:tcPr>
            <w:tcW w:w="1080" w:type="dxa"/>
            <w:vAlign w:val="center"/>
          </w:tcPr>
          <w:p w14:paraId="693BAB54" w14:textId="331867CB" w:rsidR="00543412" w:rsidRDefault="00543412" w:rsidP="00C06A68">
            <w:pPr>
              <w:jc w:val="center"/>
              <w:rPr>
                <w:noProof/>
                <w:sz w:val="20"/>
                <w:szCs w:val="20"/>
              </w:rPr>
            </w:pPr>
            <w:r>
              <w:rPr>
                <w:noProof/>
                <w:sz w:val="20"/>
                <w:szCs w:val="20"/>
              </w:rPr>
              <w:t>pm</w:t>
            </w:r>
          </w:p>
        </w:tc>
        <w:tc>
          <w:tcPr>
            <w:tcW w:w="956" w:type="dxa"/>
            <w:vAlign w:val="center"/>
          </w:tcPr>
          <w:p w14:paraId="3128AD8D" w14:textId="772F8A00" w:rsidR="00543412" w:rsidRDefault="00543412" w:rsidP="00C06A68">
            <w:pPr>
              <w:jc w:val="center"/>
              <w:rPr>
                <w:noProof/>
                <w:sz w:val="20"/>
                <w:szCs w:val="20"/>
              </w:rPr>
            </w:pPr>
            <w:r>
              <w:rPr>
                <w:noProof/>
                <w:sz w:val="20"/>
                <w:szCs w:val="20"/>
              </w:rPr>
              <w:t>YES</w:t>
            </w:r>
          </w:p>
        </w:tc>
        <w:tc>
          <w:tcPr>
            <w:tcW w:w="1448" w:type="dxa"/>
            <w:vAlign w:val="center"/>
          </w:tcPr>
          <w:p w14:paraId="0096D39E" w14:textId="40EEB8C4" w:rsidR="00543412" w:rsidRDefault="00543412" w:rsidP="00C06A68">
            <w:pPr>
              <w:jc w:val="center"/>
              <w:rPr>
                <w:noProof/>
                <w:sz w:val="20"/>
                <w:szCs w:val="20"/>
              </w:rPr>
            </w:pPr>
            <w:r>
              <w:rPr>
                <w:noProof/>
                <w:sz w:val="20"/>
                <w:szCs w:val="20"/>
              </w:rPr>
              <w:t>YES</w:t>
            </w:r>
          </w:p>
        </w:tc>
      </w:tr>
    </w:tbl>
    <w:p w14:paraId="41A4A761" w14:textId="77777777" w:rsidR="00625704" w:rsidRDefault="00625704" w:rsidP="00625704">
      <w:pPr>
        <w:rPr>
          <w:noProof/>
        </w:rPr>
        <w:sectPr w:rsidR="00625704" w:rsidSect="00E82958">
          <w:pgSz w:w="11907" w:h="16840" w:code="1"/>
          <w:pgMar w:top="1134" w:right="1418" w:bottom="1134" w:left="1418" w:header="709" w:footer="709" w:gutter="0"/>
          <w:cols w:space="708"/>
          <w:docGrid w:linePitch="360"/>
        </w:sectPr>
      </w:pPr>
    </w:p>
    <w:p w14:paraId="64B5FD4B" w14:textId="77777777" w:rsidR="00625704" w:rsidRDefault="00625704" w:rsidP="00625704">
      <w:pPr>
        <w:pStyle w:val="ManualHeading2"/>
        <w:rPr>
          <w:noProof/>
        </w:rPr>
      </w:pPr>
      <w:bookmarkStart w:id="64" w:name="_Toc514938052"/>
      <w:bookmarkStart w:id="65" w:name="_Toc520485051"/>
      <w:r w:rsidRPr="0021790A">
        <w:rPr>
          <w:noProof/>
        </w:rPr>
        <w:t>3.2.</w:t>
      </w:r>
      <w:r w:rsidRPr="0021790A">
        <w:rPr>
          <w:noProof/>
        </w:rPr>
        <w:tab/>
      </w:r>
      <w:r>
        <w:rPr>
          <w:noProof/>
        </w:rPr>
        <w:t>Estimated financial impact of the proposal on appropriations</w:t>
      </w:r>
      <w:bookmarkEnd w:id="64"/>
      <w:bookmarkEnd w:id="65"/>
      <w:r>
        <w:rPr>
          <w:noProof/>
        </w:rPr>
        <w:t xml:space="preserve"> </w:t>
      </w:r>
    </w:p>
    <w:p w14:paraId="34C303E8" w14:textId="77777777" w:rsidR="00625704" w:rsidRDefault="00625704" w:rsidP="00625704">
      <w:pPr>
        <w:pStyle w:val="Text1"/>
        <w:rPr>
          <w:noProof/>
        </w:rPr>
      </w:pPr>
    </w:p>
    <w:p w14:paraId="3879B712" w14:textId="77777777" w:rsidR="00625704" w:rsidRDefault="00625704" w:rsidP="00625704">
      <w:pPr>
        <w:pStyle w:val="ManualHeading3"/>
        <w:rPr>
          <w:noProof/>
        </w:rPr>
      </w:pPr>
      <w:r w:rsidRPr="0021790A">
        <w:rPr>
          <w:noProof/>
        </w:rPr>
        <w:t>3.2.</w:t>
      </w:r>
      <w:r>
        <w:rPr>
          <w:noProof/>
        </w:rPr>
        <w:t>1</w:t>
      </w:r>
      <w:r w:rsidRPr="0021790A">
        <w:rPr>
          <w:noProof/>
        </w:rPr>
        <w:t>.</w:t>
      </w:r>
      <w:r w:rsidRPr="0021790A">
        <w:rPr>
          <w:noProof/>
        </w:rPr>
        <w:tab/>
      </w:r>
      <w:r w:rsidRPr="0004495B">
        <w:rPr>
          <w:noProof/>
        </w:rPr>
        <w:t xml:space="preserve">Source of financing of appropriations under the new </w:t>
      </w:r>
      <w:bookmarkStart w:id="66" w:name="_Hlk158910493"/>
      <w:r w:rsidRPr="00BC1AFD">
        <w:rPr>
          <w:noProof/>
        </w:rPr>
        <w:t>European Defence Industry Programme</w:t>
      </w:r>
      <w:bookmarkEnd w:id="66"/>
    </w:p>
    <w:p w14:paraId="3070F493" w14:textId="77777777" w:rsidR="00625704" w:rsidRPr="0004495B" w:rsidRDefault="00625704" w:rsidP="00625704">
      <w:pPr>
        <w:pStyle w:val="Text1"/>
        <w:rPr>
          <w:noProof/>
        </w:rPr>
      </w:pPr>
    </w:p>
    <w:tbl>
      <w:tblPr>
        <w:tblStyle w:val="TableGrid"/>
        <w:tblW w:w="0" w:type="auto"/>
        <w:tblInd w:w="850" w:type="dxa"/>
        <w:tblLook w:val="04A0" w:firstRow="1" w:lastRow="0" w:firstColumn="1" w:lastColumn="0" w:noHBand="0" w:noVBand="1"/>
      </w:tblPr>
      <w:tblGrid>
        <w:gridCol w:w="1817"/>
        <w:gridCol w:w="1450"/>
        <w:gridCol w:w="1450"/>
        <w:gridCol w:w="1450"/>
        <w:gridCol w:w="1451"/>
        <w:gridCol w:w="1451"/>
        <w:gridCol w:w="1451"/>
        <w:gridCol w:w="1451"/>
        <w:gridCol w:w="1399"/>
      </w:tblGrid>
      <w:tr w:rsidR="00625704" w14:paraId="752BFFBC" w14:textId="77777777" w:rsidTr="00C06A68">
        <w:tc>
          <w:tcPr>
            <w:tcW w:w="1817" w:type="dxa"/>
            <w:tcBorders>
              <w:top w:val="single" w:sz="4" w:space="0" w:color="auto"/>
              <w:left w:val="single" w:sz="4" w:space="0" w:color="auto"/>
              <w:bottom w:val="single" w:sz="4" w:space="0" w:color="auto"/>
              <w:right w:val="single" w:sz="4" w:space="0" w:color="auto"/>
            </w:tcBorders>
            <w:hideMark/>
          </w:tcPr>
          <w:p w14:paraId="7863665E" w14:textId="77777777" w:rsidR="00625704" w:rsidRDefault="00625704" w:rsidP="00C06A68">
            <w:pPr>
              <w:pStyle w:val="Text1"/>
              <w:ind w:left="0"/>
              <w:jc w:val="center"/>
              <w:rPr>
                <w:noProof/>
                <w:color w:val="000000" w:themeColor="text1"/>
                <w:sz w:val="18"/>
                <w:szCs w:val="18"/>
              </w:rPr>
            </w:pPr>
            <w:r>
              <w:rPr>
                <w:noProof/>
                <w:color w:val="000000" w:themeColor="text1"/>
                <w:sz w:val="18"/>
                <w:szCs w:val="18"/>
              </w:rPr>
              <w:t>Contribution from European Defence Fund</w:t>
            </w:r>
          </w:p>
        </w:tc>
        <w:tc>
          <w:tcPr>
            <w:tcW w:w="1450" w:type="dxa"/>
            <w:tcBorders>
              <w:top w:val="single" w:sz="4" w:space="0" w:color="auto"/>
              <w:left w:val="single" w:sz="4" w:space="0" w:color="auto"/>
              <w:bottom w:val="single" w:sz="4" w:space="0" w:color="auto"/>
              <w:right w:val="single" w:sz="4" w:space="0" w:color="auto"/>
            </w:tcBorders>
            <w:hideMark/>
          </w:tcPr>
          <w:p w14:paraId="185B227B" w14:textId="77777777" w:rsidR="00625704" w:rsidRDefault="00625704" w:rsidP="00C06A68">
            <w:pPr>
              <w:pStyle w:val="Text1"/>
              <w:ind w:left="0"/>
              <w:jc w:val="center"/>
              <w:rPr>
                <w:noProof/>
                <w:color w:val="000000" w:themeColor="text1"/>
                <w:sz w:val="18"/>
                <w:szCs w:val="18"/>
              </w:rPr>
            </w:pPr>
            <w:r>
              <w:rPr>
                <w:noProof/>
                <w:color w:val="000000" w:themeColor="text1"/>
                <w:sz w:val="18"/>
                <w:szCs w:val="18"/>
              </w:rPr>
              <w:t>2021</w:t>
            </w:r>
          </w:p>
        </w:tc>
        <w:tc>
          <w:tcPr>
            <w:tcW w:w="1450" w:type="dxa"/>
            <w:tcBorders>
              <w:top w:val="single" w:sz="4" w:space="0" w:color="auto"/>
              <w:left w:val="single" w:sz="4" w:space="0" w:color="auto"/>
              <w:bottom w:val="single" w:sz="4" w:space="0" w:color="auto"/>
              <w:right w:val="single" w:sz="4" w:space="0" w:color="auto"/>
            </w:tcBorders>
            <w:hideMark/>
          </w:tcPr>
          <w:p w14:paraId="7B4685BF" w14:textId="77777777" w:rsidR="00625704" w:rsidRDefault="00625704" w:rsidP="00C06A68">
            <w:pPr>
              <w:pStyle w:val="Text1"/>
              <w:ind w:left="0"/>
              <w:jc w:val="center"/>
              <w:rPr>
                <w:noProof/>
                <w:color w:val="000000" w:themeColor="text1"/>
                <w:sz w:val="18"/>
                <w:szCs w:val="18"/>
              </w:rPr>
            </w:pPr>
            <w:r>
              <w:rPr>
                <w:noProof/>
                <w:color w:val="000000" w:themeColor="text1"/>
                <w:sz w:val="18"/>
                <w:szCs w:val="18"/>
              </w:rPr>
              <w:t>2022</w:t>
            </w:r>
          </w:p>
        </w:tc>
        <w:tc>
          <w:tcPr>
            <w:tcW w:w="1450" w:type="dxa"/>
            <w:tcBorders>
              <w:top w:val="single" w:sz="4" w:space="0" w:color="auto"/>
              <w:left w:val="single" w:sz="4" w:space="0" w:color="auto"/>
              <w:bottom w:val="single" w:sz="4" w:space="0" w:color="auto"/>
              <w:right w:val="single" w:sz="4" w:space="0" w:color="auto"/>
            </w:tcBorders>
            <w:hideMark/>
          </w:tcPr>
          <w:p w14:paraId="5B85F203" w14:textId="77777777" w:rsidR="00625704" w:rsidRDefault="00625704" w:rsidP="00C06A68">
            <w:pPr>
              <w:pStyle w:val="Text1"/>
              <w:ind w:left="0"/>
              <w:jc w:val="center"/>
              <w:rPr>
                <w:noProof/>
                <w:color w:val="000000" w:themeColor="text1"/>
                <w:sz w:val="18"/>
                <w:szCs w:val="18"/>
              </w:rPr>
            </w:pPr>
            <w:r>
              <w:rPr>
                <w:noProof/>
                <w:color w:val="000000" w:themeColor="text1"/>
                <w:sz w:val="18"/>
                <w:szCs w:val="18"/>
              </w:rPr>
              <w:t>2023</w:t>
            </w:r>
          </w:p>
        </w:tc>
        <w:tc>
          <w:tcPr>
            <w:tcW w:w="1451" w:type="dxa"/>
            <w:tcBorders>
              <w:top w:val="single" w:sz="4" w:space="0" w:color="auto"/>
              <w:left w:val="single" w:sz="4" w:space="0" w:color="auto"/>
              <w:bottom w:val="single" w:sz="4" w:space="0" w:color="auto"/>
              <w:right w:val="single" w:sz="4" w:space="0" w:color="auto"/>
            </w:tcBorders>
            <w:hideMark/>
          </w:tcPr>
          <w:p w14:paraId="3CA24038" w14:textId="77777777" w:rsidR="00625704" w:rsidRDefault="00625704" w:rsidP="00C06A68">
            <w:pPr>
              <w:pStyle w:val="Text1"/>
              <w:ind w:left="0"/>
              <w:jc w:val="center"/>
              <w:rPr>
                <w:noProof/>
                <w:color w:val="000000" w:themeColor="text1"/>
                <w:sz w:val="18"/>
                <w:szCs w:val="18"/>
              </w:rPr>
            </w:pPr>
            <w:r>
              <w:rPr>
                <w:noProof/>
                <w:color w:val="000000" w:themeColor="text1"/>
                <w:sz w:val="18"/>
                <w:szCs w:val="18"/>
              </w:rPr>
              <w:t>2024</w:t>
            </w:r>
          </w:p>
        </w:tc>
        <w:tc>
          <w:tcPr>
            <w:tcW w:w="1451" w:type="dxa"/>
            <w:tcBorders>
              <w:top w:val="single" w:sz="4" w:space="0" w:color="auto"/>
              <w:left w:val="single" w:sz="4" w:space="0" w:color="auto"/>
              <w:bottom w:val="single" w:sz="4" w:space="0" w:color="auto"/>
              <w:right w:val="single" w:sz="4" w:space="0" w:color="auto"/>
            </w:tcBorders>
            <w:hideMark/>
          </w:tcPr>
          <w:p w14:paraId="37868A19" w14:textId="77777777" w:rsidR="00625704" w:rsidRDefault="00625704" w:rsidP="00C06A68">
            <w:pPr>
              <w:pStyle w:val="Text1"/>
              <w:ind w:left="0"/>
              <w:jc w:val="center"/>
              <w:rPr>
                <w:noProof/>
                <w:color w:val="000000" w:themeColor="text1"/>
                <w:sz w:val="18"/>
                <w:szCs w:val="18"/>
              </w:rPr>
            </w:pPr>
            <w:r>
              <w:rPr>
                <w:noProof/>
                <w:color w:val="000000" w:themeColor="text1"/>
                <w:sz w:val="18"/>
                <w:szCs w:val="18"/>
              </w:rPr>
              <w:t>2025</w:t>
            </w:r>
          </w:p>
        </w:tc>
        <w:tc>
          <w:tcPr>
            <w:tcW w:w="1451" w:type="dxa"/>
            <w:tcBorders>
              <w:top w:val="single" w:sz="4" w:space="0" w:color="auto"/>
              <w:left w:val="single" w:sz="4" w:space="0" w:color="auto"/>
              <w:bottom w:val="single" w:sz="4" w:space="0" w:color="auto"/>
              <w:right w:val="single" w:sz="4" w:space="0" w:color="auto"/>
            </w:tcBorders>
            <w:hideMark/>
          </w:tcPr>
          <w:p w14:paraId="3F6CAE2F" w14:textId="77777777" w:rsidR="00625704" w:rsidRDefault="00625704" w:rsidP="00C06A68">
            <w:pPr>
              <w:pStyle w:val="Text1"/>
              <w:ind w:left="0"/>
              <w:jc w:val="center"/>
              <w:rPr>
                <w:noProof/>
                <w:color w:val="000000" w:themeColor="text1"/>
                <w:sz w:val="18"/>
                <w:szCs w:val="18"/>
              </w:rPr>
            </w:pPr>
            <w:r>
              <w:rPr>
                <w:noProof/>
                <w:color w:val="000000" w:themeColor="text1"/>
                <w:sz w:val="18"/>
                <w:szCs w:val="18"/>
              </w:rPr>
              <w:t>2026</w:t>
            </w:r>
          </w:p>
        </w:tc>
        <w:tc>
          <w:tcPr>
            <w:tcW w:w="1451" w:type="dxa"/>
            <w:tcBorders>
              <w:top w:val="single" w:sz="4" w:space="0" w:color="auto"/>
              <w:left w:val="single" w:sz="4" w:space="0" w:color="auto"/>
              <w:bottom w:val="single" w:sz="4" w:space="0" w:color="auto"/>
              <w:right w:val="single" w:sz="4" w:space="0" w:color="auto"/>
            </w:tcBorders>
            <w:hideMark/>
          </w:tcPr>
          <w:p w14:paraId="47631764" w14:textId="77777777" w:rsidR="00625704" w:rsidRDefault="00625704" w:rsidP="00C06A68">
            <w:pPr>
              <w:pStyle w:val="Text1"/>
              <w:ind w:left="0"/>
              <w:jc w:val="center"/>
              <w:rPr>
                <w:noProof/>
                <w:color w:val="000000" w:themeColor="text1"/>
                <w:sz w:val="18"/>
                <w:szCs w:val="18"/>
              </w:rPr>
            </w:pPr>
            <w:r>
              <w:rPr>
                <w:noProof/>
                <w:color w:val="000000" w:themeColor="text1"/>
                <w:sz w:val="18"/>
                <w:szCs w:val="18"/>
              </w:rPr>
              <w:t>2027</w:t>
            </w:r>
          </w:p>
        </w:tc>
        <w:tc>
          <w:tcPr>
            <w:tcW w:w="1399" w:type="dxa"/>
            <w:tcBorders>
              <w:top w:val="single" w:sz="4" w:space="0" w:color="auto"/>
              <w:left w:val="single" w:sz="4" w:space="0" w:color="auto"/>
              <w:bottom w:val="single" w:sz="4" w:space="0" w:color="auto"/>
              <w:right w:val="single" w:sz="4" w:space="0" w:color="auto"/>
            </w:tcBorders>
            <w:hideMark/>
          </w:tcPr>
          <w:p w14:paraId="3F853AC2" w14:textId="77777777" w:rsidR="00625704" w:rsidRDefault="00625704" w:rsidP="00C06A68">
            <w:pPr>
              <w:pStyle w:val="Text1"/>
              <w:ind w:left="0"/>
              <w:jc w:val="center"/>
              <w:rPr>
                <w:noProof/>
                <w:color w:val="000000" w:themeColor="text1"/>
                <w:sz w:val="18"/>
                <w:szCs w:val="18"/>
              </w:rPr>
            </w:pPr>
            <w:r>
              <w:rPr>
                <w:noProof/>
                <w:color w:val="000000" w:themeColor="text1"/>
                <w:sz w:val="18"/>
                <w:szCs w:val="18"/>
              </w:rPr>
              <w:t>Total</w:t>
            </w:r>
          </w:p>
        </w:tc>
      </w:tr>
      <w:tr w:rsidR="00625704" w14:paraId="26E7FCEB" w14:textId="77777777" w:rsidTr="00C06A68">
        <w:tc>
          <w:tcPr>
            <w:tcW w:w="1817" w:type="dxa"/>
            <w:tcBorders>
              <w:top w:val="single" w:sz="4" w:space="0" w:color="auto"/>
              <w:left w:val="single" w:sz="4" w:space="0" w:color="auto"/>
              <w:bottom w:val="single" w:sz="4" w:space="0" w:color="auto"/>
              <w:right w:val="single" w:sz="4" w:space="0" w:color="auto"/>
            </w:tcBorders>
            <w:hideMark/>
          </w:tcPr>
          <w:p w14:paraId="33FED8A4" w14:textId="77777777" w:rsidR="00625704" w:rsidRDefault="00625704" w:rsidP="00C06A68">
            <w:pPr>
              <w:pStyle w:val="Text1"/>
              <w:ind w:left="0"/>
              <w:jc w:val="center"/>
              <w:rPr>
                <w:noProof/>
                <w:color w:val="000000" w:themeColor="text1"/>
                <w:sz w:val="18"/>
                <w:szCs w:val="18"/>
              </w:rPr>
            </w:pPr>
            <w:r>
              <w:rPr>
                <w:noProof/>
                <w:color w:val="000000" w:themeColor="text1"/>
                <w:sz w:val="18"/>
                <w:szCs w:val="18"/>
              </w:rPr>
              <w:t xml:space="preserve">Capability development </w:t>
            </w:r>
          </w:p>
        </w:tc>
        <w:tc>
          <w:tcPr>
            <w:tcW w:w="1450" w:type="dxa"/>
            <w:tcBorders>
              <w:top w:val="single" w:sz="4" w:space="0" w:color="auto"/>
              <w:left w:val="single" w:sz="4" w:space="0" w:color="auto"/>
              <w:bottom w:val="single" w:sz="4" w:space="0" w:color="auto"/>
              <w:right w:val="single" w:sz="4" w:space="0" w:color="auto"/>
            </w:tcBorders>
          </w:tcPr>
          <w:p w14:paraId="52C9E378" w14:textId="77777777" w:rsidR="00625704" w:rsidRDefault="00625704" w:rsidP="00C06A68">
            <w:pPr>
              <w:pStyle w:val="Text1"/>
              <w:ind w:left="0"/>
              <w:jc w:val="center"/>
              <w:rPr>
                <w:noProof/>
                <w:color w:val="000000" w:themeColor="text1"/>
                <w:sz w:val="18"/>
                <w:szCs w:val="18"/>
              </w:rPr>
            </w:pPr>
          </w:p>
        </w:tc>
        <w:tc>
          <w:tcPr>
            <w:tcW w:w="1450" w:type="dxa"/>
            <w:tcBorders>
              <w:top w:val="single" w:sz="4" w:space="0" w:color="auto"/>
              <w:left w:val="single" w:sz="4" w:space="0" w:color="auto"/>
              <w:bottom w:val="single" w:sz="4" w:space="0" w:color="auto"/>
              <w:right w:val="single" w:sz="4" w:space="0" w:color="auto"/>
            </w:tcBorders>
          </w:tcPr>
          <w:p w14:paraId="26284EE8" w14:textId="77777777" w:rsidR="00625704" w:rsidRDefault="00625704" w:rsidP="00C06A68">
            <w:pPr>
              <w:pStyle w:val="Text1"/>
              <w:ind w:left="0"/>
              <w:jc w:val="center"/>
              <w:rPr>
                <w:noProof/>
                <w:color w:val="000000" w:themeColor="text1"/>
                <w:sz w:val="18"/>
                <w:szCs w:val="18"/>
              </w:rPr>
            </w:pPr>
          </w:p>
        </w:tc>
        <w:tc>
          <w:tcPr>
            <w:tcW w:w="1450" w:type="dxa"/>
            <w:tcBorders>
              <w:top w:val="single" w:sz="4" w:space="0" w:color="auto"/>
              <w:left w:val="single" w:sz="4" w:space="0" w:color="auto"/>
              <w:bottom w:val="single" w:sz="4" w:space="0" w:color="auto"/>
              <w:right w:val="single" w:sz="4" w:space="0" w:color="auto"/>
            </w:tcBorders>
          </w:tcPr>
          <w:p w14:paraId="7367EBBA" w14:textId="77777777" w:rsidR="00625704" w:rsidRDefault="00625704" w:rsidP="00C06A68">
            <w:pPr>
              <w:pStyle w:val="Text1"/>
              <w:ind w:left="0"/>
              <w:jc w:val="center"/>
              <w:rPr>
                <w:noProof/>
                <w:color w:val="000000" w:themeColor="text1"/>
                <w:sz w:val="18"/>
                <w:szCs w:val="18"/>
              </w:rPr>
            </w:pPr>
          </w:p>
        </w:tc>
        <w:tc>
          <w:tcPr>
            <w:tcW w:w="1451" w:type="dxa"/>
            <w:tcBorders>
              <w:top w:val="single" w:sz="4" w:space="0" w:color="auto"/>
              <w:left w:val="single" w:sz="4" w:space="0" w:color="auto"/>
              <w:bottom w:val="single" w:sz="4" w:space="0" w:color="auto"/>
              <w:right w:val="single" w:sz="4" w:space="0" w:color="auto"/>
            </w:tcBorders>
          </w:tcPr>
          <w:p w14:paraId="74CB296A" w14:textId="77777777" w:rsidR="00625704" w:rsidRDefault="00625704" w:rsidP="00C06A68">
            <w:pPr>
              <w:pStyle w:val="Text1"/>
              <w:ind w:left="0"/>
              <w:jc w:val="center"/>
              <w:rPr>
                <w:noProof/>
                <w:color w:val="000000" w:themeColor="text1"/>
                <w:sz w:val="18"/>
                <w:szCs w:val="18"/>
              </w:rPr>
            </w:pPr>
          </w:p>
        </w:tc>
        <w:tc>
          <w:tcPr>
            <w:tcW w:w="1451" w:type="dxa"/>
            <w:tcBorders>
              <w:top w:val="single" w:sz="4" w:space="0" w:color="auto"/>
              <w:left w:val="single" w:sz="4" w:space="0" w:color="auto"/>
              <w:bottom w:val="single" w:sz="4" w:space="0" w:color="auto"/>
              <w:right w:val="single" w:sz="4" w:space="0" w:color="auto"/>
            </w:tcBorders>
          </w:tcPr>
          <w:p w14:paraId="3100C89C" w14:textId="1BB25BE9" w:rsidR="00625704" w:rsidRDefault="00625704" w:rsidP="00C06A68">
            <w:pPr>
              <w:pStyle w:val="Text1"/>
              <w:ind w:left="0"/>
              <w:jc w:val="center"/>
              <w:rPr>
                <w:noProof/>
                <w:color w:val="000000" w:themeColor="text1"/>
                <w:sz w:val="18"/>
                <w:szCs w:val="18"/>
              </w:rPr>
            </w:pPr>
          </w:p>
        </w:tc>
        <w:tc>
          <w:tcPr>
            <w:tcW w:w="1451" w:type="dxa"/>
            <w:tcBorders>
              <w:top w:val="single" w:sz="4" w:space="0" w:color="auto"/>
              <w:left w:val="single" w:sz="4" w:space="0" w:color="auto"/>
              <w:bottom w:val="single" w:sz="4" w:space="0" w:color="auto"/>
              <w:right w:val="single" w:sz="4" w:space="0" w:color="auto"/>
            </w:tcBorders>
            <w:hideMark/>
          </w:tcPr>
          <w:p w14:paraId="061CE151" w14:textId="77777777" w:rsidR="00625704" w:rsidRDefault="00625704" w:rsidP="00C06A68">
            <w:pPr>
              <w:pStyle w:val="Text1"/>
              <w:ind w:left="0"/>
              <w:jc w:val="center"/>
              <w:rPr>
                <w:noProof/>
                <w:color w:val="000000" w:themeColor="text1"/>
                <w:sz w:val="18"/>
                <w:szCs w:val="18"/>
              </w:rPr>
            </w:pPr>
            <w:r>
              <w:rPr>
                <w:noProof/>
                <w:color w:val="000000" w:themeColor="text1"/>
                <w:sz w:val="18"/>
                <w:szCs w:val="18"/>
              </w:rPr>
              <w:t>4</w:t>
            </w:r>
            <w:r>
              <w:rPr>
                <w:noProof/>
                <w:sz w:val="18"/>
                <w:szCs w:val="18"/>
              </w:rPr>
              <w:t>11</w:t>
            </w:r>
            <w:r>
              <w:rPr>
                <w:noProof/>
                <w:color w:val="000000" w:themeColor="text1"/>
                <w:sz w:val="18"/>
                <w:szCs w:val="18"/>
              </w:rPr>
              <w:t>.200</w:t>
            </w:r>
          </w:p>
        </w:tc>
        <w:tc>
          <w:tcPr>
            <w:tcW w:w="1451" w:type="dxa"/>
            <w:tcBorders>
              <w:top w:val="single" w:sz="4" w:space="0" w:color="auto"/>
              <w:left w:val="single" w:sz="4" w:space="0" w:color="auto"/>
              <w:bottom w:val="single" w:sz="4" w:space="0" w:color="auto"/>
              <w:right w:val="single" w:sz="4" w:space="0" w:color="auto"/>
            </w:tcBorders>
            <w:hideMark/>
          </w:tcPr>
          <w:p w14:paraId="1CFC8F55" w14:textId="77777777" w:rsidR="00625704" w:rsidRDefault="00884416" w:rsidP="00C06A68">
            <w:pPr>
              <w:pStyle w:val="Text1"/>
              <w:ind w:left="0"/>
              <w:jc w:val="center"/>
              <w:rPr>
                <w:noProof/>
                <w:color w:val="000000" w:themeColor="text1"/>
                <w:sz w:val="18"/>
                <w:szCs w:val="18"/>
              </w:rPr>
            </w:pPr>
            <w:r>
              <w:rPr>
                <w:noProof/>
                <w:color w:val="000000" w:themeColor="text1"/>
                <w:sz w:val="18"/>
                <w:szCs w:val="18"/>
              </w:rPr>
              <w:t>5</w:t>
            </w:r>
            <w:r>
              <w:rPr>
                <w:noProof/>
                <w:sz w:val="18"/>
                <w:szCs w:val="18"/>
              </w:rPr>
              <w:t>85</w:t>
            </w:r>
            <w:r w:rsidR="00625704">
              <w:rPr>
                <w:noProof/>
                <w:color w:val="000000" w:themeColor="text1"/>
                <w:sz w:val="18"/>
                <w:szCs w:val="18"/>
              </w:rPr>
              <w:t>.</w:t>
            </w:r>
            <w:r>
              <w:rPr>
                <w:noProof/>
                <w:color w:val="000000" w:themeColor="text1"/>
                <w:sz w:val="18"/>
                <w:szCs w:val="18"/>
              </w:rPr>
              <w:t>248</w:t>
            </w:r>
          </w:p>
        </w:tc>
        <w:tc>
          <w:tcPr>
            <w:tcW w:w="1399" w:type="dxa"/>
            <w:tcBorders>
              <w:top w:val="single" w:sz="4" w:space="0" w:color="auto"/>
              <w:left w:val="single" w:sz="4" w:space="0" w:color="auto"/>
              <w:bottom w:val="single" w:sz="4" w:space="0" w:color="auto"/>
              <w:right w:val="single" w:sz="4" w:space="0" w:color="auto"/>
            </w:tcBorders>
            <w:hideMark/>
          </w:tcPr>
          <w:p w14:paraId="20137E7B" w14:textId="77777777" w:rsidR="00625704" w:rsidRDefault="00625704" w:rsidP="00C06A68">
            <w:pPr>
              <w:jc w:val="center"/>
              <w:rPr>
                <w:noProof/>
                <w:color w:val="000000" w:themeColor="text1"/>
                <w:sz w:val="18"/>
                <w:szCs w:val="18"/>
              </w:rPr>
            </w:pPr>
            <w:r>
              <w:rPr>
                <w:noProof/>
                <w:color w:val="000000" w:themeColor="text1"/>
                <w:sz w:val="18"/>
                <w:szCs w:val="18"/>
              </w:rPr>
              <w:t>1.000.000</w:t>
            </w:r>
          </w:p>
        </w:tc>
      </w:tr>
      <w:tr w:rsidR="00625704" w14:paraId="001F5D62" w14:textId="77777777" w:rsidTr="00C06A68">
        <w:tc>
          <w:tcPr>
            <w:tcW w:w="1817" w:type="dxa"/>
            <w:tcBorders>
              <w:top w:val="single" w:sz="4" w:space="0" w:color="auto"/>
              <w:left w:val="single" w:sz="4" w:space="0" w:color="auto"/>
              <w:bottom w:val="single" w:sz="4" w:space="0" w:color="auto"/>
              <w:right w:val="single" w:sz="4" w:space="0" w:color="auto"/>
            </w:tcBorders>
            <w:hideMark/>
          </w:tcPr>
          <w:p w14:paraId="2CDE7ABF" w14:textId="77777777" w:rsidR="00625704" w:rsidRDefault="00625704" w:rsidP="00C06A68">
            <w:pPr>
              <w:pStyle w:val="Text1"/>
              <w:ind w:left="0"/>
              <w:jc w:val="center"/>
              <w:rPr>
                <w:noProof/>
                <w:color w:val="000000" w:themeColor="text1"/>
                <w:sz w:val="18"/>
                <w:szCs w:val="18"/>
              </w:rPr>
            </w:pPr>
            <w:r>
              <w:rPr>
                <w:noProof/>
                <w:color w:val="000000" w:themeColor="text1"/>
                <w:sz w:val="18"/>
                <w:szCs w:val="18"/>
              </w:rPr>
              <w:t>Defence research</w:t>
            </w:r>
          </w:p>
        </w:tc>
        <w:tc>
          <w:tcPr>
            <w:tcW w:w="1450" w:type="dxa"/>
            <w:tcBorders>
              <w:top w:val="single" w:sz="4" w:space="0" w:color="auto"/>
              <w:left w:val="single" w:sz="4" w:space="0" w:color="auto"/>
              <w:bottom w:val="single" w:sz="4" w:space="0" w:color="auto"/>
              <w:right w:val="single" w:sz="4" w:space="0" w:color="auto"/>
            </w:tcBorders>
          </w:tcPr>
          <w:p w14:paraId="6E17ADC7" w14:textId="77777777" w:rsidR="00625704" w:rsidRDefault="00625704" w:rsidP="00C06A68">
            <w:pPr>
              <w:pStyle w:val="Text1"/>
              <w:ind w:left="0"/>
              <w:jc w:val="center"/>
              <w:rPr>
                <w:noProof/>
                <w:color w:val="000000" w:themeColor="text1"/>
                <w:sz w:val="18"/>
                <w:szCs w:val="18"/>
              </w:rPr>
            </w:pPr>
          </w:p>
        </w:tc>
        <w:tc>
          <w:tcPr>
            <w:tcW w:w="1450" w:type="dxa"/>
            <w:tcBorders>
              <w:top w:val="single" w:sz="4" w:space="0" w:color="auto"/>
              <w:left w:val="single" w:sz="4" w:space="0" w:color="auto"/>
              <w:bottom w:val="single" w:sz="4" w:space="0" w:color="auto"/>
              <w:right w:val="single" w:sz="4" w:space="0" w:color="auto"/>
            </w:tcBorders>
          </w:tcPr>
          <w:p w14:paraId="1D729492" w14:textId="77777777" w:rsidR="00625704" w:rsidRDefault="00625704" w:rsidP="00C06A68">
            <w:pPr>
              <w:pStyle w:val="Text1"/>
              <w:ind w:left="0"/>
              <w:jc w:val="center"/>
              <w:rPr>
                <w:noProof/>
                <w:color w:val="000000" w:themeColor="text1"/>
                <w:sz w:val="18"/>
                <w:szCs w:val="18"/>
              </w:rPr>
            </w:pPr>
          </w:p>
        </w:tc>
        <w:tc>
          <w:tcPr>
            <w:tcW w:w="1450" w:type="dxa"/>
            <w:tcBorders>
              <w:top w:val="single" w:sz="4" w:space="0" w:color="auto"/>
              <w:left w:val="single" w:sz="4" w:space="0" w:color="auto"/>
              <w:bottom w:val="single" w:sz="4" w:space="0" w:color="auto"/>
              <w:right w:val="single" w:sz="4" w:space="0" w:color="auto"/>
            </w:tcBorders>
          </w:tcPr>
          <w:p w14:paraId="4FBA6075" w14:textId="77777777" w:rsidR="00625704" w:rsidRDefault="00625704" w:rsidP="00C06A68">
            <w:pPr>
              <w:pStyle w:val="Text1"/>
              <w:ind w:left="0"/>
              <w:jc w:val="center"/>
              <w:rPr>
                <w:noProof/>
                <w:color w:val="000000" w:themeColor="text1"/>
                <w:sz w:val="18"/>
                <w:szCs w:val="18"/>
              </w:rPr>
            </w:pPr>
          </w:p>
        </w:tc>
        <w:tc>
          <w:tcPr>
            <w:tcW w:w="1451" w:type="dxa"/>
            <w:tcBorders>
              <w:top w:val="single" w:sz="4" w:space="0" w:color="auto"/>
              <w:left w:val="single" w:sz="4" w:space="0" w:color="auto"/>
              <w:bottom w:val="single" w:sz="4" w:space="0" w:color="auto"/>
              <w:right w:val="single" w:sz="4" w:space="0" w:color="auto"/>
            </w:tcBorders>
          </w:tcPr>
          <w:p w14:paraId="3C1343EB" w14:textId="77777777" w:rsidR="00625704" w:rsidRDefault="00625704" w:rsidP="00C06A68">
            <w:pPr>
              <w:pStyle w:val="Text1"/>
              <w:ind w:left="0"/>
              <w:jc w:val="center"/>
              <w:rPr>
                <w:noProof/>
                <w:color w:val="000000" w:themeColor="text1"/>
                <w:sz w:val="18"/>
                <w:szCs w:val="18"/>
              </w:rPr>
            </w:pPr>
          </w:p>
        </w:tc>
        <w:tc>
          <w:tcPr>
            <w:tcW w:w="1451" w:type="dxa"/>
            <w:tcBorders>
              <w:top w:val="single" w:sz="4" w:space="0" w:color="auto"/>
              <w:left w:val="single" w:sz="4" w:space="0" w:color="auto"/>
              <w:bottom w:val="single" w:sz="4" w:space="0" w:color="auto"/>
              <w:right w:val="single" w:sz="4" w:space="0" w:color="auto"/>
            </w:tcBorders>
          </w:tcPr>
          <w:p w14:paraId="4A2158ED" w14:textId="364F7B90" w:rsidR="00625704" w:rsidRDefault="00543412" w:rsidP="00C06A68">
            <w:pPr>
              <w:pStyle w:val="Text1"/>
              <w:ind w:left="0"/>
              <w:jc w:val="center"/>
              <w:rPr>
                <w:noProof/>
                <w:color w:val="000000" w:themeColor="text1"/>
                <w:sz w:val="18"/>
                <w:szCs w:val="18"/>
              </w:rPr>
            </w:pPr>
            <w:r>
              <w:rPr>
                <w:noProof/>
                <w:color w:val="000000" w:themeColor="text1"/>
                <w:sz w:val="18"/>
                <w:szCs w:val="18"/>
              </w:rPr>
              <w:t>3.552</w:t>
            </w:r>
          </w:p>
        </w:tc>
        <w:tc>
          <w:tcPr>
            <w:tcW w:w="1451" w:type="dxa"/>
            <w:tcBorders>
              <w:top w:val="single" w:sz="4" w:space="0" w:color="auto"/>
              <w:left w:val="single" w:sz="4" w:space="0" w:color="auto"/>
              <w:bottom w:val="single" w:sz="4" w:space="0" w:color="auto"/>
              <w:right w:val="single" w:sz="4" w:space="0" w:color="auto"/>
            </w:tcBorders>
            <w:hideMark/>
          </w:tcPr>
          <w:p w14:paraId="7C5D4BAB" w14:textId="77777777" w:rsidR="00625704" w:rsidRDefault="00625704" w:rsidP="00C06A68">
            <w:pPr>
              <w:pStyle w:val="Text1"/>
              <w:ind w:left="0"/>
              <w:jc w:val="center"/>
              <w:rPr>
                <w:noProof/>
                <w:color w:val="000000" w:themeColor="text1"/>
                <w:sz w:val="18"/>
                <w:szCs w:val="18"/>
              </w:rPr>
            </w:pPr>
            <w:r>
              <w:rPr>
                <w:noProof/>
                <w:color w:val="000000" w:themeColor="text1"/>
                <w:sz w:val="18"/>
                <w:szCs w:val="18"/>
              </w:rPr>
              <w:t>2</w:t>
            </w:r>
            <w:r>
              <w:rPr>
                <w:noProof/>
                <w:sz w:val="18"/>
                <w:szCs w:val="18"/>
              </w:rPr>
              <w:t>08</w:t>
            </w:r>
            <w:r>
              <w:rPr>
                <w:noProof/>
                <w:color w:val="000000" w:themeColor="text1"/>
                <w:sz w:val="18"/>
                <w:szCs w:val="18"/>
              </w:rPr>
              <w:t>.600</w:t>
            </w:r>
          </w:p>
        </w:tc>
        <w:tc>
          <w:tcPr>
            <w:tcW w:w="1451" w:type="dxa"/>
            <w:tcBorders>
              <w:top w:val="single" w:sz="4" w:space="0" w:color="auto"/>
              <w:left w:val="single" w:sz="4" w:space="0" w:color="auto"/>
              <w:bottom w:val="single" w:sz="4" w:space="0" w:color="auto"/>
              <w:right w:val="single" w:sz="4" w:space="0" w:color="auto"/>
            </w:tcBorders>
            <w:hideMark/>
          </w:tcPr>
          <w:p w14:paraId="222CDB94" w14:textId="64CD68AE" w:rsidR="00625704" w:rsidRDefault="00543412" w:rsidP="00C06A68">
            <w:pPr>
              <w:pStyle w:val="Text1"/>
              <w:ind w:left="0"/>
              <w:jc w:val="center"/>
              <w:rPr>
                <w:noProof/>
                <w:color w:val="000000" w:themeColor="text1"/>
                <w:sz w:val="18"/>
                <w:szCs w:val="18"/>
              </w:rPr>
            </w:pPr>
            <w:r>
              <w:rPr>
                <w:noProof/>
                <w:color w:val="000000" w:themeColor="text1"/>
                <w:sz w:val="18"/>
                <w:szCs w:val="18"/>
              </w:rPr>
              <w:t>2</w:t>
            </w:r>
            <w:r>
              <w:rPr>
                <w:noProof/>
                <w:sz w:val="18"/>
                <w:szCs w:val="18"/>
              </w:rPr>
              <w:t>87</w:t>
            </w:r>
            <w:r>
              <w:rPr>
                <w:noProof/>
                <w:color w:val="000000" w:themeColor="text1"/>
                <w:sz w:val="18"/>
                <w:szCs w:val="18"/>
              </w:rPr>
              <w:t>.848</w:t>
            </w:r>
          </w:p>
        </w:tc>
        <w:tc>
          <w:tcPr>
            <w:tcW w:w="1399" w:type="dxa"/>
            <w:tcBorders>
              <w:top w:val="single" w:sz="4" w:space="0" w:color="auto"/>
              <w:left w:val="single" w:sz="4" w:space="0" w:color="auto"/>
              <w:bottom w:val="single" w:sz="4" w:space="0" w:color="auto"/>
              <w:right w:val="single" w:sz="4" w:space="0" w:color="auto"/>
            </w:tcBorders>
            <w:hideMark/>
          </w:tcPr>
          <w:p w14:paraId="2DF08B5E" w14:textId="77777777" w:rsidR="00625704" w:rsidRDefault="00625704" w:rsidP="00C06A68">
            <w:pPr>
              <w:pStyle w:val="Text1"/>
              <w:ind w:left="0"/>
              <w:jc w:val="center"/>
              <w:rPr>
                <w:noProof/>
                <w:color w:val="000000" w:themeColor="text1"/>
                <w:sz w:val="18"/>
                <w:szCs w:val="18"/>
              </w:rPr>
            </w:pPr>
            <w:r>
              <w:rPr>
                <w:noProof/>
                <w:color w:val="000000" w:themeColor="text1"/>
                <w:sz w:val="18"/>
                <w:szCs w:val="18"/>
              </w:rPr>
              <w:t>500.000</w:t>
            </w:r>
          </w:p>
        </w:tc>
      </w:tr>
      <w:tr w:rsidR="00625704" w14:paraId="4597FEB2" w14:textId="77777777" w:rsidTr="00C06A68">
        <w:tc>
          <w:tcPr>
            <w:tcW w:w="1817" w:type="dxa"/>
            <w:tcBorders>
              <w:top w:val="single" w:sz="4" w:space="0" w:color="auto"/>
              <w:left w:val="single" w:sz="4" w:space="0" w:color="auto"/>
              <w:bottom w:val="single" w:sz="4" w:space="0" w:color="auto"/>
              <w:right w:val="single" w:sz="4" w:space="0" w:color="auto"/>
            </w:tcBorders>
            <w:hideMark/>
          </w:tcPr>
          <w:p w14:paraId="4E4E2FF9" w14:textId="77777777" w:rsidR="00625704" w:rsidRDefault="00625704" w:rsidP="00C06A68">
            <w:pPr>
              <w:pStyle w:val="Text1"/>
              <w:ind w:left="0"/>
              <w:jc w:val="center"/>
              <w:rPr>
                <w:noProof/>
                <w:color w:val="000000" w:themeColor="text1"/>
                <w:sz w:val="18"/>
                <w:szCs w:val="18"/>
              </w:rPr>
            </w:pPr>
            <w:r>
              <w:rPr>
                <w:noProof/>
                <w:color w:val="000000" w:themeColor="text1"/>
                <w:sz w:val="18"/>
                <w:szCs w:val="18"/>
              </w:rPr>
              <w:t>Total EDF</w:t>
            </w:r>
          </w:p>
        </w:tc>
        <w:tc>
          <w:tcPr>
            <w:tcW w:w="1450" w:type="dxa"/>
            <w:tcBorders>
              <w:top w:val="single" w:sz="4" w:space="0" w:color="auto"/>
              <w:left w:val="single" w:sz="4" w:space="0" w:color="auto"/>
              <w:bottom w:val="single" w:sz="4" w:space="0" w:color="auto"/>
              <w:right w:val="single" w:sz="4" w:space="0" w:color="auto"/>
            </w:tcBorders>
          </w:tcPr>
          <w:p w14:paraId="28934637" w14:textId="77777777" w:rsidR="00625704" w:rsidRDefault="00625704" w:rsidP="00C06A68">
            <w:pPr>
              <w:pStyle w:val="Text1"/>
              <w:ind w:left="0"/>
              <w:jc w:val="center"/>
              <w:rPr>
                <w:noProof/>
                <w:color w:val="000000" w:themeColor="text1"/>
                <w:sz w:val="18"/>
                <w:szCs w:val="18"/>
              </w:rPr>
            </w:pPr>
          </w:p>
        </w:tc>
        <w:tc>
          <w:tcPr>
            <w:tcW w:w="1450" w:type="dxa"/>
            <w:tcBorders>
              <w:top w:val="single" w:sz="4" w:space="0" w:color="auto"/>
              <w:left w:val="single" w:sz="4" w:space="0" w:color="auto"/>
              <w:bottom w:val="single" w:sz="4" w:space="0" w:color="auto"/>
              <w:right w:val="single" w:sz="4" w:space="0" w:color="auto"/>
            </w:tcBorders>
          </w:tcPr>
          <w:p w14:paraId="34F97D47" w14:textId="77777777" w:rsidR="00625704" w:rsidRDefault="00625704" w:rsidP="00C06A68">
            <w:pPr>
              <w:pStyle w:val="Text1"/>
              <w:ind w:left="0"/>
              <w:jc w:val="center"/>
              <w:rPr>
                <w:noProof/>
                <w:color w:val="000000" w:themeColor="text1"/>
                <w:sz w:val="18"/>
                <w:szCs w:val="18"/>
              </w:rPr>
            </w:pPr>
          </w:p>
        </w:tc>
        <w:tc>
          <w:tcPr>
            <w:tcW w:w="1450" w:type="dxa"/>
            <w:tcBorders>
              <w:top w:val="single" w:sz="4" w:space="0" w:color="auto"/>
              <w:left w:val="single" w:sz="4" w:space="0" w:color="auto"/>
              <w:bottom w:val="single" w:sz="4" w:space="0" w:color="auto"/>
              <w:right w:val="single" w:sz="4" w:space="0" w:color="auto"/>
            </w:tcBorders>
          </w:tcPr>
          <w:p w14:paraId="6247E9B4" w14:textId="77777777" w:rsidR="00625704" w:rsidRDefault="00625704" w:rsidP="00C06A68">
            <w:pPr>
              <w:pStyle w:val="Text1"/>
              <w:ind w:left="0"/>
              <w:jc w:val="center"/>
              <w:rPr>
                <w:noProof/>
                <w:color w:val="000000" w:themeColor="text1"/>
                <w:sz w:val="18"/>
                <w:szCs w:val="18"/>
              </w:rPr>
            </w:pPr>
          </w:p>
        </w:tc>
        <w:tc>
          <w:tcPr>
            <w:tcW w:w="1451" w:type="dxa"/>
            <w:tcBorders>
              <w:top w:val="single" w:sz="4" w:space="0" w:color="auto"/>
              <w:left w:val="single" w:sz="4" w:space="0" w:color="auto"/>
              <w:bottom w:val="single" w:sz="4" w:space="0" w:color="auto"/>
              <w:right w:val="single" w:sz="4" w:space="0" w:color="auto"/>
            </w:tcBorders>
          </w:tcPr>
          <w:p w14:paraId="7BDD8138" w14:textId="77777777" w:rsidR="00625704" w:rsidRDefault="00625704" w:rsidP="00C06A68">
            <w:pPr>
              <w:pStyle w:val="Text1"/>
              <w:ind w:left="0"/>
              <w:jc w:val="center"/>
              <w:rPr>
                <w:noProof/>
                <w:color w:val="000000" w:themeColor="text1"/>
                <w:sz w:val="18"/>
                <w:szCs w:val="18"/>
              </w:rPr>
            </w:pPr>
          </w:p>
        </w:tc>
        <w:tc>
          <w:tcPr>
            <w:tcW w:w="1451" w:type="dxa"/>
            <w:tcBorders>
              <w:top w:val="single" w:sz="4" w:space="0" w:color="auto"/>
              <w:left w:val="single" w:sz="4" w:space="0" w:color="auto"/>
              <w:bottom w:val="single" w:sz="4" w:space="0" w:color="auto"/>
              <w:right w:val="single" w:sz="4" w:space="0" w:color="auto"/>
            </w:tcBorders>
          </w:tcPr>
          <w:p w14:paraId="7BB33195" w14:textId="77777777" w:rsidR="00625704" w:rsidRDefault="00884416" w:rsidP="00C06A68">
            <w:pPr>
              <w:pStyle w:val="Text1"/>
              <w:ind w:left="0"/>
              <w:jc w:val="center"/>
              <w:rPr>
                <w:noProof/>
                <w:color w:val="000000" w:themeColor="text1"/>
                <w:sz w:val="18"/>
                <w:szCs w:val="18"/>
              </w:rPr>
            </w:pPr>
            <w:r>
              <w:rPr>
                <w:noProof/>
                <w:color w:val="000000" w:themeColor="text1"/>
                <w:sz w:val="18"/>
                <w:szCs w:val="18"/>
              </w:rPr>
              <w:t>3.552</w:t>
            </w:r>
          </w:p>
        </w:tc>
        <w:tc>
          <w:tcPr>
            <w:tcW w:w="1451" w:type="dxa"/>
            <w:tcBorders>
              <w:top w:val="single" w:sz="4" w:space="0" w:color="auto"/>
              <w:left w:val="single" w:sz="4" w:space="0" w:color="auto"/>
              <w:bottom w:val="single" w:sz="4" w:space="0" w:color="auto"/>
              <w:right w:val="single" w:sz="4" w:space="0" w:color="auto"/>
            </w:tcBorders>
            <w:hideMark/>
          </w:tcPr>
          <w:p w14:paraId="2482253B" w14:textId="77777777" w:rsidR="00625704" w:rsidRDefault="00625704" w:rsidP="00C06A68">
            <w:pPr>
              <w:pStyle w:val="Text1"/>
              <w:ind w:left="0"/>
              <w:jc w:val="center"/>
              <w:rPr>
                <w:noProof/>
                <w:color w:val="000000" w:themeColor="text1"/>
                <w:sz w:val="18"/>
                <w:szCs w:val="18"/>
              </w:rPr>
            </w:pPr>
            <w:r>
              <w:rPr>
                <w:noProof/>
                <w:color w:val="000000" w:themeColor="text1"/>
                <w:sz w:val="18"/>
                <w:szCs w:val="18"/>
              </w:rPr>
              <w:t>6</w:t>
            </w:r>
            <w:r>
              <w:rPr>
                <w:noProof/>
                <w:sz w:val="18"/>
                <w:szCs w:val="18"/>
              </w:rPr>
              <w:t>19</w:t>
            </w:r>
            <w:r>
              <w:rPr>
                <w:noProof/>
                <w:color w:val="000000" w:themeColor="text1"/>
                <w:sz w:val="18"/>
                <w:szCs w:val="18"/>
              </w:rPr>
              <w:t>.800</w:t>
            </w:r>
          </w:p>
        </w:tc>
        <w:tc>
          <w:tcPr>
            <w:tcW w:w="1451" w:type="dxa"/>
            <w:tcBorders>
              <w:top w:val="single" w:sz="4" w:space="0" w:color="auto"/>
              <w:left w:val="single" w:sz="4" w:space="0" w:color="auto"/>
              <w:bottom w:val="single" w:sz="4" w:space="0" w:color="auto"/>
              <w:right w:val="single" w:sz="4" w:space="0" w:color="auto"/>
            </w:tcBorders>
            <w:hideMark/>
          </w:tcPr>
          <w:p w14:paraId="2FDB04E7" w14:textId="77777777" w:rsidR="00625704" w:rsidRDefault="00884416" w:rsidP="00C06A68">
            <w:pPr>
              <w:pStyle w:val="Text1"/>
              <w:ind w:left="0"/>
              <w:jc w:val="center"/>
              <w:rPr>
                <w:noProof/>
                <w:color w:val="000000" w:themeColor="text1"/>
                <w:sz w:val="18"/>
                <w:szCs w:val="18"/>
              </w:rPr>
            </w:pPr>
            <w:r>
              <w:rPr>
                <w:noProof/>
                <w:color w:val="000000" w:themeColor="text1"/>
                <w:sz w:val="18"/>
                <w:szCs w:val="18"/>
              </w:rPr>
              <w:t>876</w:t>
            </w:r>
            <w:r w:rsidR="007E046D">
              <w:rPr>
                <w:noProof/>
                <w:color w:val="000000" w:themeColor="text1"/>
                <w:sz w:val="18"/>
                <w:szCs w:val="18"/>
              </w:rPr>
              <w:t>.648</w:t>
            </w:r>
          </w:p>
        </w:tc>
        <w:tc>
          <w:tcPr>
            <w:tcW w:w="1399" w:type="dxa"/>
            <w:tcBorders>
              <w:top w:val="single" w:sz="4" w:space="0" w:color="auto"/>
              <w:left w:val="single" w:sz="4" w:space="0" w:color="auto"/>
              <w:bottom w:val="single" w:sz="4" w:space="0" w:color="auto"/>
              <w:right w:val="single" w:sz="4" w:space="0" w:color="auto"/>
            </w:tcBorders>
            <w:hideMark/>
          </w:tcPr>
          <w:p w14:paraId="0057DBCD" w14:textId="77777777" w:rsidR="00625704" w:rsidRDefault="00625704" w:rsidP="00C06A68">
            <w:pPr>
              <w:pStyle w:val="Text1"/>
              <w:ind w:left="0"/>
              <w:jc w:val="center"/>
              <w:rPr>
                <w:noProof/>
                <w:color w:val="000000" w:themeColor="text1"/>
                <w:sz w:val="18"/>
                <w:szCs w:val="18"/>
              </w:rPr>
            </w:pPr>
            <w:r>
              <w:rPr>
                <w:noProof/>
                <w:color w:val="000000" w:themeColor="text1"/>
                <w:sz w:val="18"/>
                <w:szCs w:val="18"/>
              </w:rPr>
              <w:t>1.500.000</w:t>
            </w:r>
          </w:p>
        </w:tc>
      </w:tr>
    </w:tbl>
    <w:p w14:paraId="7312C77B" w14:textId="77777777" w:rsidR="00625704" w:rsidRPr="0004495B" w:rsidRDefault="00625704" w:rsidP="00625704">
      <w:pPr>
        <w:pStyle w:val="Text1"/>
        <w:rPr>
          <w:noProof/>
        </w:rPr>
      </w:pPr>
    </w:p>
    <w:p w14:paraId="327BB996" w14:textId="77777777" w:rsidR="00625704" w:rsidRDefault="00625704" w:rsidP="00625704">
      <w:pPr>
        <w:pStyle w:val="ManualHeading3"/>
        <w:rPr>
          <w:noProof/>
        </w:rPr>
      </w:pPr>
      <w:bookmarkStart w:id="67" w:name="_Toc514938053"/>
      <w:bookmarkStart w:id="68" w:name="_Toc520485052"/>
      <w:r w:rsidRPr="0021790A">
        <w:rPr>
          <w:noProof/>
        </w:rPr>
        <w:t>3.2.</w:t>
      </w:r>
      <w:r>
        <w:rPr>
          <w:noProof/>
        </w:rPr>
        <w:t>2</w:t>
      </w:r>
      <w:r w:rsidRPr="0021790A">
        <w:rPr>
          <w:noProof/>
        </w:rPr>
        <w:t>.</w:t>
      </w:r>
      <w:r w:rsidRPr="0021790A">
        <w:rPr>
          <w:noProof/>
        </w:rPr>
        <w:tab/>
      </w:r>
      <w:r>
        <w:rPr>
          <w:noProof/>
        </w:rPr>
        <w:t>Summary of estimated impact on operational appropriations</w:t>
      </w:r>
      <w:bookmarkEnd w:id="67"/>
      <w:bookmarkEnd w:id="68"/>
      <w:r>
        <w:rPr>
          <w:noProof/>
        </w:rPr>
        <w:t xml:space="preserve"> </w:t>
      </w:r>
    </w:p>
    <w:p w14:paraId="4F8B8BBA" w14:textId="77777777" w:rsidR="00625704" w:rsidRDefault="00625704" w:rsidP="00625704">
      <w:pPr>
        <w:pStyle w:val="ListDash1"/>
        <w:rPr>
          <w:noProof/>
        </w:rPr>
      </w:pPr>
      <w:r>
        <w:rPr>
          <w:rFonts w:ascii="Wingdings" w:eastAsia="Wingdings" w:hAnsi="Wingdings" w:cs="Wingdings"/>
          <w:noProof/>
        </w:rPr>
        <w:t></w:t>
      </w:r>
      <w:r>
        <w:rPr>
          <w:noProof/>
        </w:rPr>
        <w:tab/>
        <w:t xml:space="preserve">The proposal/initiative does not require the use of operational appropriations </w:t>
      </w:r>
    </w:p>
    <w:p w14:paraId="377C4F6A" w14:textId="77777777" w:rsidR="00625704" w:rsidRDefault="00625704" w:rsidP="00625704">
      <w:pPr>
        <w:pStyle w:val="ListDash1"/>
        <w:rPr>
          <w:noProof/>
        </w:rPr>
      </w:pPr>
      <w:r>
        <w:rPr>
          <w:rFonts w:ascii="Wingdings" w:eastAsia="Wingdings" w:hAnsi="Wingdings" w:cs="Wingdings"/>
          <w:noProof/>
        </w:rPr>
        <w:t></w:t>
      </w:r>
      <w:r>
        <w:rPr>
          <w:noProof/>
        </w:rPr>
        <w:tab/>
        <w:t>The proposal/initiative requires the use of operational appropriations, as explained below:</w:t>
      </w:r>
    </w:p>
    <w:p w14:paraId="36FF5E1D" w14:textId="77777777" w:rsidR="00625704" w:rsidRPr="003A769F" w:rsidRDefault="00625704" w:rsidP="00625704">
      <w:pPr>
        <w:jc w:val="right"/>
        <w:rPr>
          <w:noProof/>
          <w:sz w:val="18"/>
          <w:szCs w:val="18"/>
          <w:lang w:val="en-IE"/>
        </w:rPr>
      </w:pPr>
      <w:r w:rsidRPr="003A769F">
        <w:rPr>
          <w:noProof/>
          <w:sz w:val="18"/>
          <w:szCs w:val="18"/>
          <w:lang w:val="en-IE"/>
        </w:rPr>
        <w:t>EUR million (to three decimal places)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4"/>
        <w:gridCol w:w="1080"/>
        <w:gridCol w:w="7817"/>
      </w:tblGrid>
      <w:tr w:rsidR="00625704" w14:paraId="47CC665C" w14:textId="77777777" w:rsidTr="00C06A68">
        <w:trPr>
          <w:jc w:val="center"/>
        </w:trPr>
        <w:tc>
          <w:tcPr>
            <w:tcW w:w="4744" w:type="dxa"/>
            <w:shd w:val="thinDiagStripe" w:color="C0C0C0" w:fill="auto"/>
            <w:vAlign w:val="center"/>
          </w:tcPr>
          <w:p w14:paraId="7DCA58BF" w14:textId="77777777" w:rsidR="00625704" w:rsidRPr="003A769F" w:rsidRDefault="00625704" w:rsidP="00C06A68">
            <w:pPr>
              <w:spacing w:before="60" w:after="60"/>
              <w:jc w:val="center"/>
              <w:rPr>
                <w:b/>
                <w:noProof/>
                <w:lang w:val="en-IE"/>
              </w:rPr>
            </w:pPr>
            <w:r w:rsidRPr="003A769F">
              <w:rPr>
                <w:b/>
                <w:noProof/>
                <w:sz w:val="22"/>
                <w:lang w:val="en-IE"/>
              </w:rPr>
              <w:t xml:space="preserve">Heading of multiannual financial </w:t>
            </w:r>
            <w:r w:rsidRPr="003A769F">
              <w:rPr>
                <w:noProof/>
                <w:sz w:val="22"/>
                <w:lang w:val="en-IE"/>
              </w:rPr>
              <w:br/>
            </w:r>
            <w:r w:rsidRPr="003A769F">
              <w:rPr>
                <w:b/>
                <w:noProof/>
                <w:sz w:val="22"/>
                <w:lang w:val="en-IE"/>
              </w:rPr>
              <w:t xml:space="preserve">framework </w:t>
            </w:r>
          </w:p>
        </w:tc>
        <w:tc>
          <w:tcPr>
            <w:tcW w:w="1080" w:type="dxa"/>
            <w:vAlign w:val="center"/>
          </w:tcPr>
          <w:p w14:paraId="56BB8BE6" w14:textId="77777777" w:rsidR="00625704" w:rsidRDefault="00625704" w:rsidP="00C06A68">
            <w:pPr>
              <w:spacing w:before="60" w:after="60"/>
              <w:jc w:val="center"/>
              <w:rPr>
                <w:noProof/>
              </w:rPr>
            </w:pPr>
            <w:r>
              <w:rPr>
                <w:noProof/>
                <w:sz w:val="22"/>
              </w:rPr>
              <w:t>5</w:t>
            </w:r>
          </w:p>
        </w:tc>
        <w:tc>
          <w:tcPr>
            <w:tcW w:w="7817" w:type="dxa"/>
            <w:vAlign w:val="center"/>
          </w:tcPr>
          <w:p w14:paraId="73F2E1C6" w14:textId="77777777" w:rsidR="00625704" w:rsidRDefault="00625704" w:rsidP="00C06A68">
            <w:pPr>
              <w:spacing w:before="60" w:after="60"/>
              <w:rPr>
                <w:noProof/>
              </w:rPr>
            </w:pPr>
            <w:r>
              <w:rPr>
                <w:noProof/>
                <w:color w:val="000000" w:themeColor="text1"/>
              </w:rPr>
              <w:t>Security and Defence – Cluster 13 Defence</w:t>
            </w:r>
          </w:p>
        </w:tc>
      </w:tr>
    </w:tbl>
    <w:p w14:paraId="077FB3F6" w14:textId="77777777" w:rsidR="00625704" w:rsidRDefault="00625704" w:rsidP="00625704">
      <w:pPr>
        <w:rPr>
          <w:noProof/>
          <w:sz w:val="16"/>
        </w:rPr>
      </w:pPr>
    </w:p>
    <w:p w14:paraId="4927A45B" w14:textId="77777777" w:rsidR="00625704" w:rsidRDefault="00625704" w:rsidP="00625704">
      <w:pPr>
        <w:rPr>
          <w:noProof/>
          <w:sz w:val="16"/>
        </w:rPr>
      </w:pPr>
    </w:p>
    <w:tbl>
      <w:tblPr>
        <w:tblW w:w="11580" w:type="dxa"/>
        <w:jc w:val="cente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shd w:val="clear" w:color="auto" w:fill="CED7E7"/>
        <w:tblLayout w:type="fixed"/>
        <w:tblLook w:val="04A0" w:firstRow="1" w:lastRow="0" w:firstColumn="1" w:lastColumn="0" w:noHBand="0" w:noVBand="1"/>
      </w:tblPr>
      <w:tblGrid>
        <w:gridCol w:w="2110"/>
        <w:gridCol w:w="1132"/>
        <w:gridCol w:w="566"/>
        <w:gridCol w:w="850"/>
        <w:gridCol w:w="851"/>
        <w:gridCol w:w="850"/>
        <w:gridCol w:w="851"/>
        <w:gridCol w:w="850"/>
        <w:gridCol w:w="851"/>
        <w:gridCol w:w="850"/>
        <w:gridCol w:w="851"/>
        <w:gridCol w:w="968"/>
      </w:tblGrid>
      <w:tr w:rsidR="00625704" w14:paraId="13659DD9" w14:textId="77777777" w:rsidTr="00C06A68">
        <w:trPr>
          <w:trHeight w:val="803"/>
          <w:jc w:val="center"/>
        </w:trPr>
        <w:tc>
          <w:tcPr>
            <w:tcW w:w="3808" w:type="dxa"/>
            <w:gridSpan w:val="3"/>
            <w:tcBorders>
              <w:top w:val="nil"/>
              <w:left w:val="nil"/>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10D9158C" w14:textId="77777777" w:rsidR="00625704" w:rsidRDefault="00625704" w:rsidP="00C06A68">
            <w:pPr>
              <w:spacing w:line="276" w:lineRule="auto"/>
              <w:rPr>
                <w:noProof/>
                <w:color w:val="000000" w:themeColor="text1"/>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hideMark/>
          </w:tcPr>
          <w:p w14:paraId="731C5135" w14:textId="77777777" w:rsidR="00625704" w:rsidRDefault="00625704" w:rsidP="00C06A68">
            <w:pPr>
              <w:pStyle w:val="Body"/>
              <w:spacing w:line="276" w:lineRule="auto"/>
              <w:jc w:val="center"/>
              <w:rPr>
                <w:noProof/>
                <w:color w:val="000000" w:themeColor="text1"/>
              </w:rPr>
            </w:pPr>
            <w:r>
              <w:rPr>
                <w:rStyle w:val="ilfuvd"/>
                <w:rFonts w:eastAsiaTheme="majorEastAsia"/>
                <w:b/>
                <w:bCs/>
                <w:noProof/>
                <w:color w:val="000000" w:themeColor="text1"/>
                <w:sz w:val="20"/>
                <w:szCs w:val="20"/>
              </w:rPr>
              <w:t>2021</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hideMark/>
          </w:tcPr>
          <w:p w14:paraId="206444AF" w14:textId="77777777" w:rsidR="00625704" w:rsidRDefault="00625704" w:rsidP="00C06A68">
            <w:pPr>
              <w:pStyle w:val="Body"/>
              <w:spacing w:line="276" w:lineRule="auto"/>
              <w:jc w:val="center"/>
              <w:rPr>
                <w:noProof/>
                <w:color w:val="000000" w:themeColor="text1"/>
              </w:rPr>
            </w:pPr>
            <w:r>
              <w:rPr>
                <w:rStyle w:val="ilfuvd"/>
                <w:rFonts w:eastAsiaTheme="majorEastAsia"/>
                <w:b/>
                <w:bCs/>
                <w:noProof/>
                <w:color w:val="000000" w:themeColor="text1"/>
                <w:sz w:val="20"/>
                <w:szCs w:val="20"/>
              </w:rPr>
              <w:t>2022</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hideMark/>
          </w:tcPr>
          <w:p w14:paraId="41ABACBD" w14:textId="77777777" w:rsidR="00625704" w:rsidRDefault="00625704" w:rsidP="00C06A68">
            <w:pPr>
              <w:pStyle w:val="Body"/>
              <w:spacing w:line="276" w:lineRule="auto"/>
              <w:jc w:val="center"/>
              <w:rPr>
                <w:noProof/>
                <w:color w:val="000000" w:themeColor="text1"/>
              </w:rPr>
            </w:pPr>
            <w:r>
              <w:rPr>
                <w:rStyle w:val="ilfuvd"/>
                <w:rFonts w:eastAsiaTheme="majorEastAsia"/>
                <w:b/>
                <w:bCs/>
                <w:noProof/>
                <w:color w:val="000000" w:themeColor="text1"/>
                <w:sz w:val="20"/>
                <w:szCs w:val="20"/>
              </w:rPr>
              <w:t>2023</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hideMark/>
          </w:tcPr>
          <w:p w14:paraId="720EAD38" w14:textId="77777777" w:rsidR="00625704" w:rsidRDefault="00625704" w:rsidP="00C06A68">
            <w:pPr>
              <w:pStyle w:val="Body"/>
              <w:spacing w:line="276" w:lineRule="auto"/>
              <w:jc w:val="center"/>
              <w:rPr>
                <w:noProof/>
                <w:color w:val="000000" w:themeColor="text1"/>
              </w:rPr>
            </w:pPr>
            <w:r>
              <w:rPr>
                <w:rStyle w:val="ilfuvd"/>
                <w:rFonts w:eastAsiaTheme="majorEastAsia"/>
                <w:b/>
                <w:bCs/>
                <w:noProof/>
                <w:color w:val="000000" w:themeColor="text1"/>
                <w:sz w:val="20"/>
                <w:szCs w:val="20"/>
              </w:rPr>
              <w:t>2024</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hideMark/>
          </w:tcPr>
          <w:p w14:paraId="38182006" w14:textId="77777777" w:rsidR="00625704" w:rsidRDefault="00625704" w:rsidP="00C06A68">
            <w:pPr>
              <w:pStyle w:val="Body"/>
              <w:spacing w:line="276" w:lineRule="auto"/>
              <w:jc w:val="center"/>
              <w:rPr>
                <w:noProof/>
                <w:color w:val="000000" w:themeColor="text1"/>
              </w:rPr>
            </w:pPr>
            <w:r>
              <w:rPr>
                <w:rStyle w:val="ilfuvd"/>
                <w:rFonts w:eastAsiaTheme="majorEastAsia"/>
                <w:b/>
                <w:bCs/>
                <w:noProof/>
                <w:color w:val="000000" w:themeColor="text1"/>
                <w:sz w:val="18"/>
                <w:szCs w:val="18"/>
              </w:rPr>
              <w:t>2025</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hideMark/>
          </w:tcPr>
          <w:p w14:paraId="10916890" w14:textId="77777777" w:rsidR="00625704" w:rsidRDefault="00625704" w:rsidP="00C06A68">
            <w:pPr>
              <w:pStyle w:val="Body"/>
              <w:spacing w:line="276" w:lineRule="auto"/>
              <w:jc w:val="center"/>
              <w:rPr>
                <w:noProof/>
                <w:color w:val="000000" w:themeColor="text1"/>
              </w:rPr>
            </w:pPr>
            <w:r>
              <w:rPr>
                <w:rStyle w:val="ilfuvd"/>
                <w:rFonts w:eastAsiaTheme="majorEastAsia"/>
                <w:b/>
                <w:bCs/>
                <w:noProof/>
                <w:color w:val="000000" w:themeColor="text1"/>
                <w:sz w:val="18"/>
                <w:szCs w:val="18"/>
              </w:rPr>
              <w:t>2026</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hideMark/>
          </w:tcPr>
          <w:p w14:paraId="356522BF" w14:textId="77777777" w:rsidR="00625704" w:rsidRDefault="00625704" w:rsidP="00C06A68">
            <w:pPr>
              <w:pStyle w:val="Body"/>
              <w:spacing w:line="276" w:lineRule="auto"/>
              <w:jc w:val="center"/>
              <w:rPr>
                <w:noProof/>
                <w:color w:val="000000" w:themeColor="text1"/>
              </w:rPr>
            </w:pPr>
            <w:r>
              <w:rPr>
                <w:rStyle w:val="ilfuvd"/>
                <w:rFonts w:eastAsiaTheme="majorEastAsia"/>
                <w:b/>
                <w:bCs/>
                <w:noProof/>
                <w:color w:val="000000" w:themeColor="text1"/>
                <w:sz w:val="18"/>
                <w:szCs w:val="18"/>
              </w:rPr>
              <w:t>2027</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hideMark/>
          </w:tcPr>
          <w:p w14:paraId="03F2C957" w14:textId="77777777" w:rsidR="00625704" w:rsidRDefault="00625704" w:rsidP="00C06A68">
            <w:pPr>
              <w:pStyle w:val="Body"/>
              <w:spacing w:line="276" w:lineRule="auto"/>
              <w:jc w:val="center"/>
              <w:rPr>
                <w:noProof/>
                <w:color w:val="000000" w:themeColor="text1"/>
              </w:rPr>
            </w:pPr>
            <w:r>
              <w:rPr>
                <w:rStyle w:val="ilfuvd"/>
                <w:rFonts w:eastAsiaTheme="majorEastAsia"/>
                <w:b/>
                <w:bCs/>
                <w:i/>
                <w:iCs/>
                <w:noProof/>
                <w:color w:val="000000" w:themeColor="text1"/>
                <w:sz w:val="20"/>
                <w:szCs w:val="20"/>
              </w:rPr>
              <w:t>Post 2027</w:t>
            </w:r>
          </w:p>
        </w:tc>
        <w:tc>
          <w:tcPr>
            <w:tcW w:w="9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hideMark/>
          </w:tcPr>
          <w:p w14:paraId="1422BAD1" w14:textId="77777777" w:rsidR="00625704" w:rsidRDefault="00625704" w:rsidP="00C06A68">
            <w:pPr>
              <w:pStyle w:val="Body"/>
              <w:spacing w:line="276" w:lineRule="auto"/>
              <w:jc w:val="center"/>
              <w:rPr>
                <w:noProof/>
                <w:color w:val="000000" w:themeColor="text1"/>
              </w:rPr>
            </w:pPr>
            <w:r>
              <w:rPr>
                <w:rStyle w:val="ilfuvd"/>
                <w:rFonts w:eastAsiaTheme="majorEastAsia"/>
                <w:noProof/>
                <w:color w:val="000000" w:themeColor="text1"/>
              </w:rPr>
              <w:t>TOTAL</w:t>
            </w:r>
          </w:p>
        </w:tc>
      </w:tr>
      <w:tr w:rsidR="00625704" w14:paraId="7A1CD345" w14:textId="77777777" w:rsidTr="00C06A68">
        <w:trPr>
          <w:trHeight w:val="363"/>
          <w:jc w:val="center"/>
        </w:trPr>
        <w:tc>
          <w:tcPr>
            <w:tcW w:w="2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hideMark/>
          </w:tcPr>
          <w:p w14:paraId="3C6550F8" w14:textId="111FD78D" w:rsidR="00625704" w:rsidRDefault="00625704" w:rsidP="00C06A68">
            <w:pPr>
              <w:pStyle w:val="Body"/>
              <w:spacing w:line="276" w:lineRule="auto"/>
              <w:jc w:val="left"/>
              <w:rPr>
                <w:noProof/>
                <w:color w:val="000000" w:themeColor="text1"/>
                <w:sz w:val="16"/>
              </w:rPr>
            </w:pPr>
            <w:r>
              <w:rPr>
                <w:rStyle w:val="ilfuvd"/>
                <w:rFonts w:eastAsia="Arial Unicode MS" w:cs="Arial Unicode MS"/>
                <w:noProof/>
                <w:color w:val="000000" w:themeColor="text1"/>
                <w:sz w:val="16"/>
                <w:szCs w:val="16"/>
              </w:rPr>
              <w:t>13.0801</w:t>
            </w:r>
            <w:r>
              <w:rPr>
                <w:rStyle w:val="ilfuvd"/>
                <w:rFonts w:eastAsia="Arial Unicode MS"/>
                <w:noProof/>
                <w:color w:val="000000" w:themeColor="text1"/>
                <w:sz w:val="16"/>
              </w:rPr>
              <w:t xml:space="preserve"> Operational appropriations EDIP - Programme</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hideMark/>
          </w:tcPr>
          <w:p w14:paraId="15E00A58" w14:textId="77777777" w:rsidR="00625704" w:rsidRDefault="00625704" w:rsidP="00C06A68">
            <w:pPr>
              <w:pStyle w:val="Body"/>
              <w:spacing w:before="20" w:after="20" w:line="276" w:lineRule="auto"/>
              <w:jc w:val="left"/>
              <w:rPr>
                <w:noProof/>
                <w:color w:val="000000" w:themeColor="text1"/>
                <w:sz w:val="16"/>
              </w:rPr>
            </w:pPr>
            <w:r>
              <w:rPr>
                <w:rStyle w:val="ilfuvd"/>
                <w:rFonts w:eastAsiaTheme="majorEastAsia"/>
                <w:noProof/>
                <w:color w:val="000000" w:themeColor="text1"/>
                <w:sz w:val="16"/>
              </w:rPr>
              <w:t>Commitments</w:t>
            </w:r>
          </w:p>
        </w:tc>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hideMark/>
          </w:tcPr>
          <w:p w14:paraId="4EF99A0D" w14:textId="77777777" w:rsidR="00625704" w:rsidRDefault="00625704" w:rsidP="00C06A68">
            <w:pPr>
              <w:pStyle w:val="Body"/>
              <w:spacing w:before="20" w:after="20" w:line="276" w:lineRule="auto"/>
              <w:jc w:val="center"/>
              <w:rPr>
                <w:noProof/>
                <w:color w:val="000000" w:themeColor="text1"/>
              </w:rPr>
            </w:pPr>
            <w:r>
              <w:rPr>
                <w:rStyle w:val="ilfuvd"/>
                <w:rFonts w:eastAsiaTheme="majorEastAsia"/>
                <w:noProof/>
                <w:color w:val="000000" w:themeColor="text1"/>
                <w:sz w:val="14"/>
                <w:szCs w:val="14"/>
              </w:rPr>
              <w:t>(1)</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5897B485" w14:textId="77777777" w:rsidR="00625704" w:rsidRDefault="00625704" w:rsidP="00C06A68">
            <w:pPr>
              <w:pStyle w:val="Body"/>
              <w:spacing w:before="20" w:after="20" w:line="276" w:lineRule="auto"/>
              <w:jc w:val="center"/>
              <w:rPr>
                <w:rStyle w:val="ilfuvd"/>
                <w:rFonts w:eastAsiaTheme="majorEastAsia"/>
                <w:noProof/>
                <w:sz w:val="16"/>
                <w:szCs w:val="16"/>
              </w:rPr>
            </w:pPr>
          </w:p>
          <w:p w14:paraId="4EF53D50" w14:textId="77777777" w:rsidR="00625704" w:rsidRDefault="00625704" w:rsidP="00C06A68">
            <w:pPr>
              <w:pStyle w:val="Body"/>
              <w:spacing w:before="20" w:after="20" w:line="276" w:lineRule="auto"/>
              <w:jc w:val="center"/>
              <w:rPr>
                <w:rStyle w:val="ilfuvd"/>
                <w:rFonts w:eastAsiaTheme="majorEastAsia"/>
                <w:noProof/>
                <w:color w:val="000000" w:themeColor="text1"/>
                <w:sz w:val="16"/>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hideMark/>
          </w:tcPr>
          <w:p w14:paraId="313E0E97" w14:textId="77777777" w:rsidR="00625704" w:rsidRDefault="00625704" w:rsidP="00C06A68">
            <w:pPr>
              <w:pStyle w:val="Body"/>
              <w:spacing w:before="20" w:after="20" w:line="276" w:lineRule="auto"/>
              <w:jc w:val="center"/>
              <w:rPr>
                <w:rStyle w:val="ilfuvd"/>
                <w:rFonts w:eastAsiaTheme="majorEastAsia"/>
                <w:noProof/>
                <w:color w:val="000000" w:themeColor="text1"/>
                <w:sz w:val="16"/>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34C2793E" w14:textId="77777777" w:rsidR="00625704" w:rsidRDefault="00625704" w:rsidP="00C06A68">
            <w:pPr>
              <w:pStyle w:val="Body"/>
              <w:spacing w:before="20" w:after="20" w:line="276" w:lineRule="auto"/>
              <w:jc w:val="center"/>
              <w:rPr>
                <w:rStyle w:val="ilfuvd"/>
                <w:rFonts w:eastAsiaTheme="majorEastAsia"/>
                <w:noProof/>
                <w:color w:val="000000" w:themeColor="text1"/>
                <w:sz w:val="16"/>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23B216D1" w14:textId="77777777" w:rsidR="00625704" w:rsidRDefault="00625704" w:rsidP="00C06A68">
            <w:pPr>
              <w:pStyle w:val="Body"/>
              <w:spacing w:before="20" w:after="20" w:line="276" w:lineRule="auto"/>
              <w:jc w:val="center"/>
              <w:rPr>
                <w:rStyle w:val="ilfuvd"/>
                <w:rFonts w:eastAsiaTheme="majorEastAsia"/>
                <w:noProof/>
                <w:color w:val="000000" w:themeColor="text1"/>
                <w:sz w:val="16"/>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02221ADC" w14:textId="77777777" w:rsidR="00625704" w:rsidRDefault="00625704" w:rsidP="00C06A68">
            <w:pPr>
              <w:pStyle w:val="Body"/>
              <w:spacing w:before="20" w:after="20" w:line="276" w:lineRule="auto"/>
              <w:jc w:val="center"/>
              <w:rPr>
                <w:rStyle w:val="ilfuvd"/>
                <w:rFonts w:eastAsiaTheme="majorEastAsia"/>
                <w:noProof/>
                <w:color w:val="000000" w:themeColor="text1"/>
                <w:sz w:val="16"/>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hideMark/>
          </w:tcPr>
          <w:p w14:paraId="716D0F9C" w14:textId="77777777" w:rsidR="00625704" w:rsidRDefault="00625704" w:rsidP="00C06A68">
            <w:pPr>
              <w:pStyle w:val="Body"/>
              <w:spacing w:before="20" w:after="20" w:line="276" w:lineRule="auto"/>
              <w:jc w:val="center"/>
              <w:rPr>
                <w:rStyle w:val="ilfuvd"/>
                <w:rFonts w:eastAsiaTheme="majorEastAsia"/>
                <w:noProof/>
                <w:color w:val="000000" w:themeColor="text1"/>
                <w:sz w:val="16"/>
              </w:rPr>
            </w:pPr>
            <w:r>
              <w:rPr>
                <w:rStyle w:val="ilfuvd"/>
                <w:rFonts w:eastAsiaTheme="majorEastAsia"/>
                <w:noProof/>
                <w:color w:val="000000" w:themeColor="text1"/>
                <w:sz w:val="16"/>
                <w:szCs w:val="16"/>
              </w:rPr>
              <w:t>615.248</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hideMark/>
          </w:tcPr>
          <w:p w14:paraId="7FFCBB85" w14:textId="77777777" w:rsidR="00625704" w:rsidRDefault="00625704" w:rsidP="00C06A68">
            <w:pPr>
              <w:pStyle w:val="Body"/>
              <w:spacing w:before="20" w:after="20" w:line="276" w:lineRule="auto"/>
              <w:jc w:val="center"/>
              <w:rPr>
                <w:rStyle w:val="ilfuvd"/>
                <w:rFonts w:eastAsiaTheme="majorEastAsia"/>
                <w:noProof/>
                <w:color w:val="000000" w:themeColor="text1"/>
                <w:sz w:val="16"/>
                <w:szCs w:val="16"/>
              </w:rPr>
            </w:pPr>
            <w:r>
              <w:rPr>
                <w:rStyle w:val="ilfuvd"/>
                <w:rFonts w:eastAsiaTheme="majorEastAsia"/>
                <w:noProof/>
                <w:color w:val="000000" w:themeColor="text1"/>
                <w:sz w:val="16"/>
                <w:szCs w:val="16"/>
              </w:rPr>
              <w:t>872.09</w:t>
            </w:r>
            <w:r w:rsidR="0012618A">
              <w:rPr>
                <w:rStyle w:val="ilfuvd"/>
                <w:rFonts w:eastAsiaTheme="majorEastAsia"/>
                <w:noProof/>
                <w:color w:val="000000" w:themeColor="text1"/>
                <w:sz w:val="16"/>
                <w:szCs w:val="16"/>
              </w:rPr>
              <w:t>6</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1DB2EB28" w14:textId="77777777" w:rsidR="00625704" w:rsidRDefault="00625704" w:rsidP="00C06A68">
            <w:pPr>
              <w:pStyle w:val="Body"/>
              <w:spacing w:before="20" w:after="20" w:line="276" w:lineRule="auto"/>
              <w:jc w:val="center"/>
              <w:rPr>
                <w:rStyle w:val="ilfuvd"/>
                <w:rFonts w:eastAsiaTheme="majorEastAsia"/>
                <w:noProof/>
                <w:color w:val="000000" w:themeColor="text1"/>
                <w:sz w:val="16"/>
                <w:szCs w:val="16"/>
              </w:rPr>
            </w:pPr>
          </w:p>
        </w:tc>
        <w:tc>
          <w:tcPr>
            <w:tcW w:w="9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hideMark/>
          </w:tcPr>
          <w:p w14:paraId="73F43186" w14:textId="77777777" w:rsidR="00625704" w:rsidRDefault="00625704" w:rsidP="00C06A68">
            <w:pPr>
              <w:pStyle w:val="Body"/>
              <w:spacing w:before="20" w:after="20" w:line="276" w:lineRule="auto"/>
              <w:jc w:val="center"/>
              <w:rPr>
                <w:rStyle w:val="ilfuvd"/>
                <w:rFonts w:eastAsiaTheme="majorEastAsia"/>
                <w:b/>
                <w:bCs/>
                <w:noProof/>
                <w:color w:val="000000" w:themeColor="text1"/>
                <w:sz w:val="16"/>
                <w:szCs w:val="16"/>
              </w:rPr>
            </w:pPr>
            <w:r>
              <w:rPr>
                <w:rStyle w:val="ilfuvd"/>
                <w:rFonts w:eastAsiaTheme="majorEastAsia"/>
                <w:b/>
                <w:bCs/>
                <w:noProof/>
                <w:color w:val="000000" w:themeColor="text1"/>
                <w:sz w:val="16"/>
                <w:szCs w:val="16"/>
              </w:rPr>
              <w:t>1.487.34</w:t>
            </w:r>
            <w:r w:rsidR="0012618A">
              <w:rPr>
                <w:rStyle w:val="ilfuvd"/>
                <w:rFonts w:eastAsiaTheme="majorEastAsia"/>
                <w:b/>
                <w:bCs/>
                <w:noProof/>
                <w:color w:val="000000" w:themeColor="text1"/>
                <w:sz w:val="16"/>
                <w:szCs w:val="16"/>
              </w:rPr>
              <w:t>4</w:t>
            </w:r>
          </w:p>
        </w:tc>
      </w:tr>
      <w:tr w:rsidR="00625704" w14:paraId="1C438EA4" w14:textId="77777777" w:rsidTr="00C06A68">
        <w:trPr>
          <w:trHeight w:val="491"/>
          <w:jc w:val="center"/>
        </w:trPr>
        <w:tc>
          <w:tcPr>
            <w:tcW w:w="2110" w:type="dxa"/>
            <w:tcBorders>
              <w:top w:val="single" w:sz="4" w:space="0" w:color="000000"/>
              <w:left w:val="single" w:sz="4" w:space="0" w:color="000000"/>
              <w:bottom w:val="single" w:sz="4" w:space="0" w:color="000000"/>
              <w:right w:val="single" w:sz="4" w:space="0" w:color="000000"/>
            </w:tcBorders>
            <w:shd w:val="clear" w:color="auto" w:fill="auto"/>
          </w:tcPr>
          <w:p w14:paraId="3EE1E5FE" w14:textId="77777777" w:rsidR="00625704" w:rsidRDefault="00625704" w:rsidP="00C06A68">
            <w:pPr>
              <w:spacing w:line="276" w:lineRule="auto"/>
              <w:rPr>
                <w:noProof/>
              </w:rPr>
            </w:pP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hideMark/>
          </w:tcPr>
          <w:p w14:paraId="7B4118B6" w14:textId="77777777" w:rsidR="00625704" w:rsidRDefault="00625704" w:rsidP="00C06A68">
            <w:pPr>
              <w:pStyle w:val="Body"/>
              <w:spacing w:before="20" w:after="20" w:line="276" w:lineRule="auto"/>
              <w:jc w:val="left"/>
              <w:rPr>
                <w:noProof/>
                <w:color w:val="000000" w:themeColor="text1"/>
                <w:sz w:val="16"/>
              </w:rPr>
            </w:pPr>
            <w:r>
              <w:rPr>
                <w:rStyle w:val="ilfuvd"/>
                <w:rFonts w:eastAsiaTheme="majorEastAsia"/>
                <w:noProof/>
                <w:color w:val="000000" w:themeColor="text1"/>
                <w:sz w:val="16"/>
              </w:rPr>
              <w:t>Payments</w:t>
            </w:r>
          </w:p>
        </w:tc>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hideMark/>
          </w:tcPr>
          <w:p w14:paraId="0B5DFD59" w14:textId="77777777" w:rsidR="00625704" w:rsidRDefault="00625704" w:rsidP="00C06A68">
            <w:pPr>
              <w:pStyle w:val="Body"/>
              <w:spacing w:before="20" w:after="20" w:line="276" w:lineRule="auto"/>
              <w:jc w:val="center"/>
              <w:rPr>
                <w:noProof/>
                <w:color w:val="000000" w:themeColor="text1"/>
                <w:sz w:val="14"/>
              </w:rPr>
            </w:pPr>
            <w:r>
              <w:rPr>
                <w:rStyle w:val="ilfuvd"/>
                <w:rFonts w:eastAsiaTheme="majorEastAsia"/>
                <w:noProof/>
                <w:color w:val="000000" w:themeColor="text1"/>
                <w:szCs w:val="14"/>
              </w:rPr>
              <w:t>(</w:t>
            </w:r>
            <w:r>
              <w:rPr>
                <w:rStyle w:val="ilfuvd"/>
                <w:rFonts w:eastAsiaTheme="majorEastAsia"/>
                <w:noProof/>
                <w:color w:val="000000" w:themeColor="text1"/>
                <w:sz w:val="14"/>
                <w:szCs w:val="14"/>
              </w:rPr>
              <w:t>2</w:t>
            </w:r>
            <w:r>
              <w:rPr>
                <w:rStyle w:val="ilfuvd"/>
                <w:rFonts w:eastAsiaTheme="majorEastAsia"/>
                <w:noProof/>
                <w:color w:val="000000" w:themeColor="text1"/>
                <w:szCs w:val="14"/>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2FCD034B" w14:textId="77777777" w:rsidR="00625704" w:rsidRDefault="00625704" w:rsidP="00C06A68">
            <w:pPr>
              <w:pStyle w:val="Body"/>
              <w:spacing w:before="20" w:after="20" w:line="276" w:lineRule="auto"/>
              <w:jc w:val="center"/>
              <w:rPr>
                <w:rStyle w:val="ilfuvd"/>
                <w:rFonts w:eastAsiaTheme="majorEastAsia"/>
                <w:noProof/>
                <w:sz w:val="16"/>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6704246B" w14:textId="77777777" w:rsidR="00625704" w:rsidRDefault="00625704" w:rsidP="00C06A68">
            <w:pPr>
              <w:pStyle w:val="Body"/>
              <w:spacing w:before="20" w:after="20" w:line="276" w:lineRule="auto"/>
              <w:jc w:val="center"/>
              <w:rPr>
                <w:rStyle w:val="ilfuvd"/>
                <w:rFonts w:eastAsiaTheme="majorEastAsia"/>
                <w:noProof/>
                <w:color w:val="000000" w:themeColor="text1"/>
                <w:sz w:val="16"/>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24F60459" w14:textId="77777777" w:rsidR="00625704" w:rsidRDefault="00625704" w:rsidP="00C06A68">
            <w:pPr>
              <w:pStyle w:val="Body"/>
              <w:spacing w:before="20" w:after="20" w:line="276" w:lineRule="auto"/>
              <w:jc w:val="center"/>
              <w:rPr>
                <w:rStyle w:val="ilfuvd"/>
                <w:rFonts w:eastAsiaTheme="majorEastAsia"/>
                <w:noProof/>
                <w:color w:val="000000" w:themeColor="text1"/>
                <w:sz w:val="16"/>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0D119E41" w14:textId="77777777" w:rsidR="00625704" w:rsidRDefault="00625704" w:rsidP="00C06A68">
            <w:pPr>
              <w:pStyle w:val="Body"/>
              <w:spacing w:before="20" w:after="20" w:line="276" w:lineRule="auto"/>
              <w:jc w:val="center"/>
              <w:rPr>
                <w:rStyle w:val="ilfuvd"/>
                <w:rFonts w:eastAsiaTheme="majorEastAsia"/>
                <w:noProof/>
                <w:color w:val="000000" w:themeColor="text1"/>
                <w:sz w:val="16"/>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77F0E7DF" w14:textId="77777777" w:rsidR="00625704" w:rsidRDefault="00625704" w:rsidP="00C06A68">
            <w:pPr>
              <w:pStyle w:val="Body"/>
              <w:spacing w:before="20" w:after="20" w:line="276" w:lineRule="auto"/>
              <w:jc w:val="center"/>
              <w:rPr>
                <w:rStyle w:val="ilfuvd"/>
                <w:rFonts w:eastAsiaTheme="majorEastAsia"/>
                <w:noProof/>
                <w:color w:val="000000" w:themeColor="text1"/>
                <w:sz w:val="16"/>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hideMark/>
          </w:tcPr>
          <w:p w14:paraId="6FFC420E" w14:textId="77777777" w:rsidR="00625704" w:rsidRPr="006D2565" w:rsidRDefault="00625704" w:rsidP="00C06A68">
            <w:pPr>
              <w:pStyle w:val="Body"/>
              <w:spacing w:before="20" w:after="20" w:line="276" w:lineRule="auto"/>
              <w:jc w:val="center"/>
              <w:rPr>
                <w:rStyle w:val="ilfuvd"/>
                <w:rFonts w:eastAsiaTheme="majorEastAsia"/>
                <w:noProof/>
                <w:color w:val="000000" w:themeColor="text1"/>
                <w:sz w:val="16"/>
              </w:rPr>
            </w:pPr>
            <w:r w:rsidRPr="006D2565">
              <w:rPr>
                <w:rStyle w:val="ilfuvd"/>
                <w:rFonts w:eastAsiaTheme="majorEastAsia"/>
                <w:noProof/>
                <w:color w:val="000000" w:themeColor="text1"/>
                <w:sz w:val="16"/>
                <w:szCs w:val="16"/>
              </w:rPr>
              <w:t>310.000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hideMark/>
          </w:tcPr>
          <w:p w14:paraId="3B7F1097" w14:textId="77777777" w:rsidR="00625704" w:rsidRPr="006D2565" w:rsidRDefault="00625704" w:rsidP="00C06A68">
            <w:pPr>
              <w:pStyle w:val="Body"/>
              <w:spacing w:before="20" w:after="20" w:line="276" w:lineRule="auto"/>
              <w:jc w:val="center"/>
              <w:rPr>
                <w:rStyle w:val="ilfuvd"/>
                <w:rFonts w:eastAsiaTheme="majorEastAsia"/>
                <w:noProof/>
                <w:color w:val="000000" w:themeColor="text1"/>
                <w:sz w:val="16"/>
              </w:rPr>
            </w:pPr>
            <w:r w:rsidRPr="006D2565">
              <w:rPr>
                <w:rStyle w:val="ilfuvd"/>
                <w:rFonts w:eastAsiaTheme="majorEastAsia"/>
                <w:noProof/>
                <w:color w:val="000000" w:themeColor="text1"/>
                <w:sz w:val="16"/>
                <w:szCs w:val="16"/>
              </w:rPr>
              <w:t>440.000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hideMark/>
          </w:tcPr>
          <w:p w14:paraId="14AC544A" w14:textId="77777777" w:rsidR="00625704" w:rsidRPr="006D2565" w:rsidRDefault="00625704" w:rsidP="00C06A68">
            <w:pPr>
              <w:pStyle w:val="Body"/>
              <w:spacing w:before="20" w:after="20" w:line="276" w:lineRule="auto"/>
              <w:jc w:val="center"/>
              <w:rPr>
                <w:rStyle w:val="ilfuvd"/>
                <w:rFonts w:eastAsiaTheme="majorEastAsia"/>
                <w:noProof/>
                <w:color w:val="000000" w:themeColor="text1"/>
                <w:sz w:val="16"/>
              </w:rPr>
            </w:pPr>
            <w:r w:rsidRPr="006D2565">
              <w:rPr>
                <w:rStyle w:val="ilfuvd"/>
                <w:rFonts w:eastAsiaTheme="majorEastAsia"/>
                <w:noProof/>
                <w:color w:val="000000" w:themeColor="text1"/>
                <w:sz w:val="16"/>
                <w:szCs w:val="16"/>
              </w:rPr>
              <w:t>737.3</w:t>
            </w:r>
            <w:r w:rsidR="0012618A">
              <w:rPr>
                <w:rStyle w:val="ilfuvd"/>
                <w:rFonts w:eastAsiaTheme="majorEastAsia"/>
                <w:noProof/>
                <w:color w:val="000000" w:themeColor="text1"/>
                <w:sz w:val="16"/>
                <w:szCs w:val="16"/>
              </w:rPr>
              <w:t>44</w:t>
            </w:r>
          </w:p>
        </w:tc>
        <w:tc>
          <w:tcPr>
            <w:tcW w:w="9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hideMark/>
          </w:tcPr>
          <w:p w14:paraId="322A4FC9" w14:textId="77777777" w:rsidR="00625704" w:rsidRDefault="00625704" w:rsidP="00C06A68">
            <w:pPr>
              <w:pStyle w:val="Body"/>
              <w:spacing w:before="20" w:after="20" w:line="276" w:lineRule="auto"/>
              <w:jc w:val="center"/>
              <w:rPr>
                <w:rFonts w:eastAsiaTheme="majorEastAsia"/>
                <w:noProof/>
              </w:rPr>
            </w:pPr>
            <w:r>
              <w:rPr>
                <w:rStyle w:val="ilfuvd"/>
                <w:rFonts w:eastAsiaTheme="majorEastAsia"/>
                <w:b/>
                <w:bCs/>
                <w:noProof/>
                <w:color w:val="000000" w:themeColor="text1"/>
                <w:sz w:val="16"/>
                <w:szCs w:val="16"/>
              </w:rPr>
              <w:t>1.487.34</w:t>
            </w:r>
            <w:r w:rsidR="0012618A">
              <w:rPr>
                <w:rStyle w:val="ilfuvd"/>
                <w:rFonts w:eastAsiaTheme="majorEastAsia"/>
                <w:b/>
                <w:bCs/>
                <w:noProof/>
                <w:color w:val="000000" w:themeColor="text1"/>
                <w:sz w:val="16"/>
                <w:szCs w:val="16"/>
              </w:rPr>
              <w:t>4</w:t>
            </w:r>
          </w:p>
        </w:tc>
      </w:tr>
      <w:tr w:rsidR="00625704" w14:paraId="5FFA17DA" w14:textId="77777777" w:rsidTr="00C06A68">
        <w:trPr>
          <w:trHeight w:val="800"/>
          <w:jc w:val="center"/>
        </w:trPr>
        <w:tc>
          <w:tcPr>
            <w:tcW w:w="2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hideMark/>
          </w:tcPr>
          <w:p w14:paraId="66C3DB07" w14:textId="1FEDAB15" w:rsidR="00625704" w:rsidRDefault="00625704" w:rsidP="00C06A68">
            <w:pPr>
              <w:pStyle w:val="Body"/>
              <w:spacing w:before="20" w:after="20" w:line="276" w:lineRule="auto"/>
              <w:jc w:val="left"/>
              <w:rPr>
                <w:noProof/>
                <w:color w:val="000000" w:themeColor="text1"/>
                <w:sz w:val="16"/>
              </w:rPr>
            </w:pPr>
            <w:r>
              <w:rPr>
                <w:rStyle w:val="ilfuvd"/>
                <w:rFonts w:eastAsiaTheme="majorEastAsia"/>
                <w:noProof/>
                <w:color w:val="000000" w:themeColor="text1"/>
                <w:sz w:val="16"/>
                <w:szCs w:val="16"/>
              </w:rPr>
              <w:t>13.0106 – Support expenditure EDIP - Programme</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hideMark/>
          </w:tcPr>
          <w:p w14:paraId="02B69741" w14:textId="77777777" w:rsidR="00625704" w:rsidRDefault="00625704" w:rsidP="00C06A68">
            <w:pPr>
              <w:pStyle w:val="Body"/>
              <w:spacing w:before="40" w:after="40" w:line="276" w:lineRule="auto"/>
              <w:jc w:val="left"/>
              <w:rPr>
                <w:noProof/>
                <w:color w:val="000000" w:themeColor="text1"/>
                <w:sz w:val="16"/>
              </w:rPr>
            </w:pPr>
            <w:r>
              <w:rPr>
                <w:rStyle w:val="ilfuvd"/>
                <w:rFonts w:eastAsiaTheme="majorEastAsia"/>
                <w:noProof/>
                <w:color w:val="000000" w:themeColor="text1"/>
                <w:sz w:val="16"/>
              </w:rPr>
              <w:t>Commitments</w:t>
            </w:r>
            <w:r>
              <w:rPr>
                <w:rStyle w:val="ilfuvd"/>
                <w:rFonts w:eastAsiaTheme="majorEastAsia"/>
                <w:noProof/>
                <w:color w:val="000000" w:themeColor="text1"/>
                <w:sz w:val="16"/>
                <w:szCs w:val="16"/>
              </w:rPr>
              <w:t xml:space="preserve"> = Payments</w:t>
            </w:r>
          </w:p>
        </w:tc>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hideMark/>
          </w:tcPr>
          <w:p w14:paraId="31D547D2" w14:textId="77777777" w:rsidR="00625704" w:rsidRDefault="00625704" w:rsidP="00C06A68">
            <w:pPr>
              <w:pStyle w:val="Body"/>
              <w:spacing w:before="40" w:after="40" w:line="276" w:lineRule="auto"/>
              <w:jc w:val="center"/>
              <w:rPr>
                <w:noProof/>
                <w:color w:val="000000" w:themeColor="text1"/>
                <w:sz w:val="14"/>
              </w:rPr>
            </w:pPr>
            <w:r>
              <w:rPr>
                <w:rStyle w:val="ilfuvd"/>
                <w:rFonts w:eastAsiaTheme="majorEastAsia"/>
                <w:noProof/>
                <w:color w:val="000000" w:themeColor="text1"/>
                <w:szCs w:val="14"/>
              </w:rPr>
              <w:t>(</w:t>
            </w:r>
            <w:r>
              <w:rPr>
                <w:rStyle w:val="ilfuvd"/>
                <w:rFonts w:eastAsiaTheme="majorEastAsia"/>
                <w:noProof/>
                <w:color w:val="000000" w:themeColor="text1"/>
                <w:sz w:val="14"/>
                <w:szCs w:val="14"/>
              </w:rPr>
              <w:t>3</w:t>
            </w:r>
            <w:r>
              <w:rPr>
                <w:rStyle w:val="ilfuvd"/>
                <w:rFonts w:eastAsiaTheme="majorEastAsia"/>
                <w:noProof/>
                <w:color w:val="000000" w:themeColor="text1"/>
                <w:szCs w:val="14"/>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5E310766" w14:textId="77777777" w:rsidR="00625704" w:rsidRDefault="00625704" w:rsidP="00C06A68">
            <w:pPr>
              <w:pStyle w:val="Body"/>
              <w:spacing w:before="20" w:after="20" w:line="276" w:lineRule="auto"/>
              <w:jc w:val="center"/>
              <w:rPr>
                <w:rStyle w:val="ilfuvd"/>
                <w:rFonts w:eastAsiaTheme="majorEastAsia"/>
                <w:noProof/>
                <w:sz w:val="16"/>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19F5C92C" w14:textId="77777777" w:rsidR="00625704" w:rsidRDefault="00625704" w:rsidP="00C06A68">
            <w:pPr>
              <w:pStyle w:val="Body"/>
              <w:spacing w:before="20" w:after="20" w:line="276" w:lineRule="auto"/>
              <w:jc w:val="center"/>
              <w:rPr>
                <w:rStyle w:val="ilfuvd"/>
                <w:rFonts w:eastAsiaTheme="majorEastAsia"/>
                <w:noProof/>
                <w:color w:val="000000" w:themeColor="text1"/>
                <w:sz w:val="16"/>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05334CCB" w14:textId="77777777" w:rsidR="00625704" w:rsidRDefault="00625704" w:rsidP="00C06A68">
            <w:pPr>
              <w:pStyle w:val="Body"/>
              <w:spacing w:before="20" w:after="20" w:line="276" w:lineRule="auto"/>
              <w:jc w:val="center"/>
              <w:rPr>
                <w:rStyle w:val="ilfuvd"/>
                <w:rFonts w:eastAsiaTheme="majorEastAsia"/>
                <w:noProof/>
                <w:color w:val="000000" w:themeColor="text1"/>
                <w:sz w:val="16"/>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1C15B6E1" w14:textId="77777777" w:rsidR="00625704" w:rsidRDefault="00625704" w:rsidP="00C06A68">
            <w:pPr>
              <w:pStyle w:val="Body"/>
              <w:spacing w:before="20" w:after="20" w:line="276" w:lineRule="auto"/>
              <w:jc w:val="center"/>
              <w:rPr>
                <w:rStyle w:val="ilfuvd"/>
                <w:rFonts w:eastAsiaTheme="majorEastAsia"/>
                <w:noProof/>
                <w:color w:val="000000" w:themeColor="text1"/>
                <w:sz w:val="16"/>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081592E2" w14:textId="77777777" w:rsidR="00625704" w:rsidRDefault="00625704" w:rsidP="00C06A68">
            <w:pPr>
              <w:pStyle w:val="Body"/>
              <w:spacing w:before="20" w:after="20" w:line="276" w:lineRule="auto"/>
              <w:jc w:val="center"/>
              <w:rPr>
                <w:rStyle w:val="ilfuvd"/>
                <w:rFonts w:eastAsiaTheme="majorEastAsia"/>
                <w:noProof/>
                <w:color w:val="000000" w:themeColor="text1"/>
                <w:sz w:val="16"/>
              </w:rPr>
            </w:pPr>
            <w:r>
              <w:rPr>
                <w:rStyle w:val="ilfuvd"/>
                <w:rFonts w:eastAsiaTheme="majorEastAsia"/>
                <w:noProof/>
                <w:color w:val="000000" w:themeColor="text1"/>
                <w:sz w:val="16"/>
              </w:rPr>
              <w:t>3.552</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hideMark/>
          </w:tcPr>
          <w:p w14:paraId="3EB0A3F8" w14:textId="77777777" w:rsidR="00625704" w:rsidRDefault="00625704" w:rsidP="00C06A68">
            <w:pPr>
              <w:pStyle w:val="Body"/>
              <w:spacing w:before="20" w:after="20" w:line="276" w:lineRule="auto"/>
              <w:jc w:val="center"/>
              <w:rPr>
                <w:rStyle w:val="ilfuvd"/>
                <w:rFonts w:eastAsiaTheme="majorEastAsia"/>
                <w:noProof/>
                <w:color w:val="000000" w:themeColor="text1"/>
                <w:sz w:val="16"/>
              </w:rPr>
            </w:pPr>
            <w:r>
              <w:rPr>
                <w:rStyle w:val="ilfuvd"/>
                <w:rFonts w:eastAsiaTheme="majorEastAsia"/>
                <w:noProof/>
                <w:color w:val="000000" w:themeColor="text1"/>
                <w:sz w:val="16"/>
                <w:szCs w:val="16"/>
              </w:rPr>
              <w:t>4.552</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hideMark/>
          </w:tcPr>
          <w:p w14:paraId="198F3FF5" w14:textId="77777777" w:rsidR="00625704" w:rsidRDefault="00625704" w:rsidP="00C06A68">
            <w:pPr>
              <w:pStyle w:val="Body"/>
              <w:spacing w:before="20" w:after="20" w:line="276" w:lineRule="auto"/>
              <w:jc w:val="center"/>
              <w:rPr>
                <w:rStyle w:val="ilfuvd"/>
                <w:rFonts w:eastAsiaTheme="majorEastAsia"/>
                <w:noProof/>
                <w:color w:val="000000" w:themeColor="text1"/>
                <w:sz w:val="16"/>
              </w:rPr>
            </w:pPr>
            <w:r>
              <w:rPr>
                <w:rStyle w:val="ilfuvd"/>
                <w:rFonts w:eastAsiaTheme="majorEastAsia"/>
                <w:noProof/>
                <w:color w:val="000000" w:themeColor="text1"/>
                <w:sz w:val="16"/>
              </w:rPr>
              <w:t>4.552</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27954BD5" w14:textId="77777777" w:rsidR="00625704" w:rsidRDefault="00625704" w:rsidP="00C06A68">
            <w:pPr>
              <w:pStyle w:val="Body"/>
              <w:spacing w:before="20" w:after="20" w:line="276" w:lineRule="auto"/>
              <w:jc w:val="center"/>
              <w:rPr>
                <w:rFonts w:eastAsiaTheme="majorEastAsia"/>
                <w:noProof/>
              </w:rPr>
            </w:pPr>
          </w:p>
        </w:tc>
        <w:tc>
          <w:tcPr>
            <w:tcW w:w="9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hideMark/>
          </w:tcPr>
          <w:p w14:paraId="258AFC34" w14:textId="77777777" w:rsidR="00625704" w:rsidRDefault="00625704" w:rsidP="00C06A68">
            <w:pPr>
              <w:pStyle w:val="Body"/>
              <w:spacing w:before="20" w:after="20" w:line="276" w:lineRule="auto"/>
              <w:jc w:val="center"/>
              <w:rPr>
                <w:b/>
                <w:noProof/>
                <w:color w:val="000000" w:themeColor="text1"/>
              </w:rPr>
            </w:pPr>
            <w:r>
              <w:rPr>
                <w:rStyle w:val="ilfuvd"/>
                <w:rFonts w:eastAsiaTheme="majorEastAsia"/>
                <w:b/>
                <w:noProof/>
                <w:color w:val="000000" w:themeColor="text1"/>
                <w:sz w:val="16"/>
                <w:szCs w:val="16"/>
              </w:rPr>
              <w:t>12.65</w:t>
            </w:r>
            <w:r w:rsidR="0012618A">
              <w:rPr>
                <w:rStyle w:val="ilfuvd"/>
                <w:rFonts w:eastAsiaTheme="majorEastAsia"/>
                <w:b/>
                <w:noProof/>
                <w:color w:val="000000" w:themeColor="text1"/>
                <w:sz w:val="16"/>
                <w:szCs w:val="16"/>
              </w:rPr>
              <w:t>6</w:t>
            </w:r>
          </w:p>
        </w:tc>
      </w:tr>
      <w:tr w:rsidR="00625704" w14:paraId="4390CF4F" w14:textId="77777777" w:rsidTr="00C06A68">
        <w:trPr>
          <w:trHeight w:val="363"/>
          <w:jc w:val="center"/>
        </w:trPr>
        <w:tc>
          <w:tcPr>
            <w:tcW w:w="211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hideMark/>
          </w:tcPr>
          <w:p w14:paraId="1871F28B" w14:textId="106141FE" w:rsidR="00625704" w:rsidRDefault="00625704" w:rsidP="00C06A68">
            <w:pPr>
              <w:pStyle w:val="Body"/>
              <w:spacing w:line="276" w:lineRule="auto"/>
              <w:jc w:val="left"/>
              <w:rPr>
                <w:b/>
                <w:bCs/>
                <w:noProof/>
                <w:color w:val="000000" w:themeColor="text1"/>
                <w:sz w:val="16"/>
              </w:rPr>
            </w:pPr>
            <w:r>
              <w:rPr>
                <w:rStyle w:val="ilfuvd"/>
                <w:rFonts w:eastAsiaTheme="majorEastAsia"/>
                <w:b/>
                <w:bCs/>
                <w:noProof/>
                <w:color w:val="000000" w:themeColor="text1"/>
                <w:sz w:val="16"/>
              </w:rPr>
              <w:t>TOTAL appropriations for the envelop of the programme under heading 5</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hideMark/>
          </w:tcPr>
          <w:p w14:paraId="66728AFF" w14:textId="77777777" w:rsidR="00625704" w:rsidRDefault="00625704" w:rsidP="00C06A68">
            <w:pPr>
              <w:pStyle w:val="Body"/>
              <w:spacing w:line="276" w:lineRule="auto"/>
              <w:jc w:val="left"/>
              <w:rPr>
                <w:noProof/>
                <w:color w:val="000000" w:themeColor="text1"/>
                <w:sz w:val="16"/>
              </w:rPr>
            </w:pPr>
            <w:r>
              <w:rPr>
                <w:rStyle w:val="ilfuvd"/>
                <w:rFonts w:eastAsiaTheme="majorEastAsia"/>
                <w:noProof/>
                <w:color w:val="000000" w:themeColor="text1"/>
                <w:sz w:val="16"/>
              </w:rPr>
              <w:t>Commitments</w:t>
            </w:r>
          </w:p>
        </w:tc>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hideMark/>
          </w:tcPr>
          <w:p w14:paraId="534B43EF" w14:textId="77777777" w:rsidR="00625704" w:rsidRDefault="00625704" w:rsidP="00C06A68">
            <w:pPr>
              <w:pStyle w:val="Body"/>
              <w:spacing w:line="276" w:lineRule="auto"/>
              <w:jc w:val="center"/>
              <w:rPr>
                <w:noProof/>
                <w:color w:val="000000" w:themeColor="text1"/>
                <w:sz w:val="14"/>
              </w:rPr>
            </w:pPr>
            <w:r>
              <w:rPr>
                <w:rStyle w:val="ilfuvd"/>
                <w:rFonts w:eastAsiaTheme="majorEastAsia"/>
                <w:noProof/>
                <w:color w:val="000000" w:themeColor="text1"/>
                <w:szCs w:val="14"/>
              </w:rPr>
              <w:t>=</w:t>
            </w:r>
            <w:r>
              <w:rPr>
                <w:rStyle w:val="ilfuvd"/>
                <w:rFonts w:eastAsiaTheme="majorEastAsia"/>
                <w:noProof/>
                <w:color w:val="000000" w:themeColor="text1"/>
                <w:sz w:val="14"/>
                <w:szCs w:val="14"/>
              </w:rPr>
              <w:t>1</w:t>
            </w:r>
            <w:r>
              <w:rPr>
                <w:rStyle w:val="ilfuvd"/>
                <w:rFonts w:eastAsiaTheme="majorEastAsia"/>
                <w:noProof/>
                <w:color w:val="000000" w:themeColor="text1"/>
                <w:szCs w:val="14"/>
              </w:rPr>
              <w:t>+3</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097A05DD" w14:textId="77777777" w:rsidR="00625704" w:rsidRDefault="00625704" w:rsidP="00C06A68">
            <w:pPr>
              <w:pStyle w:val="Body"/>
              <w:spacing w:before="20" w:after="20" w:line="276" w:lineRule="auto"/>
              <w:jc w:val="center"/>
              <w:rPr>
                <w:rStyle w:val="ilfuvd"/>
                <w:rFonts w:eastAsiaTheme="majorEastAsia"/>
                <w:b/>
                <w:noProof/>
                <w:sz w:val="16"/>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293FA130" w14:textId="77777777" w:rsidR="00625704" w:rsidRDefault="00625704" w:rsidP="00C06A68">
            <w:pPr>
              <w:pStyle w:val="Body"/>
              <w:spacing w:before="20" w:after="20" w:line="276" w:lineRule="auto"/>
              <w:jc w:val="center"/>
              <w:rPr>
                <w:rStyle w:val="ilfuvd"/>
                <w:rFonts w:eastAsiaTheme="majorEastAsia"/>
                <w:b/>
                <w:noProof/>
                <w:color w:val="000000" w:themeColor="text1"/>
                <w:sz w:val="16"/>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0917873B" w14:textId="77777777" w:rsidR="00625704" w:rsidRDefault="00625704" w:rsidP="00C06A68">
            <w:pPr>
              <w:pStyle w:val="Body"/>
              <w:spacing w:before="20" w:after="20" w:line="276" w:lineRule="auto"/>
              <w:jc w:val="center"/>
              <w:rPr>
                <w:rStyle w:val="ilfuvd"/>
                <w:rFonts w:eastAsiaTheme="majorEastAsia"/>
                <w:b/>
                <w:noProof/>
                <w:color w:val="000000" w:themeColor="text1"/>
                <w:sz w:val="16"/>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66AB9F46" w14:textId="77777777" w:rsidR="00625704" w:rsidRDefault="00625704" w:rsidP="00C06A68">
            <w:pPr>
              <w:pStyle w:val="Body"/>
              <w:spacing w:before="20" w:after="20" w:line="276" w:lineRule="auto"/>
              <w:jc w:val="center"/>
              <w:rPr>
                <w:rStyle w:val="ilfuvd"/>
                <w:rFonts w:eastAsiaTheme="majorEastAsia"/>
                <w:b/>
                <w:noProof/>
                <w:color w:val="000000" w:themeColor="text1"/>
                <w:sz w:val="16"/>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hideMark/>
          </w:tcPr>
          <w:p w14:paraId="610A2D26" w14:textId="77777777" w:rsidR="00625704" w:rsidRDefault="00625704" w:rsidP="00C06A68">
            <w:pPr>
              <w:pStyle w:val="Body"/>
              <w:spacing w:before="20" w:after="20" w:line="276" w:lineRule="auto"/>
              <w:jc w:val="center"/>
              <w:rPr>
                <w:rStyle w:val="ilfuvd"/>
                <w:rFonts w:eastAsiaTheme="majorEastAsia"/>
                <w:b/>
                <w:noProof/>
                <w:color w:val="000000" w:themeColor="text1"/>
                <w:sz w:val="16"/>
              </w:rPr>
            </w:pPr>
            <w:r>
              <w:rPr>
                <w:rStyle w:val="ilfuvd"/>
                <w:rFonts w:eastAsiaTheme="majorEastAsia"/>
                <w:b/>
                <w:noProof/>
                <w:color w:val="000000" w:themeColor="text1"/>
                <w:sz w:val="16"/>
              </w:rPr>
              <w:t>3.552</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hideMark/>
          </w:tcPr>
          <w:p w14:paraId="5E72FA26" w14:textId="77777777" w:rsidR="00625704" w:rsidRDefault="00625704" w:rsidP="00C06A68">
            <w:pPr>
              <w:pStyle w:val="Body"/>
              <w:spacing w:before="20" w:after="20" w:line="276" w:lineRule="auto"/>
              <w:jc w:val="center"/>
              <w:rPr>
                <w:rStyle w:val="ilfuvd"/>
                <w:rFonts w:eastAsiaTheme="majorEastAsia"/>
                <w:b/>
                <w:noProof/>
                <w:color w:val="000000" w:themeColor="text1"/>
                <w:sz w:val="16"/>
              </w:rPr>
            </w:pPr>
            <w:r>
              <w:rPr>
                <w:rStyle w:val="ilfuvd"/>
                <w:rFonts w:eastAsiaTheme="majorEastAsia"/>
                <w:b/>
                <w:bCs/>
                <w:noProof/>
                <w:color w:val="000000" w:themeColor="text1"/>
                <w:sz w:val="16"/>
                <w:szCs w:val="16"/>
              </w:rPr>
              <w:t>619.800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hideMark/>
          </w:tcPr>
          <w:p w14:paraId="7BF35A7E" w14:textId="77777777" w:rsidR="00625704" w:rsidRDefault="00625704" w:rsidP="00C06A68">
            <w:pPr>
              <w:pStyle w:val="Body"/>
              <w:spacing w:before="20" w:after="20" w:line="276" w:lineRule="auto"/>
              <w:jc w:val="center"/>
              <w:rPr>
                <w:rStyle w:val="ilfuvd"/>
                <w:rFonts w:eastAsiaTheme="majorEastAsia"/>
                <w:noProof/>
                <w:color w:val="000000" w:themeColor="text1"/>
                <w:sz w:val="16"/>
              </w:rPr>
            </w:pPr>
            <w:r>
              <w:rPr>
                <w:rStyle w:val="ilfuvd"/>
                <w:rFonts w:eastAsiaTheme="majorEastAsia"/>
                <w:b/>
                <w:noProof/>
                <w:color w:val="000000" w:themeColor="text1"/>
                <w:sz w:val="16"/>
                <w:szCs w:val="16"/>
              </w:rPr>
              <w:t>876.648</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41E39A0C" w14:textId="77777777" w:rsidR="00625704" w:rsidRDefault="00625704" w:rsidP="00C06A68">
            <w:pPr>
              <w:pStyle w:val="Body"/>
              <w:spacing w:before="20" w:after="20" w:line="276" w:lineRule="auto"/>
              <w:jc w:val="center"/>
              <w:rPr>
                <w:rStyle w:val="ilfuvd"/>
                <w:rFonts w:eastAsiaTheme="majorEastAsia"/>
                <w:noProof/>
                <w:color w:val="000000" w:themeColor="text1"/>
                <w:sz w:val="16"/>
              </w:rPr>
            </w:pPr>
          </w:p>
        </w:tc>
        <w:tc>
          <w:tcPr>
            <w:tcW w:w="9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hideMark/>
          </w:tcPr>
          <w:p w14:paraId="53998504" w14:textId="77777777" w:rsidR="00625704" w:rsidRDefault="00625704" w:rsidP="00C06A68">
            <w:pPr>
              <w:pStyle w:val="Body"/>
              <w:spacing w:before="20" w:after="20" w:line="276" w:lineRule="auto"/>
              <w:jc w:val="center"/>
              <w:rPr>
                <w:rStyle w:val="ilfuvd"/>
                <w:rFonts w:eastAsiaTheme="majorEastAsia"/>
                <w:b/>
                <w:noProof/>
                <w:color w:val="000000" w:themeColor="text1"/>
                <w:sz w:val="16"/>
                <w:szCs w:val="16"/>
              </w:rPr>
            </w:pPr>
            <w:r>
              <w:rPr>
                <w:rStyle w:val="ilfuvd"/>
                <w:rFonts w:eastAsiaTheme="majorEastAsia"/>
                <w:b/>
                <w:bCs/>
                <w:noProof/>
                <w:color w:val="000000" w:themeColor="text1"/>
                <w:sz w:val="16"/>
                <w:szCs w:val="16"/>
              </w:rPr>
              <w:t>1.500.000</w:t>
            </w:r>
          </w:p>
        </w:tc>
      </w:tr>
      <w:tr w:rsidR="00625704" w14:paraId="1387FBBE" w14:textId="77777777" w:rsidTr="00C06A68">
        <w:trPr>
          <w:trHeight w:val="491"/>
          <w:jc w:val="center"/>
        </w:trPr>
        <w:tc>
          <w:tcPr>
            <w:tcW w:w="211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ED7E7"/>
            <w:vAlign w:val="center"/>
            <w:hideMark/>
          </w:tcPr>
          <w:p w14:paraId="256DCFE9" w14:textId="77777777" w:rsidR="00625704" w:rsidRDefault="00625704" w:rsidP="00C06A68">
            <w:pPr>
              <w:spacing w:before="0" w:after="0" w:line="276" w:lineRule="auto"/>
              <w:jc w:val="left"/>
              <w:rPr>
                <w:rFonts w:eastAsia="Times New Roman"/>
                <w:noProof/>
                <w:color w:val="000000" w:themeColor="text1"/>
                <w:sz w:val="16"/>
                <w:szCs w:val="24"/>
                <w:u w:color="000000"/>
                <w:lang w:eastAsia="en-GB"/>
              </w:rPr>
            </w:pP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hideMark/>
          </w:tcPr>
          <w:p w14:paraId="00CDD8B1" w14:textId="77777777" w:rsidR="00625704" w:rsidRDefault="00625704" w:rsidP="00C06A68">
            <w:pPr>
              <w:pStyle w:val="Body"/>
              <w:spacing w:line="276" w:lineRule="auto"/>
              <w:jc w:val="left"/>
              <w:rPr>
                <w:rFonts w:eastAsiaTheme="majorEastAsia"/>
                <w:noProof/>
              </w:rPr>
            </w:pPr>
            <w:r>
              <w:rPr>
                <w:rStyle w:val="ilfuvd"/>
                <w:rFonts w:eastAsiaTheme="majorEastAsia"/>
                <w:noProof/>
                <w:color w:val="000000" w:themeColor="text1"/>
                <w:sz w:val="16"/>
              </w:rPr>
              <w:t>Payments</w:t>
            </w:r>
          </w:p>
        </w:tc>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hideMark/>
          </w:tcPr>
          <w:p w14:paraId="73FEB6DE" w14:textId="77777777" w:rsidR="00625704" w:rsidRDefault="00625704" w:rsidP="00C06A68">
            <w:pPr>
              <w:pStyle w:val="Body"/>
              <w:spacing w:line="276" w:lineRule="auto"/>
              <w:jc w:val="center"/>
              <w:rPr>
                <w:noProof/>
                <w:color w:val="000000" w:themeColor="text1"/>
                <w:sz w:val="14"/>
              </w:rPr>
            </w:pPr>
            <w:r>
              <w:rPr>
                <w:rStyle w:val="ilfuvd"/>
                <w:rFonts w:eastAsiaTheme="majorEastAsia"/>
                <w:noProof/>
                <w:color w:val="000000" w:themeColor="text1"/>
                <w:szCs w:val="14"/>
              </w:rPr>
              <w:t>=</w:t>
            </w:r>
            <w:r>
              <w:rPr>
                <w:rStyle w:val="ilfuvd"/>
                <w:rFonts w:eastAsiaTheme="majorEastAsia"/>
                <w:noProof/>
                <w:color w:val="000000" w:themeColor="text1"/>
                <w:sz w:val="14"/>
                <w:szCs w:val="14"/>
              </w:rPr>
              <w:t>2</w:t>
            </w:r>
            <w:r>
              <w:rPr>
                <w:rStyle w:val="ilfuvd"/>
                <w:rFonts w:eastAsiaTheme="majorEastAsia"/>
                <w:noProof/>
                <w:color w:val="000000" w:themeColor="text1"/>
                <w:szCs w:val="14"/>
              </w:rPr>
              <w:t>+3</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0DBA682D" w14:textId="77777777" w:rsidR="00625704" w:rsidRDefault="00625704" w:rsidP="00C06A68">
            <w:pPr>
              <w:pStyle w:val="Body"/>
              <w:spacing w:before="20" w:after="20" w:line="276" w:lineRule="auto"/>
              <w:jc w:val="center"/>
              <w:rPr>
                <w:rStyle w:val="ilfuvd"/>
                <w:rFonts w:eastAsiaTheme="majorEastAsia"/>
                <w:b/>
                <w:noProof/>
                <w:sz w:val="16"/>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433B3939" w14:textId="77777777" w:rsidR="00625704" w:rsidRDefault="00625704" w:rsidP="00C06A68">
            <w:pPr>
              <w:pStyle w:val="Body"/>
              <w:spacing w:before="20" w:after="20" w:line="276" w:lineRule="auto"/>
              <w:jc w:val="center"/>
              <w:rPr>
                <w:rStyle w:val="ilfuvd"/>
                <w:rFonts w:eastAsiaTheme="majorEastAsia"/>
                <w:b/>
                <w:noProof/>
                <w:color w:val="000000" w:themeColor="text1"/>
                <w:sz w:val="16"/>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520F265C" w14:textId="77777777" w:rsidR="00625704" w:rsidRDefault="00625704" w:rsidP="00C06A68">
            <w:pPr>
              <w:pStyle w:val="Body"/>
              <w:spacing w:before="20" w:after="20" w:line="276" w:lineRule="auto"/>
              <w:jc w:val="center"/>
              <w:rPr>
                <w:rStyle w:val="ilfuvd"/>
                <w:rFonts w:eastAsiaTheme="majorEastAsia"/>
                <w:b/>
                <w:noProof/>
                <w:color w:val="000000" w:themeColor="text1"/>
                <w:sz w:val="16"/>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2A3F6B6B" w14:textId="77777777" w:rsidR="00625704" w:rsidRDefault="00625704" w:rsidP="00C06A68">
            <w:pPr>
              <w:pStyle w:val="Body"/>
              <w:spacing w:before="20" w:after="20" w:line="276" w:lineRule="auto"/>
              <w:jc w:val="center"/>
              <w:rPr>
                <w:rStyle w:val="ilfuvd"/>
                <w:rFonts w:eastAsiaTheme="majorEastAsia"/>
                <w:b/>
                <w:noProof/>
                <w:color w:val="000000" w:themeColor="text1"/>
                <w:sz w:val="16"/>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hideMark/>
          </w:tcPr>
          <w:p w14:paraId="5E08B319" w14:textId="77777777" w:rsidR="00625704" w:rsidRDefault="00625704" w:rsidP="00C06A68">
            <w:pPr>
              <w:pStyle w:val="Body"/>
              <w:spacing w:before="20" w:after="20" w:line="276" w:lineRule="auto"/>
              <w:jc w:val="center"/>
              <w:rPr>
                <w:rStyle w:val="ilfuvd"/>
                <w:rFonts w:eastAsiaTheme="majorEastAsia"/>
                <w:b/>
                <w:noProof/>
                <w:color w:val="000000" w:themeColor="text1"/>
                <w:sz w:val="16"/>
              </w:rPr>
            </w:pPr>
            <w:r>
              <w:rPr>
                <w:rStyle w:val="ilfuvd"/>
                <w:rFonts w:eastAsiaTheme="majorEastAsia"/>
                <w:b/>
                <w:noProof/>
                <w:color w:val="000000" w:themeColor="text1"/>
                <w:sz w:val="16"/>
              </w:rPr>
              <w:t>3.552</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hideMark/>
          </w:tcPr>
          <w:p w14:paraId="0ECBAE03" w14:textId="77777777" w:rsidR="00625704" w:rsidRDefault="00625704" w:rsidP="00C06A68">
            <w:pPr>
              <w:pStyle w:val="Body"/>
              <w:spacing w:before="20" w:after="20" w:line="276" w:lineRule="auto"/>
              <w:jc w:val="center"/>
              <w:rPr>
                <w:rStyle w:val="ilfuvd"/>
                <w:rFonts w:eastAsiaTheme="majorEastAsia"/>
                <w:b/>
                <w:noProof/>
                <w:color w:val="000000" w:themeColor="text1"/>
                <w:sz w:val="16"/>
              </w:rPr>
            </w:pPr>
            <w:r>
              <w:rPr>
                <w:b/>
                <w:bCs/>
                <w:noProof/>
                <w:color w:val="000000" w:themeColor="text1"/>
                <w:sz w:val="16"/>
                <w:szCs w:val="16"/>
              </w:rPr>
              <w:t>314.552</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hideMark/>
          </w:tcPr>
          <w:p w14:paraId="36DF5A18" w14:textId="77777777" w:rsidR="00625704" w:rsidRDefault="00625704" w:rsidP="00C06A68">
            <w:pPr>
              <w:pStyle w:val="Body"/>
              <w:spacing w:before="20" w:after="20" w:line="276" w:lineRule="auto"/>
              <w:jc w:val="center"/>
              <w:rPr>
                <w:rStyle w:val="ilfuvd"/>
                <w:rFonts w:eastAsiaTheme="majorEastAsia"/>
                <w:noProof/>
                <w:color w:val="000000" w:themeColor="text1"/>
                <w:sz w:val="16"/>
              </w:rPr>
            </w:pPr>
            <w:r>
              <w:rPr>
                <w:b/>
                <w:bCs/>
                <w:noProof/>
                <w:color w:val="000000" w:themeColor="text1"/>
                <w:sz w:val="16"/>
                <w:szCs w:val="16"/>
              </w:rPr>
              <w:t>440.552</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hideMark/>
          </w:tcPr>
          <w:p w14:paraId="31901C9E" w14:textId="77777777" w:rsidR="00625704" w:rsidRDefault="00625704" w:rsidP="00C06A68">
            <w:pPr>
              <w:pStyle w:val="Body"/>
              <w:spacing w:before="20" w:after="20" w:line="276" w:lineRule="auto"/>
              <w:jc w:val="center"/>
              <w:rPr>
                <w:rStyle w:val="ilfuvd"/>
                <w:rFonts w:eastAsiaTheme="majorEastAsia"/>
                <w:noProof/>
                <w:color w:val="000000" w:themeColor="text1"/>
                <w:sz w:val="16"/>
              </w:rPr>
            </w:pPr>
            <w:r>
              <w:rPr>
                <w:b/>
                <w:bCs/>
                <w:noProof/>
                <w:color w:val="000000" w:themeColor="text1"/>
                <w:sz w:val="16"/>
                <w:szCs w:val="16"/>
              </w:rPr>
              <w:t>737.34</w:t>
            </w:r>
            <w:r w:rsidR="006F412F">
              <w:rPr>
                <w:b/>
                <w:bCs/>
                <w:noProof/>
                <w:color w:val="000000" w:themeColor="text1"/>
                <w:sz w:val="16"/>
                <w:szCs w:val="16"/>
              </w:rPr>
              <w:t>4</w:t>
            </w:r>
          </w:p>
        </w:tc>
        <w:tc>
          <w:tcPr>
            <w:tcW w:w="9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hideMark/>
          </w:tcPr>
          <w:p w14:paraId="00A6A155" w14:textId="77777777" w:rsidR="00625704" w:rsidRDefault="00625704" w:rsidP="00C06A68">
            <w:pPr>
              <w:pStyle w:val="Body"/>
              <w:spacing w:before="20" w:after="20" w:line="276" w:lineRule="auto"/>
              <w:jc w:val="center"/>
              <w:rPr>
                <w:rStyle w:val="ilfuvd"/>
                <w:rFonts w:eastAsiaTheme="majorEastAsia"/>
                <w:b/>
                <w:noProof/>
                <w:color w:val="000000" w:themeColor="text1"/>
                <w:sz w:val="16"/>
                <w:szCs w:val="16"/>
              </w:rPr>
            </w:pPr>
            <w:r>
              <w:rPr>
                <w:rStyle w:val="ilfuvd"/>
                <w:rFonts w:eastAsiaTheme="majorEastAsia"/>
                <w:b/>
                <w:bCs/>
                <w:noProof/>
                <w:color w:val="000000" w:themeColor="text1"/>
                <w:sz w:val="16"/>
                <w:szCs w:val="16"/>
              </w:rPr>
              <w:t>1.500.000</w:t>
            </w:r>
          </w:p>
        </w:tc>
      </w:tr>
    </w:tbl>
    <w:p w14:paraId="62D174E6" w14:textId="77777777" w:rsidR="00625704" w:rsidRDefault="00625704" w:rsidP="00625704">
      <w:pPr>
        <w:rPr>
          <w:noProof/>
          <w:color w:val="000000" w:themeColor="text1"/>
          <w:sz w:val="16"/>
        </w:rPr>
      </w:pPr>
    </w:p>
    <w:p w14:paraId="187E8ED6" w14:textId="77777777" w:rsidR="00625704" w:rsidRPr="00FA1F34" w:rsidRDefault="00625704" w:rsidP="00625704">
      <w:pPr>
        <w:rPr>
          <w:b/>
          <w:noProof/>
          <w:color w:val="000000" w:themeColor="text1"/>
          <w:sz w:val="22"/>
          <w:u w:val="single"/>
        </w:rPr>
      </w:pPr>
    </w:p>
    <w:p w14:paraId="2B61C7D4" w14:textId="77777777" w:rsidR="00543412" w:rsidRDefault="00625704" w:rsidP="00625704">
      <w:pPr>
        <w:spacing w:before="0" w:after="0"/>
        <w:jc w:val="left"/>
        <w:rPr>
          <w:noProof/>
        </w:rPr>
      </w:pPr>
      <w:r>
        <w:rPr>
          <w:noProof/>
        </w:rPr>
        <w:br w:type="page"/>
      </w:r>
    </w:p>
    <w:tbl>
      <w:tblPr>
        <w:tblW w:w="136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6"/>
        <w:gridCol w:w="1080"/>
        <w:gridCol w:w="7820"/>
      </w:tblGrid>
      <w:tr w:rsidR="00543412" w14:paraId="01B21566" w14:textId="77777777" w:rsidTr="00246BDF">
        <w:trPr>
          <w:jc w:val="center"/>
        </w:trPr>
        <w:tc>
          <w:tcPr>
            <w:tcW w:w="4744" w:type="dxa"/>
            <w:tcBorders>
              <w:top w:val="single" w:sz="4" w:space="0" w:color="auto"/>
              <w:left w:val="single" w:sz="4" w:space="0" w:color="auto"/>
              <w:bottom w:val="single" w:sz="4" w:space="0" w:color="auto"/>
              <w:right w:val="single" w:sz="4" w:space="0" w:color="auto"/>
            </w:tcBorders>
            <w:shd w:val="thinDiagStripe" w:color="C0C0C0" w:fill="auto"/>
            <w:vAlign w:val="center"/>
            <w:hideMark/>
          </w:tcPr>
          <w:p w14:paraId="613BCC7B" w14:textId="77777777" w:rsidR="00543412" w:rsidRDefault="00543412" w:rsidP="00246BDF">
            <w:pPr>
              <w:spacing w:before="60" w:after="60" w:line="276" w:lineRule="auto"/>
              <w:jc w:val="center"/>
              <w:rPr>
                <w:b/>
                <w:noProof/>
                <w:color w:val="000000" w:themeColor="text1"/>
              </w:rPr>
            </w:pPr>
            <w:r>
              <w:rPr>
                <w:b/>
                <w:noProof/>
                <w:color w:val="000000" w:themeColor="text1"/>
                <w:sz w:val="22"/>
              </w:rPr>
              <w:t xml:space="preserve">Heading of multiannual financial </w:t>
            </w:r>
            <w:r>
              <w:rPr>
                <w:noProof/>
                <w:color w:val="000000" w:themeColor="text1"/>
                <w:sz w:val="22"/>
              </w:rPr>
              <w:br/>
            </w:r>
            <w:r>
              <w:rPr>
                <w:b/>
                <w:noProof/>
                <w:color w:val="000000" w:themeColor="text1"/>
                <w:sz w:val="22"/>
              </w:rPr>
              <w:t xml:space="preserve">framework </w:t>
            </w:r>
          </w:p>
        </w:tc>
        <w:tc>
          <w:tcPr>
            <w:tcW w:w="1080" w:type="dxa"/>
            <w:tcBorders>
              <w:top w:val="single" w:sz="4" w:space="0" w:color="auto"/>
              <w:left w:val="single" w:sz="4" w:space="0" w:color="auto"/>
              <w:bottom w:val="single" w:sz="4" w:space="0" w:color="auto"/>
              <w:right w:val="single" w:sz="4" w:space="0" w:color="auto"/>
            </w:tcBorders>
            <w:vAlign w:val="center"/>
            <w:hideMark/>
          </w:tcPr>
          <w:p w14:paraId="4E207AED" w14:textId="77777777" w:rsidR="00543412" w:rsidRDefault="00543412" w:rsidP="00246BDF">
            <w:pPr>
              <w:spacing w:before="60" w:after="60" w:line="276" w:lineRule="auto"/>
              <w:jc w:val="center"/>
              <w:rPr>
                <w:noProof/>
                <w:color w:val="000000" w:themeColor="text1"/>
              </w:rPr>
            </w:pPr>
            <w:r>
              <w:rPr>
                <w:noProof/>
                <w:color w:val="000000" w:themeColor="text1"/>
                <w:sz w:val="22"/>
              </w:rPr>
              <w:t>06</w:t>
            </w:r>
          </w:p>
        </w:tc>
        <w:tc>
          <w:tcPr>
            <w:tcW w:w="7817" w:type="dxa"/>
            <w:tcBorders>
              <w:top w:val="single" w:sz="4" w:space="0" w:color="auto"/>
              <w:left w:val="single" w:sz="4" w:space="0" w:color="auto"/>
              <w:bottom w:val="single" w:sz="4" w:space="0" w:color="auto"/>
              <w:right w:val="single" w:sz="4" w:space="0" w:color="auto"/>
            </w:tcBorders>
            <w:vAlign w:val="center"/>
            <w:hideMark/>
          </w:tcPr>
          <w:p w14:paraId="4F18B3AF" w14:textId="4049290C" w:rsidR="00543412" w:rsidRDefault="00543412" w:rsidP="00246BDF">
            <w:pPr>
              <w:spacing w:before="60" w:after="60" w:line="276" w:lineRule="auto"/>
              <w:rPr>
                <w:noProof/>
                <w:color w:val="000000" w:themeColor="text1"/>
              </w:rPr>
            </w:pPr>
            <w:r>
              <w:rPr>
                <w:noProof/>
                <w:color w:val="000000" w:themeColor="text1"/>
              </w:rPr>
              <w:t>NEIGHBOURHOOD AND THE WORLD – Cluster 14 – External Action</w:t>
            </w:r>
          </w:p>
        </w:tc>
      </w:tr>
    </w:tbl>
    <w:p w14:paraId="27EB8ED9" w14:textId="77777777" w:rsidR="00543412" w:rsidRDefault="00543412" w:rsidP="00543412">
      <w:pPr>
        <w:rPr>
          <w:noProof/>
          <w:color w:val="000000" w:themeColor="text1"/>
          <w:sz w:val="16"/>
        </w:rPr>
      </w:pPr>
    </w:p>
    <w:p w14:paraId="12D3D56E" w14:textId="77777777" w:rsidR="00543412" w:rsidRDefault="00543412" w:rsidP="00543412">
      <w:pPr>
        <w:rPr>
          <w:noProof/>
          <w:color w:val="000000" w:themeColor="text1"/>
          <w:sz w:val="16"/>
        </w:rPr>
      </w:pPr>
    </w:p>
    <w:tbl>
      <w:tblPr>
        <w:tblW w:w="11580" w:type="dxa"/>
        <w:jc w:val="cente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shd w:val="clear" w:color="auto" w:fill="CED7E7"/>
        <w:tblLayout w:type="fixed"/>
        <w:tblLook w:val="04A0" w:firstRow="1" w:lastRow="0" w:firstColumn="1" w:lastColumn="0" w:noHBand="0" w:noVBand="1"/>
      </w:tblPr>
      <w:tblGrid>
        <w:gridCol w:w="2110"/>
        <w:gridCol w:w="1132"/>
        <w:gridCol w:w="566"/>
        <w:gridCol w:w="850"/>
        <w:gridCol w:w="851"/>
        <w:gridCol w:w="850"/>
        <w:gridCol w:w="851"/>
        <w:gridCol w:w="850"/>
        <w:gridCol w:w="851"/>
        <w:gridCol w:w="850"/>
        <w:gridCol w:w="851"/>
        <w:gridCol w:w="968"/>
      </w:tblGrid>
      <w:tr w:rsidR="006527D7" w14:paraId="1FDE132A" w14:textId="77777777" w:rsidTr="006527D7">
        <w:trPr>
          <w:trHeight w:val="803"/>
          <w:jc w:val="center"/>
        </w:trPr>
        <w:tc>
          <w:tcPr>
            <w:tcW w:w="3808" w:type="dxa"/>
            <w:gridSpan w:val="3"/>
            <w:tcBorders>
              <w:top w:val="nil"/>
              <w:left w:val="nil"/>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63AFA916" w14:textId="77777777" w:rsidR="00543412" w:rsidRDefault="00543412" w:rsidP="00246BDF">
            <w:pPr>
              <w:spacing w:line="276" w:lineRule="auto"/>
              <w:rPr>
                <w:noProof/>
                <w:color w:val="000000" w:themeColor="text1"/>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hideMark/>
          </w:tcPr>
          <w:p w14:paraId="64F69FCF" w14:textId="77777777" w:rsidR="00543412" w:rsidRDefault="00543412" w:rsidP="00246BDF">
            <w:pPr>
              <w:pStyle w:val="Body"/>
              <w:spacing w:line="276" w:lineRule="auto"/>
              <w:jc w:val="center"/>
              <w:rPr>
                <w:noProof/>
                <w:color w:val="000000" w:themeColor="text1"/>
              </w:rPr>
            </w:pPr>
            <w:r>
              <w:rPr>
                <w:rStyle w:val="ilfuvd"/>
                <w:rFonts w:eastAsiaTheme="majorEastAsia"/>
                <w:b/>
                <w:bCs/>
                <w:noProof/>
                <w:color w:val="000000" w:themeColor="text1"/>
                <w:sz w:val="20"/>
                <w:szCs w:val="20"/>
              </w:rPr>
              <w:t>2021</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hideMark/>
          </w:tcPr>
          <w:p w14:paraId="645DBAD6" w14:textId="77777777" w:rsidR="00543412" w:rsidRDefault="00543412" w:rsidP="00246BDF">
            <w:pPr>
              <w:pStyle w:val="Body"/>
              <w:spacing w:line="276" w:lineRule="auto"/>
              <w:jc w:val="center"/>
              <w:rPr>
                <w:noProof/>
                <w:color w:val="000000" w:themeColor="text1"/>
              </w:rPr>
            </w:pPr>
            <w:r>
              <w:rPr>
                <w:rStyle w:val="ilfuvd"/>
                <w:rFonts w:eastAsiaTheme="majorEastAsia"/>
                <w:b/>
                <w:bCs/>
                <w:noProof/>
                <w:color w:val="000000" w:themeColor="text1"/>
                <w:sz w:val="20"/>
                <w:szCs w:val="20"/>
              </w:rPr>
              <w:t>2022</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hideMark/>
          </w:tcPr>
          <w:p w14:paraId="7AD5A07F" w14:textId="77777777" w:rsidR="00543412" w:rsidRDefault="00543412" w:rsidP="00246BDF">
            <w:pPr>
              <w:pStyle w:val="Body"/>
              <w:spacing w:line="276" w:lineRule="auto"/>
              <w:jc w:val="center"/>
              <w:rPr>
                <w:noProof/>
                <w:color w:val="000000" w:themeColor="text1"/>
              </w:rPr>
            </w:pPr>
            <w:r>
              <w:rPr>
                <w:rStyle w:val="ilfuvd"/>
                <w:rFonts w:eastAsiaTheme="majorEastAsia"/>
                <w:b/>
                <w:bCs/>
                <w:noProof/>
                <w:color w:val="000000" w:themeColor="text1"/>
                <w:sz w:val="20"/>
                <w:szCs w:val="20"/>
              </w:rPr>
              <w:t>2023</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hideMark/>
          </w:tcPr>
          <w:p w14:paraId="707B1288" w14:textId="77777777" w:rsidR="00543412" w:rsidRDefault="00543412" w:rsidP="00246BDF">
            <w:pPr>
              <w:pStyle w:val="Body"/>
              <w:spacing w:line="276" w:lineRule="auto"/>
              <w:jc w:val="center"/>
              <w:rPr>
                <w:noProof/>
                <w:color w:val="000000" w:themeColor="text1"/>
              </w:rPr>
            </w:pPr>
            <w:r>
              <w:rPr>
                <w:rStyle w:val="ilfuvd"/>
                <w:rFonts w:eastAsiaTheme="majorEastAsia"/>
                <w:b/>
                <w:bCs/>
                <w:noProof/>
                <w:color w:val="000000" w:themeColor="text1"/>
                <w:sz w:val="20"/>
                <w:szCs w:val="20"/>
              </w:rPr>
              <w:t>2024</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hideMark/>
          </w:tcPr>
          <w:p w14:paraId="3C82E8E9" w14:textId="77777777" w:rsidR="00543412" w:rsidRDefault="00543412" w:rsidP="00246BDF">
            <w:pPr>
              <w:pStyle w:val="Body"/>
              <w:spacing w:line="276" w:lineRule="auto"/>
              <w:jc w:val="center"/>
              <w:rPr>
                <w:noProof/>
                <w:color w:val="000000" w:themeColor="text1"/>
              </w:rPr>
            </w:pPr>
            <w:r>
              <w:rPr>
                <w:rStyle w:val="ilfuvd"/>
                <w:rFonts w:eastAsiaTheme="majorEastAsia"/>
                <w:b/>
                <w:bCs/>
                <w:noProof/>
                <w:color w:val="000000" w:themeColor="text1"/>
                <w:sz w:val="18"/>
                <w:szCs w:val="18"/>
              </w:rPr>
              <w:t>2025</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hideMark/>
          </w:tcPr>
          <w:p w14:paraId="052E1614" w14:textId="77777777" w:rsidR="00543412" w:rsidRDefault="00543412" w:rsidP="00246BDF">
            <w:pPr>
              <w:pStyle w:val="Body"/>
              <w:spacing w:line="276" w:lineRule="auto"/>
              <w:jc w:val="center"/>
              <w:rPr>
                <w:noProof/>
                <w:color w:val="000000" w:themeColor="text1"/>
              </w:rPr>
            </w:pPr>
            <w:r>
              <w:rPr>
                <w:rStyle w:val="ilfuvd"/>
                <w:rFonts w:eastAsiaTheme="majorEastAsia"/>
                <w:b/>
                <w:bCs/>
                <w:noProof/>
                <w:color w:val="000000" w:themeColor="text1"/>
                <w:sz w:val="18"/>
                <w:szCs w:val="18"/>
              </w:rPr>
              <w:t>2026</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hideMark/>
          </w:tcPr>
          <w:p w14:paraId="5411B22A" w14:textId="77777777" w:rsidR="00543412" w:rsidRDefault="00543412" w:rsidP="00246BDF">
            <w:pPr>
              <w:pStyle w:val="Body"/>
              <w:spacing w:line="276" w:lineRule="auto"/>
              <w:jc w:val="center"/>
              <w:rPr>
                <w:noProof/>
                <w:color w:val="000000" w:themeColor="text1"/>
              </w:rPr>
            </w:pPr>
            <w:r>
              <w:rPr>
                <w:rStyle w:val="ilfuvd"/>
                <w:rFonts w:eastAsiaTheme="majorEastAsia"/>
                <w:b/>
                <w:bCs/>
                <w:noProof/>
                <w:color w:val="000000" w:themeColor="text1"/>
                <w:sz w:val="18"/>
                <w:szCs w:val="18"/>
              </w:rPr>
              <w:t>2027</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hideMark/>
          </w:tcPr>
          <w:p w14:paraId="45ECD83D" w14:textId="77777777" w:rsidR="00543412" w:rsidRDefault="00543412" w:rsidP="00246BDF">
            <w:pPr>
              <w:pStyle w:val="Body"/>
              <w:spacing w:line="276" w:lineRule="auto"/>
              <w:jc w:val="center"/>
              <w:rPr>
                <w:noProof/>
                <w:color w:val="000000" w:themeColor="text1"/>
              </w:rPr>
            </w:pPr>
            <w:r>
              <w:rPr>
                <w:rStyle w:val="ilfuvd"/>
                <w:rFonts w:eastAsiaTheme="majorEastAsia"/>
                <w:b/>
                <w:bCs/>
                <w:i/>
                <w:iCs/>
                <w:noProof/>
                <w:color w:val="000000" w:themeColor="text1"/>
                <w:sz w:val="20"/>
                <w:szCs w:val="20"/>
              </w:rPr>
              <w:t>Post 2027</w:t>
            </w:r>
          </w:p>
        </w:tc>
        <w:tc>
          <w:tcPr>
            <w:tcW w:w="9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hideMark/>
          </w:tcPr>
          <w:p w14:paraId="2A3073FA" w14:textId="77777777" w:rsidR="00543412" w:rsidRDefault="00543412" w:rsidP="00246BDF">
            <w:pPr>
              <w:pStyle w:val="Body"/>
              <w:spacing w:line="276" w:lineRule="auto"/>
              <w:jc w:val="center"/>
              <w:rPr>
                <w:noProof/>
                <w:color w:val="000000" w:themeColor="text1"/>
              </w:rPr>
            </w:pPr>
            <w:r>
              <w:rPr>
                <w:rStyle w:val="ilfuvd"/>
                <w:rFonts w:eastAsiaTheme="majorEastAsia"/>
                <w:b/>
                <w:bCs/>
                <w:noProof/>
                <w:color w:val="000000" w:themeColor="text1"/>
                <w:sz w:val="20"/>
                <w:szCs w:val="20"/>
              </w:rPr>
              <w:t>TOTAL</w:t>
            </w:r>
          </w:p>
        </w:tc>
      </w:tr>
      <w:tr w:rsidR="007C66D8" w14:paraId="75CFC3BF" w14:textId="77777777" w:rsidTr="007C66D8">
        <w:trPr>
          <w:trHeight w:val="363"/>
          <w:jc w:val="center"/>
        </w:trPr>
        <w:tc>
          <w:tcPr>
            <w:tcW w:w="211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hideMark/>
          </w:tcPr>
          <w:p w14:paraId="259207D4" w14:textId="5EDC76B9" w:rsidR="00543412" w:rsidRDefault="00543412" w:rsidP="00246BDF">
            <w:pPr>
              <w:pStyle w:val="Body"/>
              <w:spacing w:line="276" w:lineRule="auto"/>
              <w:jc w:val="left"/>
              <w:rPr>
                <w:noProof/>
                <w:color w:val="000000" w:themeColor="text1"/>
                <w:sz w:val="16"/>
                <w:szCs w:val="16"/>
              </w:rPr>
            </w:pPr>
            <w:r>
              <w:rPr>
                <w:rStyle w:val="ilfuvd"/>
                <w:rFonts w:eastAsia="Arial Unicode MS" w:cs="Arial Unicode MS"/>
                <w:noProof/>
                <w:color w:val="000000" w:themeColor="text1"/>
                <w:sz w:val="16"/>
                <w:szCs w:val="16"/>
              </w:rPr>
              <w:t>14.0901 – Ukraine Support Instrument</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hideMark/>
          </w:tcPr>
          <w:p w14:paraId="6E43141F" w14:textId="77777777" w:rsidR="00543412" w:rsidRDefault="00543412" w:rsidP="00246BDF">
            <w:pPr>
              <w:pStyle w:val="Body"/>
              <w:spacing w:before="20" w:after="20" w:line="276" w:lineRule="auto"/>
              <w:jc w:val="left"/>
              <w:rPr>
                <w:noProof/>
                <w:color w:val="000000" w:themeColor="text1"/>
                <w:sz w:val="16"/>
                <w:szCs w:val="16"/>
              </w:rPr>
            </w:pPr>
            <w:r>
              <w:rPr>
                <w:rStyle w:val="ilfuvd"/>
                <w:rFonts w:eastAsiaTheme="majorEastAsia"/>
                <w:noProof/>
                <w:color w:val="000000" w:themeColor="text1"/>
                <w:sz w:val="16"/>
                <w:szCs w:val="16"/>
              </w:rPr>
              <w:t>Commitments</w:t>
            </w:r>
          </w:p>
        </w:tc>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hideMark/>
          </w:tcPr>
          <w:p w14:paraId="1E67EDBD" w14:textId="77777777" w:rsidR="00543412" w:rsidRDefault="00543412" w:rsidP="00246BDF">
            <w:pPr>
              <w:pStyle w:val="Body"/>
              <w:spacing w:before="20" w:after="20" w:line="276" w:lineRule="auto"/>
              <w:jc w:val="center"/>
              <w:rPr>
                <w:noProof/>
                <w:color w:val="000000" w:themeColor="text1"/>
              </w:rPr>
            </w:pPr>
            <w:r>
              <w:rPr>
                <w:rStyle w:val="ilfuvd"/>
                <w:rFonts w:eastAsiaTheme="majorEastAsia"/>
                <w:noProof/>
                <w:color w:val="000000" w:themeColor="text1"/>
                <w:sz w:val="14"/>
                <w:szCs w:val="14"/>
              </w:rPr>
              <w:t>(1)</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14182489" w14:textId="77777777" w:rsidR="00543412" w:rsidRDefault="00543412" w:rsidP="00246BDF">
            <w:pPr>
              <w:pStyle w:val="Body"/>
              <w:spacing w:before="20" w:after="20" w:line="276" w:lineRule="auto"/>
              <w:jc w:val="right"/>
              <w:rPr>
                <w:rStyle w:val="ilfuvd"/>
                <w:rFonts w:eastAsiaTheme="majorEastAsia"/>
                <w:noProof/>
                <w:sz w:val="16"/>
                <w:szCs w:val="16"/>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7D3E4A12" w14:textId="77777777" w:rsidR="00543412" w:rsidRDefault="00543412" w:rsidP="00246BDF">
            <w:pPr>
              <w:pStyle w:val="Body"/>
              <w:spacing w:before="20" w:after="20" w:line="276" w:lineRule="auto"/>
              <w:jc w:val="right"/>
              <w:rPr>
                <w:rStyle w:val="ilfuvd"/>
                <w:rFonts w:eastAsiaTheme="majorEastAsia"/>
                <w:noProof/>
                <w:color w:val="000000" w:themeColor="text1"/>
                <w:sz w:val="16"/>
                <w:szCs w:val="16"/>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59AC9E7B" w14:textId="77777777" w:rsidR="00543412" w:rsidRDefault="00543412" w:rsidP="00246BDF">
            <w:pPr>
              <w:pStyle w:val="Body"/>
              <w:spacing w:before="20" w:after="20" w:line="276" w:lineRule="auto"/>
              <w:jc w:val="right"/>
              <w:rPr>
                <w:rStyle w:val="ilfuvd"/>
                <w:rFonts w:eastAsiaTheme="majorEastAsia"/>
                <w:noProof/>
                <w:color w:val="000000" w:themeColor="text1"/>
                <w:sz w:val="16"/>
                <w:szCs w:val="16"/>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4E48BDF5" w14:textId="77777777" w:rsidR="00543412" w:rsidRDefault="00543412" w:rsidP="00246BDF">
            <w:pPr>
              <w:pStyle w:val="Body"/>
              <w:spacing w:before="20" w:after="20" w:line="276" w:lineRule="auto"/>
              <w:jc w:val="right"/>
              <w:rPr>
                <w:rStyle w:val="ilfuvd"/>
                <w:rFonts w:eastAsiaTheme="majorEastAsia"/>
                <w:noProof/>
                <w:color w:val="000000" w:themeColor="text1"/>
                <w:sz w:val="16"/>
                <w:szCs w:val="16"/>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57AC41B6" w14:textId="77777777" w:rsidR="00543412" w:rsidRDefault="00543412" w:rsidP="00246BDF">
            <w:pPr>
              <w:pStyle w:val="Body"/>
              <w:spacing w:before="20" w:after="20" w:line="276" w:lineRule="auto"/>
              <w:jc w:val="right"/>
              <w:rPr>
                <w:rStyle w:val="ilfuvd"/>
                <w:rFonts w:eastAsiaTheme="majorEastAsia"/>
                <w:noProof/>
                <w:color w:val="000000" w:themeColor="text1"/>
                <w:sz w:val="16"/>
                <w:szCs w:val="16"/>
              </w:rPr>
            </w:pPr>
            <w:r>
              <w:rPr>
                <w:rStyle w:val="ilfuvd"/>
                <w:rFonts w:eastAsiaTheme="majorEastAsia"/>
                <w:noProof/>
                <w:color w:val="000000" w:themeColor="text1"/>
                <w:sz w:val="16"/>
                <w:szCs w:val="16"/>
              </w:rPr>
              <w:t>pm</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0661B791" w14:textId="77777777" w:rsidR="00543412" w:rsidRDefault="00543412" w:rsidP="00246BDF">
            <w:pPr>
              <w:pStyle w:val="Body"/>
              <w:spacing w:before="20" w:after="20" w:line="276" w:lineRule="auto"/>
              <w:jc w:val="right"/>
              <w:rPr>
                <w:rStyle w:val="ilfuvd"/>
                <w:rFonts w:eastAsiaTheme="majorEastAsia"/>
                <w:noProof/>
                <w:color w:val="000000" w:themeColor="text1"/>
                <w:sz w:val="16"/>
                <w:szCs w:val="16"/>
              </w:rPr>
            </w:pPr>
            <w:r>
              <w:rPr>
                <w:rStyle w:val="ilfuvd"/>
                <w:rFonts w:eastAsiaTheme="majorEastAsia"/>
                <w:noProof/>
                <w:color w:val="000000" w:themeColor="text1"/>
                <w:sz w:val="16"/>
                <w:szCs w:val="16"/>
              </w:rPr>
              <w:t>pm</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6DCBDDFC" w14:textId="77777777" w:rsidR="00543412" w:rsidRDefault="00543412" w:rsidP="00246BDF">
            <w:pPr>
              <w:pStyle w:val="Body"/>
              <w:spacing w:before="20" w:after="20" w:line="276" w:lineRule="auto"/>
              <w:jc w:val="right"/>
              <w:rPr>
                <w:rStyle w:val="ilfuvd"/>
                <w:rFonts w:eastAsiaTheme="majorEastAsia"/>
                <w:noProof/>
                <w:color w:val="000000" w:themeColor="text1"/>
                <w:sz w:val="16"/>
                <w:szCs w:val="16"/>
              </w:rPr>
            </w:pPr>
            <w:r>
              <w:rPr>
                <w:rStyle w:val="ilfuvd"/>
                <w:rFonts w:eastAsiaTheme="majorEastAsia"/>
                <w:noProof/>
                <w:color w:val="000000" w:themeColor="text1"/>
                <w:sz w:val="16"/>
                <w:szCs w:val="16"/>
              </w:rPr>
              <w:t>pm</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4110021C" w14:textId="77777777" w:rsidR="00543412" w:rsidRDefault="00543412" w:rsidP="00246BDF">
            <w:pPr>
              <w:pStyle w:val="Body"/>
              <w:spacing w:before="20" w:after="20" w:line="276" w:lineRule="auto"/>
              <w:jc w:val="right"/>
              <w:rPr>
                <w:rStyle w:val="ilfuvd"/>
                <w:rFonts w:eastAsiaTheme="majorEastAsia"/>
                <w:noProof/>
                <w:color w:val="000000" w:themeColor="text1"/>
                <w:sz w:val="16"/>
                <w:szCs w:val="16"/>
              </w:rPr>
            </w:pPr>
          </w:p>
        </w:tc>
        <w:tc>
          <w:tcPr>
            <w:tcW w:w="9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1E2DC5DD" w14:textId="77777777" w:rsidR="00543412" w:rsidRDefault="00543412" w:rsidP="00246BDF">
            <w:pPr>
              <w:pStyle w:val="Body"/>
              <w:spacing w:before="20" w:after="20" w:line="276" w:lineRule="auto"/>
              <w:jc w:val="center"/>
              <w:rPr>
                <w:rStyle w:val="ilfuvd"/>
                <w:rFonts w:eastAsiaTheme="majorEastAsia"/>
                <w:b/>
                <w:bCs/>
                <w:noProof/>
                <w:color w:val="000000" w:themeColor="text1"/>
                <w:sz w:val="16"/>
                <w:szCs w:val="16"/>
              </w:rPr>
            </w:pPr>
          </w:p>
        </w:tc>
      </w:tr>
      <w:tr w:rsidR="006527D7" w14:paraId="0F8F52FE" w14:textId="77777777" w:rsidTr="006527D7">
        <w:trPr>
          <w:trHeight w:val="491"/>
          <w:jc w:val="center"/>
        </w:trPr>
        <w:tc>
          <w:tcPr>
            <w:tcW w:w="211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ED7E7"/>
            <w:vAlign w:val="center"/>
            <w:hideMark/>
          </w:tcPr>
          <w:p w14:paraId="41A56873" w14:textId="77777777" w:rsidR="00543412" w:rsidRDefault="00543412" w:rsidP="00246BDF">
            <w:pPr>
              <w:spacing w:before="0" w:after="0" w:line="276" w:lineRule="auto"/>
              <w:jc w:val="left"/>
              <w:rPr>
                <w:rFonts w:eastAsia="Times New Roman"/>
                <w:noProof/>
                <w:color w:val="000000" w:themeColor="text1"/>
                <w:sz w:val="16"/>
                <w:szCs w:val="16"/>
                <w:u w:color="000000"/>
                <w:lang w:eastAsia="en-GB"/>
              </w:rPr>
            </w:pP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hideMark/>
          </w:tcPr>
          <w:p w14:paraId="01A4D142" w14:textId="77777777" w:rsidR="00543412" w:rsidRDefault="00543412" w:rsidP="00246BDF">
            <w:pPr>
              <w:pStyle w:val="Body"/>
              <w:spacing w:before="20" w:after="20" w:line="276" w:lineRule="auto"/>
              <w:jc w:val="left"/>
              <w:rPr>
                <w:rFonts w:eastAsiaTheme="majorEastAsia"/>
                <w:noProof/>
              </w:rPr>
            </w:pPr>
            <w:r>
              <w:rPr>
                <w:rStyle w:val="ilfuvd"/>
                <w:rFonts w:eastAsiaTheme="majorEastAsia"/>
                <w:noProof/>
                <w:color w:val="000000" w:themeColor="text1"/>
                <w:sz w:val="16"/>
                <w:szCs w:val="16"/>
              </w:rPr>
              <w:t>Payments</w:t>
            </w:r>
          </w:p>
        </w:tc>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hideMark/>
          </w:tcPr>
          <w:p w14:paraId="2AFC7D69" w14:textId="77777777" w:rsidR="00543412" w:rsidRDefault="00543412" w:rsidP="00246BDF">
            <w:pPr>
              <w:pStyle w:val="Body"/>
              <w:spacing w:before="20" w:after="20" w:line="276" w:lineRule="auto"/>
              <w:jc w:val="center"/>
              <w:rPr>
                <w:noProof/>
                <w:color w:val="000000" w:themeColor="text1"/>
              </w:rPr>
            </w:pPr>
            <w:r>
              <w:rPr>
                <w:rStyle w:val="ilfuvd"/>
                <w:rFonts w:eastAsiaTheme="majorEastAsia"/>
                <w:noProof/>
                <w:color w:val="000000" w:themeColor="text1"/>
                <w:sz w:val="14"/>
                <w:szCs w:val="14"/>
              </w:rPr>
              <w:t>(2)</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3363F3F9" w14:textId="77777777" w:rsidR="00543412" w:rsidRDefault="00543412" w:rsidP="00246BDF">
            <w:pPr>
              <w:pStyle w:val="Body"/>
              <w:spacing w:before="20" w:after="20" w:line="276" w:lineRule="auto"/>
              <w:jc w:val="right"/>
              <w:rPr>
                <w:rStyle w:val="ilfuvd"/>
                <w:rFonts w:eastAsiaTheme="majorEastAsia"/>
                <w:noProof/>
                <w:sz w:val="16"/>
                <w:szCs w:val="16"/>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1C9359BC" w14:textId="77777777" w:rsidR="00543412" w:rsidRDefault="00543412" w:rsidP="00246BDF">
            <w:pPr>
              <w:pStyle w:val="Body"/>
              <w:spacing w:before="20" w:after="20" w:line="276" w:lineRule="auto"/>
              <w:jc w:val="right"/>
              <w:rPr>
                <w:rStyle w:val="ilfuvd"/>
                <w:rFonts w:eastAsiaTheme="majorEastAsia"/>
                <w:noProof/>
                <w:color w:val="000000" w:themeColor="text1"/>
                <w:sz w:val="16"/>
                <w:szCs w:val="16"/>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5BE63AF4" w14:textId="77777777" w:rsidR="00543412" w:rsidRDefault="00543412" w:rsidP="00246BDF">
            <w:pPr>
              <w:pStyle w:val="Body"/>
              <w:spacing w:before="20" w:after="20" w:line="276" w:lineRule="auto"/>
              <w:jc w:val="right"/>
              <w:rPr>
                <w:rStyle w:val="ilfuvd"/>
                <w:rFonts w:eastAsiaTheme="majorEastAsia"/>
                <w:noProof/>
                <w:color w:val="000000" w:themeColor="text1"/>
                <w:sz w:val="16"/>
                <w:szCs w:val="16"/>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2A7086EF" w14:textId="77777777" w:rsidR="00543412" w:rsidRDefault="00543412" w:rsidP="00246BDF">
            <w:pPr>
              <w:pStyle w:val="Body"/>
              <w:spacing w:before="20" w:after="20" w:line="276" w:lineRule="auto"/>
              <w:jc w:val="right"/>
              <w:rPr>
                <w:rStyle w:val="ilfuvd"/>
                <w:rFonts w:eastAsiaTheme="majorEastAsia"/>
                <w:noProof/>
                <w:color w:val="000000" w:themeColor="text1"/>
                <w:sz w:val="16"/>
                <w:szCs w:val="16"/>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39F54A5A" w14:textId="77777777" w:rsidR="00543412" w:rsidRPr="00246BDF" w:rsidRDefault="00543412" w:rsidP="00246BDF">
            <w:pPr>
              <w:pStyle w:val="Body"/>
              <w:spacing w:before="20" w:after="20" w:line="276" w:lineRule="auto"/>
              <w:jc w:val="right"/>
              <w:rPr>
                <w:rStyle w:val="ilfuvd"/>
                <w:rFonts w:eastAsiaTheme="majorEastAsia"/>
                <w:noProof/>
                <w:color w:val="000000" w:themeColor="text1"/>
                <w:sz w:val="16"/>
                <w:szCs w:val="16"/>
              </w:rPr>
            </w:pPr>
            <w:r>
              <w:rPr>
                <w:rStyle w:val="ilfuvd"/>
                <w:rFonts w:eastAsiaTheme="majorEastAsia"/>
                <w:noProof/>
                <w:color w:val="000000" w:themeColor="text1"/>
                <w:sz w:val="16"/>
                <w:szCs w:val="16"/>
              </w:rPr>
              <w:t>pm</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12323C22" w14:textId="77777777" w:rsidR="00543412" w:rsidRPr="00811A24" w:rsidRDefault="00543412" w:rsidP="00246BDF">
            <w:pPr>
              <w:pStyle w:val="Body"/>
              <w:spacing w:before="20" w:after="20" w:line="276" w:lineRule="auto"/>
              <w:jc w:val="right"/>
              <w:rPr>
                <w:rStyle w:val="ilfuvd"/>
                <w:rFonts w:eastAsiaTheme="majorEastAsia"/>
                <w:noProof/>
                <w:color w:val="000000" w:themeColor="text1"/>
                <w:sz w:val="16"/>
                <w:szCs w:val="16"/>
              </w:rPr>
            </w:pPr>
            <w:r>
              <w:rPr>
                <w:rStyle w:val="ilfuvd"/>
                <w:rFonts w:eastAsiaTheme="majorEastAsia"/>
                <w:noProof/>
                <w:color w:val="000000" w:themeColor="text1"/>
                <w:sz w:val="16"/>
                <w:szCs w:val="16"/>
              </w:rPr>
              <w:t>pm</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2C39AB3C" w14:textId="77777777" w:rsidR="00543412" w:rsidRPr="00811A24" w:rsidRDefault="00543412" w:rsidP="00246BDF">
            <w:pPr>
              <w:pStyle w:val="Body"/>
              <w:spacing w:before="20" w:after="20" w:line="276" w:lineRule="auto"/>
              <w:jc w:val="right"/>
              <w:rPr>
                <w:rStyle w:val="ilfuvd"/>
                <w:rFonts w:eastAsiaTheme="majorEastAsia"/>
                <w:noProof/>
                <w:color w:val="000000" w:themeColor="text1"/>
                <w:sz w:val="16"/>
                <w:szCs w:val="16"/>
              </w:rPr>
            </w:pPr>
            <w:r>
              <w:rPr>
                <w:rStyle w:val="ilfuvd"/>
                <w:rFonts w:eastAsiaTheme="majorEastAsia"/>
                <w:noProof/>
                <w:color w:val="000000" w:themeColor="text1"/>
                <w:sz w:val="16"/>
                <w:szCs w:val="16"/>
              </w:rPr>
              <w:t>pm</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3B6AF031" w14:textId="77777777" w:rsidR="00543412" w:rsidRPr="00DF0AB6" w:rsidRDefault="00543412" w:rsidP="00246BDF">
            <w:pPr>
              <w:pStyle w:val="Body"/>
              <w:spacing w:before="20" w:after="20" w:line="276" w:lineRule="auto"/>
              <w:jc w:val="right"/>
              <w:rPr>
                <w:rStyle w:val="ilfuvd"/>
                <w:rFonts w:eastAsiaTheme="majorEastAsia"/>
                <w:noProof/>
                <w:color w:val="000000" w:themeColor="text1"/>
                <w:sz w:val="16"/>
                <w:szCs w:val="16"/>
              </w:rPr>
            </w:pPr>
          </w:p>
        </w:tc>
        <w:tc>
          <w:tcPr>
            <w:tcW w:w="9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108D6803" w14:textId="77777777" w:rsidR="00543412" w:rsidRDefault="00543412" w:rsidP="00246BDF">
            <w:pPr>
              <w:pStyle w:val="Body"/>
              <w:spacing w:before="20" w:after="20" w:line="276" w:lineRule="auto"/>
              <w:jc w:val="center"/>
              <w:rPr>
                <w:rFonts w:eastAsiaTheme="majorEastAsia"/>
                <w:noProof/>
              </w:rPr>
            </w:pPr>
          </w:p>
        </w:tc>
      </w:tr>
      <w:tr w:rsidR="006527D7" w14:paraId="2345D3C3" w14:textId="77777777" w:rsidTr="006527D7">
        <w:trPr>
          <w:trHeight w:val="363"/>
          <w:jc w:val="center"/>
        </w:trPr>
        <w:tc>
          <w:tcPr>
            <w:tcW w:w="2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1027780E" w14:textId="1656C607" w:rsidR="007C66D8" w:rsidRDefault="007C66D8" w:rsidP="00246BDF">
            <w:pPr>
              <w:pStyle w:val="Body"/>
              <w:spacing w:line="276" w:lineRule="auto"/>
              <w:jc w:val="left"/>
              <w:rPr>
                <w:rStyle w:val="ilfuvd"/>
                <w:rFonts w:eastAsiaTheme="majorEastAsia"/>
                <w:b/>
                <w:bCs/>
                <w:noProof/>
                <w:color w:val="000000" w:themeColor="text1"/>
                <w:sz w:val="16"/>
                <w:szCs w:val="16"/>
              </w:rPr>
            </w:pPr>
            <w:r>
              <w:rPr>
                <w:rStyle w:val="ilfuvd"/>
                <w:rFonts w:eastAsia="Arial Unicode MS" w:cs="Arial Unicode MS"/>
                <w:noProof/>
                <w:color w:val="000000" w:themeColor="text1"/>
                <w:sz w:val="16"/>
                <w:szCs w:val="16"/>
              </w:rPr>
              <w:t>14.01xx – Support expenditure Ukraine Support Instrument</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5535750C" w14:textId="37D564D1" w:rsidR="007C66D8" w:rsidRDefault="007C66D8" w:rsidP="00246BDF">
            <w:pPr>
              <w:pStyle w:val="Body"/>
              <w:spacing w:line="276" w:lineRule="auto"/>
              <w:jc w:val="left"/>
              <w:rPr>
                <w:rStyle w:val="ilfuvd"/>
                <w:rFonts w:eastAsiaTheme="majorEastAsia"/>
                <w:noProof/>
                <w:color w:val="000000" w:themeColor="text1"/>
                <w:sz w:val="16"/>
                <w:szCs w:val="16"/>
              </w:rPr>
            </w:pPr>
            <w:r>
              <w:rPr>
                <w:rStyle w:val="ilfuvd"/>
                <w:rFonts w:eastAsiaTheme="majorEastAsia"/>
                <w:noProof/>
                <w:color w:val="000000" w:themeColor="text1"/>
                <w:sz w:val="16"/>
                <w:szCs w:val="16"/>
              </w:rPr>
              <w:t>Commitments = Payments</w:t>
            </w:r>
          </w:p>
        </w:tc>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7ED81D87" w14:textId="1D0777C0" w:rsidR="007C66D8" w:rsidRDefault="007C66D8" w:rsidP="00246BDF">
            <w:pPr>
              <w:pStyle w:val="Body"/>
              <w:spacing w:line="276" w:lineRule="auto"/>
              <w:jc w:val="center"/>
              <w:rPr>
                <w:rStyle w:val="ilfuvd"/>
                <w:rFonts w:eastAsiaTheme="majorEastAsia"/>
                <w:noProof/>
                <w:color w:val="000000" w:themeColor="text1"/>
                <w:sz w:val="14"/>
                <w:szCs w:val="14"/>
              </w:rPr>
            </w:pPr>
            <w:r>
              <w:rPr>
                <w:rStyle w:val="ilfuvd"/>
                <w:rFonts w:eastAsiaTheme="majorEastAsia"/>
                <w:noProof/>
                <w:color w:val="000000" w:themeColor="text1"/>
                <w:sz w:val="14"/>
                <w:szCs w:val="14"/>
              </w:rPr>
              <w:t>(3)</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43F1D1E2" w14:textId="77777777" w:rsidR="007C66D8" w:rsidRDefault="007C66D8" w:rsidP="00246BDF">
            <w:pPr>
              <w:pStyle w:val="Body"/>
              <w:spacing w:before="20" w:after="20" w:line="276" w:lineRule="auto"/>
              <w:jc w:val="right"/>
              <w:rPr>
                <w:rStyle w:val="ilfuvd"/>
                <w:rFonts w:eastAsiaTheme="majorEastAsia"/>
                <w:b/>
                <w:noProof/>
                <w:sz w:val="16"/>
                <w:szCs w:val="16"/>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2F0D9F19" w14:textId="77777777" w:rsidR="007C66D8" w:rsidRDefault="007C66D8" w:rsidP="00246BDF">
            <w:pPr>
              <w:pStyle w:val="Body"/>
              <w:spacing w:before="20" w:after="20" w:line="276" w:lineRule="auto"/>
              <w:jc w:val="right"/>
              <w:rPr>
                <w:rStyle w:val="ilfuvd"/>
                <w:rFonts w:eastAsiaTheme="majorEastAsia"/>
                <w:b/>
                <w:noProof/>
                <w:color w:val="000000" w:themeColor="text1"/>
                <w:sz w:val="16"/>
                <w:szCs w:val="16"/>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389D4D50" w14:textId="77777777" w:rsidR="007C66D8" w:rsidRDefault="007C66D8" w:rsidP="00246BDF">
            <w:pPr>
              <w:pStyle w:val="Body"/>
              <w:spacing w:before="20" w:after="20" w:line="276" w:lineRule="auto"/>
              <w:jc w:val="right"/>
              <w:rPr>
                <w:rStyle w:val="ilfuvd"/>
                <w:rFonts w:eastAsiaTheme="majorEastAsia"/>
                <w:b/>
                <w:noProof/>
                <w:color w:val="000000" w:themeColor="text1"/>
                <w:sz w:val="16"/>
                <w:szCs w:val="16"/>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05ABB7A1" w14:textId="77777777" w:rsidR="007C66D8" w:rsidRDefault="007C66D8" w:rsidP="00246BDF">
            <w:pPr>
              <w:pStyle w:val="Body"/>
              <w:spacing w:before="20" w:after="20" w:line="276" w:lineRule="auto"/>
              <w:jc w:val="right"/>
              <w:rPr>
                <w:rStyle w:val="ilfuvd"/>
                <w:rFonts w:eastAsiaTheme="majorEastAsia"/>
                <w:b/>
                <w:noProof/>
                <w:color w:val="000000" w:themeColor="text1"/>
                <w:sz w:val="16"/>
                <w:szCs w:val="16"/>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27B04C7E" w14:textId="045DFF9B" w:rsidR="007C66D8" w:rsidRDefault="007C66D8" w:rsidP="00246BDF">
            <w:pPr>
              <w:pStyle w:val="Body"/>
              <w:spacing w:before="20" w:after="20" w:line="276" w:lineRule="auto"/>
              <w:jc w:val="right"/>
              <w:rPr>
                <w:rStyle w:val="ilfuvd"/>
                <w:rFonts w:eastAsiaTheme="majorEastAsia"/>
                <w:bCs/>
                <w:noProof/>
                <w:color w:val="000000" w:themeColor="text1"/>
                <w:sz w:val="16"/>
                <w:szCs w:val="16"/>
              </w:rPr>
            </w:pPr>
            <w:r>
              <w:rPr>
                <w:rStyle w:val="ilfuvd"/>
                <w:rFonts w:eastAsiaTheme="majorEastAsia"/>
                <w:bCs/>
                <w:noProof/>
                <w:color w:val="000000" w:themeColor="text1"/>
                <w:sz w:val="16"/>
                <w:szCs w:val="16"/>
              </w:rPr>
              <w:t>pm</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31734FAC" w14:textId="5EF62D22" w:rsidR="007C66D8" w:rsidRDefault="007C66D8" w:rsidP="00246BDF">
            <w:pPr>
              <w:pStyle w:val="Body"/>
              <w:spacing w:before="20" w:after="20" w:line="276" w:lineRule="auto"/>
              <w:jc w:val="right"/>
              <w:rPr>
                <w:rStyle w:val="ilfuvd"/>
                <w:rFonts w:eastAsiaTheme="majorEastAsia"/>
                <w:bCs/>
                <w:noProof/>
                <w:color w:val="000000" w:themeColor="text1"/>
                <w:sz w:val="16"/>
                <w:szCs w:val="16"/>
              </w:rPr>
            </w:pPr>
            <w:r>
              <w:rPr>
                <w:rStyle w:val="ilfuvd"/>
                <w:rFonts w:eastAsiaTheme="majorEastAsia"/>
                <w:bCs/>
                <w:noProof/>
                <w:color w:val="000000" w:themeColor="text1"/>
                <w:sz w:val="16"/>
                <w:szCs w:val="16"/>
              </w:rPr>
              <w:t xml:space="preserve">pm </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2FC4416B" w14:textId="119C66B2" w:rsidR="007C66D8" w:rsidRDefault="007C66D8" w:rsidP="00246BDF">
            <w:pPr>
              <w:pStyle w:val="Body"/>
              <w:spacing w:before="20" w:after="20" w:line="276" w:lineRule="auto"/>
              <w:jc w:val="right"/>
              <w:rPr>
                <w:rStyle w:val="ilfuvd"/>
                <w:rFonts w:eastAsiaTheme="majorEastAsia"/>
                <w:bCs/>
                <w:noProof/>
                <w:color w:val="000000" w:themeColor="text1"/>
                <w:sz w:val="16"/>
                <w:szCs w:val="16"/>
              </w:rPr>
            </w:pPr>
            <w:r>
              <w:rPr>
                <w:rStyle w:val="ilfuvd"/>
                <w:rFonts w:eastAsiaTheme="majorEastAsia"/>
                <w:bCs/>
                <w:noProof/>
                <w:color w:val="000000" w:themeColor="text1"/>
                <w:sz w:val="16"/>
                <w:szCs w:val="16"/>
              </w:rPr>
              <w:t xml:space="preserve">pm </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170E67BC" w14:textId="77777777" w:rsidR="007C66D8" w:rsidRDefault="007C66D8" w:rsidP="00246BDF">
            <w:pPr>
              <w:pStyle w:val="Body"/>
              <w:spacing w:before="20" w:after="20" w:line="276" w:lineRule="auto"/>
              <w:jc w:val="center"/>
              <w:rPr>
                <w:rStyle w:val="ilfuvd"/>
                <w:rFonts w:eastAsiaTheme="majorEastAsia"/>
                <w:bCs/>
                <w:noProof/>
                <w:color w:val="000000" w:themeColor="text1"/>
                <w:sz w:val="16"/>
                <w:szCs w:val="16"/>
              </w:rPr>
            </w:pPr>
          </w:p>
        </w:tc>
        <w:tc>
          <w:tcPr>
            <w:tcW w:w="9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1EAE642D" w14:textId="2B0080E7" w:rsidR="007C66D8" w:rsidRDefault="007C66D8" w:rsidP="00246BDF">
            <w:pPr>
              <w:pStyle w:val="Body"/>
              <w:spacing w:before="20" w:after="20" w:line="276" w:lineRule="auto"/>
              <w:jc w:val="right"/>
              <w:rPr>
                <w:rStyle w:val="ilfuvd"/>
                <w:rFonts w:eastAsiaTheme="majorEastAsia"/>
                <w:bCs/>
                <w:noProof/>
                <w:color w:val="000000" w:themeColor="text1"/>
                <w:sz w:val="16"/>
                <w:szCs w:val="16"/>
              </w:rPr>
            </w:pPr>
            <w:r>
              <w:rPr>
                <w:rStyle w:val="ilfuvd"/>
                <w:rFonts w:eastAsiaTheme="majorEastAsia"/>
                <w:bCs/>
                <w:noProof/>
                <w:color w:val="000000" w:themeColor="text1"/>
                <w:sz w:val="16"/>
                <w:szCs w:val="16"/>
              </w:rPr>
              <w:t xml:space="preserve">pm </w:t>
            </w:r>
          </w:p>
        </w:tc>
      </w:tr>
      <w:tr w:rsidR="007C66D8" w14:paraId="653A20E3" w14:textId="77777777" w:rsidTr="007C66D8">
        <w:trPr>
          <w:trHeight w:val="363"/>
          <w:jc w:val="center"/>
        </w:trPr>
        <w:tc>
          <w:tcPr>
            <w:tcW w:w="211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hideMark/>
          </w:tcPr>
          <w:p w14:paraId="60A97358" w14:textId="77777777" w:rsidR="00543412" w:rsidRDefault="00543412" w:rsidP="00246BDF">
            <w:pPr>
              <w:pStyle w:val="Body"/>
              <w:spacing w:line="276" w:lineRule="auto"/>
              <w:jc w:val="left"/>
              <w:rPr>
                <w:noProof/>
                <w:color w:val="000000" w:themeColor="text1"/>
                <w:sz w:val="16"/>
                <w:szCs w:val="16"/>
              </w:rPr>
            </w:pPr>
            <w:r>
              <w:rPr>
                <w:rStyle w:val="ilfuvd"/>
                <w:rFonts w:eastAsiaTheme="majorEastAsia"/>
                <w:b/>
                <w:bCs/>
                <w:noProof/>
                <w:color w:val="000000" w:themeColor="text1"/>
                <w:sz w:val="16"/>
                <w:szCs w:val="16"/>
              </w:rPr>
              <w:t>TOTAL appropriations for the envelop of the programme under heading 6</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hideMark/>
          </w:tcPr>
          <w:p w14:paraId="5FBAE509" w14:textId="77777777" w:rsidR="00543412" w:rsidRDefault="00543412" w:rsidP="00246BDF">
            <w:pPr>
              <w:pStyle w:val="Body"/>
              <w:spacing w:line="276" w:lineRule="auto"/>
              <w:jc w:val="left"/>
              <w:rPr>
                <w:noProof/>
                <w:color w:val="000000" w:themeColor="text1"/>
                <w:sz w:val="16"/>
                <w:szCs w:val="16"/>
              </w:rPr>
            </w:pPr>
            <w:r>
              <w:rPr>
                <w:rStyle w:val="ilfuvd"/>
                <w:rFonts w:eastAsiaTheme="majorEastAsia"/>
                <w:noProof/>
                <w:color w:val="000000" w:themeColor="text1"/>
                <w:sz w:val="16"/>
                <w:szCs w:val="16"/>
              </w:rPr>
              <w:t>Commitments</w:t>
            </w:r>
          </w:p>
        </w:tc>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hideMark/>
          </w:tcPr>
          <w:p w14:paraId="1FF183F5" w14:textId="77777777" w:rsidR="00543412" w:rsidRDefault="00543412" w:rsidP="00246BDF">
            <w:pPr>
              <w:pStyle w:val="Body"/>
              <w:spacing w:line="276" w:lineRule="auto"/>
              <w:jc w:val="center"/>
              <w:rPr>
                <w:noProof/>
                <w:color w:val="000000" w:themeColor="text1"/>
              </w:rPr>
            </w:pPr>
            <w:r>
              <w:rPr>
                <w:rStyle w:val="ilfuvd"/>
                <w:rFonts w:eastAsiaTheme="majorEastAsia"/>
                <w:noProof/>
                <w:color w:val="000000" w:themeColor="text1"/>
                <w:sz w:val="14"/>
                <w:szCs w:val="14"/>
              </w:rPr>
              <w:t>=1</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0F6000E2" w14:textId="77777777" w:rsidR="00543412" w:rsidRDefault="00543412" w:rsidP="00246BDF">
            <w:pPr>
              <w:pStyle w:val="Body"/>
              <w:spacing w:before="20" w:after="20" w:line="276" w:lineRule="auto"/>
              <w:jc w:val="right"/>
              <w:rPr>
                <w:rStyle w:val="ilfuvd"/>
                <w:rFonts w:eastAsiaTheme="majorEastAsia"/>
                <w:b/>
                <w:noProof/>
                <w:sz w:val="16"/>
                <w:szCs w:val="16"/>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710E9E63" w14:textId="77777777" w:rsidR="00543412" w:rsidRDefault="00543412" w:rsidP="00246BDF">
            <w:pPr>
              <w:pStyle w:val="Body"/>
              <w:spacing w:before="20" w:after="20" w:line="276" w:lineRule="auto"/>
              <w:jc w:val="right"/>
              <w:rPr>
                <w:rStyle w:val="ilfuvd"/>
                <w:rFonts w:eastAsiaTheme="majorEastAsia"/>
                <w:b/>
                <w:noProof/>
                <w:color w:val="000000" w:themeColor="text1"/>
                <w:sz w:val="16"/>
                <w:szCs w:val="16"/>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58DF3652" w14:textId="77777777" w:rsidR="00543412" w:rsidRDefault="00543412" w:rsidP="00246BDF">
            <w:pPr>
              <w:pStyle w:val="Body"/>
              <w:spacing w:before="20" w:after="20" w:line="276" w:lineRule="auto"/>
              <w:jc w:val="right"/>
              <w:rPr>
                <w:rStyle w:val="ilfuvd"/>
                <w:rFonts w:eastAsiaTheme="majorEastAsia"/>
                <w:b/>
                <w:noProof/>
                <w:color w:val="000000" w:themeColor="text1"/>
                <w:sz w:val="16"/>
                <w:szCs w:val="16"/>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0633D976" w14:textId="77777777" w:rsidR="00543412" w:rsidRDefault="00543412" w:rsidP="00246BDF">
            <w:pPr>
              <w:pStyle w:val="Body"/>
              <w:spacing w:before="20" w:after="20" w:line="276" w:lineRule="auto"/>
              <w:jc w:val="right"/>
              <w:rPr>
                <w:rStyle w:val="ilfuvd"/>
                <w:rFonts w:eastAsiaTheme="majorEastAsia"/>
                <w:b/>
                <w:noProof/>
                <w:color w:val="000000" w:themeColor="text1"/>
                <w:sz w:val="16"/>
                <w:szCs w:val="16"/>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0E2A260A" w14:textId="77777777" w:rsidR="00543412" w:rsidRDefault="00543412" w:rsidP="00246BDF">
            <w:pPr>
              <w:pStyle w:val="Body"/>
              <w:spacing w:before="20" w:after="20" w:line="276" w:lineRule="auto"/>
              <w:jc w:val="right"/>
              <w:rPr>
                <w:rStyle w:val="ilfuvd"/>
                <w:rFonts w:eastAsiaTheme="majorEastAsia"/>
                <w:b/>
                <w:noProof/>
                <w:color w:val="000000" w:themeColor="text1"/>
                <w:sz w:val="16"/>
                <w:szCs w:val="16"/>
              </w:rPr>
            </w:pPr>
            <w:r>
              <w:rPr>
                <w:rStyle w:val="ilfuvd"/>
                <w:rFonts w:eastAsiaTheme="majorEastAsia"/>
                <w:b/>
                <w:noProof/>
                <w:color w:val="000000" w:themeColor="text1"/>
                <w:sz w:val="16"/>
                <w:szCs w:val="16"/>
              </w:rPr>
              <w:t>pm</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0201FA85" w14:textId="77777777" w:rsidR="00543412" w:rsidRDefault="00543412" w:rsidP="00246BDF">
            <w:pPr>
              <w:pStyle w:val="Body"/>
              <w:spacing w:before="20" w:after="20" w:line="276" w:lineRule="auto"/>
              <w:jc w:val="right"/>
              <w:rPr>
                <w:rStyle w:val="ilfuvd"/>
                <w:rFonts w:eastAsiaTheme="majorEastAsia"/>
                <w:b/>
                <w:noProof/>
                <w:color w:val="000000" w:themeColor="text1"/>
                <w:sz w:val="16"/>
                <w:szCs w:val="16"/>
              </w:rPr>
            </w:pPr>
            <w:r>
              <w:rPr>
                <w:rStyle w:val="ilfuvd"/>
                <w:rFonts w:eastAsiaTheme="majorEastAsia"/>
                <w:b/>
                <w:noProof/>
                <w:color w:val="000000" w:themeColor="text1"/>
                <w:sz w:val="16"/>
                <w:szCs w:val="16"/>
              </w:rPr>
              <w:t>pm</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20F46C3A" w14:textId="77777777" w:rsidR="00543412" w:rsidRDefault="00543412" w:rsidP="00246BDF">
            <w:pPr>
              <w:pStyle w:val="Body"/>
              <w:spacing w:before="20" w:after="20" w:line="276" w:lineRule="auto"/>
              <w:jc w:val="right"/>
              <w:rPr>
                <w:rStyle w:val="ilfuvd"/>
                <w:rFonts w:eastAsiaTheme="majorEastAsia"/>
                <w:b/>
                <w:noProof/>
                <w:color w:val="000000" w:themeColor="text1"/>
                <w:sz w:val="16"/>
                <w:szCs w:val="16"/>
              </w:rPr>
            </w:pPr>
            <w:r>
              <w:rPr>
                <w:rStyle w:val="ilfuvd"/>
                <w:rFonts w:eastAsiaTheme="majorEastAsia"/>
                <w:b/>
                <w:noProof/>
                <w:color w:val="000000" w:themeColor="text1"/>
                <w:sz w:val="16"/>
                <w:szCs w:val="16"/>
              </w:rPr>
              <w:t>pm</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5BE8B17B" w14:textId="77777777" w:rsidR="00543412" w:rsidRDefault="00543412" w:rsidP="00246BDF">
            <w:pPr>
              <w:pStyle w:val="Body"/>
              <w:spacing w:before="20" w:after="20" w:line="276" w:lineRule="auto"/>
              <w:jc w:val="center"/>
              <w:rPr>
                <w:rStyle w:val="ilfuvd"/>
                <w:rFonts w:eastAsiaTheme="majorEastAsia"/>
                <w:b/>
                <w:noProof/>
                <w:color w:val="000000" w:themeColor="text1"/>
                <w:sz w:val="16"/>
                <w:szCs w:val="16"/>
              </w:rPr>
            </w:pPr>
          </w:p>
        </w:tc>
        <w:tc>
          <w:tcPr>
            <w:tcW w:w="9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08EDA64F" w14:textId="77777777" w:rsidR="00543412" w:rsidRDefault="00543412" w:rsidP="00246BDF">
            <w:pPr>
              <w:pStyle w:val="Body"/>
              <w:spacing w:before="20" w:after="20" w:line="276" w:lineRule="auto"/>
              <w:jc w:val="right"/>
              <w:rPr>
                <w:rStyle w:val="ilfuvd"/>
                <w:rFonts w:eastAsiaTheme="majorEastAsia"/>
                <w:b/>
                <w:noProof/>
                <w:color w:val="000000" w:themeColor="text1"/>
                <w:sz w:val="16"/>
                <w:szCs w:val="16"/>
              </w:rPr>
            </w:pPr>
            <w:r>
              <w:rPr>
                <w:rStyle w:val="ilfuvd"/>
                <w:rFonts w:eastAsiaTheme="majorEastAsia"/>
                <w:b/>
                <w:noProof/>
                <w:color w:val="000000" w:themeColor="text1"/>
                <w:sz w:val="16"/>
                <w:szCs w:val="16"/>
              </w:rPr>
              <w:t>pm</w:t>
            </w:r>
          </w:p>
        </w:tc>
      </w:tr>
      <w:tr w:rsidR="006527D7" w14:paraId="6FB68D3F" w14:textId="77777777" w:rsidTr="006527D7">
        <w:trPr>
          <w:trHeight w:val="491"/>
          <w:jc w:val="center"/>
        </w:trPr>
        <w:tc>
          <w:tcPr>
            <w:tcW w:w="211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ED7E7"/>
            <w:vAlign w:val="center"/>
            <w:hideMark/>
          </w:tcPr>
          <w:p w14:paraId="6A598897" w14:textId="77777777" w:rsidR="00543412" w:rsidRDefault="00543412" w:rsidP="00246BDF">
            <w:pPr>
              <w:spacing w:before="0" w:after="0" w:line="276" w:lineRule="auto"/>
              <w:jc w:val="left"/>
              <w:rPr>
                <w:rFonts w:eastAsia="Times New Roman"/>
                <w:noProof/>
                <w:color w:val="000000" w:themeColor="text1"/>
                <w:sz w:val="16"/>
                <w:szCs w:val="16"/>
                <w:u w:color="000000"/>
                <w:lang w:eastAsia="en-GB"/>
              </w:rPr>
            </w:pP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hideMark/>
          </w:tcPr>
          <w:p w14:paraId="07DA04A4" w14:textId="77777777" w:rsidR="00543412" w:rsidRDefault="00543412" w:rsidP="00246BDF">
            <w:pPr>
              <w:pStyle w:val="Body"/>
              <w:spacing w:line="276" w:lineRule="auto"/>
              <w:jc w:val="left"/>
              <w:rPr>
                <w:rFonts w:eastAsiaTheme="majorEastAsia"/>
                <w:noProof/>
              </w:rPr>
            </w:pPr>
            <w:r>
              <w:rPr>
                <w:rStyle w:val="ilfuvd"/>
                <w:rFonts w:eastAsiaTheme="majorEastAsia"/>
                <w:noProof/>
                <w:color w:val="000000" w:themeColor="text1"/>
                <w:sz w:val="16"/>
                <w:szCs w:val="16"/>
              </w:rPr>
              <w:t>Payments</w:t>
            </w:r>
          </w:p>
        </w:tc>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hideMark/>
          </w:tcPr>
          <w:p w14:paraId="51F0BDC0" w14:textId="77777777" w:rsidR="00543412" w:rsidRDefault="00543412" w:rsidP="00246BDF">
            <w:pPr>
              <w:pStyle w:val="Body"/>
              <w:spacing w:line="276" w:lineRule="auto"/>
              <w:jc w:val="center"/>
              <w:rPr>
                <w:noProof/>
                <w:color w:val="000000" w:themeColor="text1"/>
              </w:rPr>
            </w:pPr>
            <w:r>
              <w:rPr>
                <w:rStyle w:val="ilfuvd"/>
                <w:rFonts w:eastAsiaTheme="majorEastAsia"/>
                <w:noProof/>
                <w:color w:val="000000" w:themeColor="text1"/>
                <w:sz w:val="14"/>
                <w:szCs w:val="14"/>
              </w:rPr>
              <w:t>=2</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1BAC551B" w14:textId="77777777" w:rsidR="00543412" w:rsidRDefault="00543412" w:rsidP="00246BDF">
            <w:pPr>
              <w:pStyle w:val="Body"/>
              <w:spacing w:before="20" w:after="20" w:line="276" w:lineRule="auto"/>
              <w:jc w:val="right"/>
              <w:rPr>
                <w:rStyle w:val="ilfuvd"/>
                <w:rFonts w:eastAsiaTheme="majorEastAsia"/>
                <w:b/>
                <w:noProof/>
                <w:sz w:val="16"/>
                <w:szCs w:val="16"/>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3D49A4EE" w14:textId="77777777" w:rsidR="00543412" w:rsidRDefault="00543412" w:rsidP="00246BDF">
            <w:pPr>
              <w:pStyle w:val="Body"/>
              <w:spacing w:before="20" w:after="20" w:line="276" w:lineRule="auto"/>
              <w:jc w:val="right"/>
              <w:rPr>
                <w:rStyle w:val="ilfuvd"/>
                <w:rFonts w:eastAsiaTheme="majorEastAsia"/>
                <w:b/>
                <w:noProof/>
                <w:color w:val="000000" w:themeColor="text1"/>
                <w:sz w:val="16"/>
                <w:szCs w:val="16"/>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4D491A2C" w14:textId="77777777" w:rsidR="00543412" w:rsidRDefault="00543412" w:rsidP="00246BDF">
            <w:pPr>
              <w:pStyle w:val="Body"/>
              <w:spacing w:before="20" w:after="20" w:line="276" w:lineRule="auto"/>
              <w:jc w:val="right"/>
              <w:rPr>
                <w:rStyle w:val="ilfuvd"/>
                <w:rFonts w:eastAsiaTheme="majorEastAsia"/>
                <w:b/>
                <w:noProof/>
                <w:color w:val="000000" w:themeColor="text1"/>
                <w:sz w:val="16"/>
                <w:szCs w:val="16"/>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087DF06A" w14:textId="77777777" w:rsidR="00543412" w:rsidRDefault="00543412" w:rsidP="00246BDF">
            <w:pPr>
              <w:pStyle w:val="Body"/>
              <w:spacing w:before="20" w:after="20" w:line="276" w:lineRule="auto"/>
              <w:jc w:val="right"/>
              <w:rPr>
                <w:rStyle w:val="ilfuvd"/>
                <w:rFonts w:eastAsiaTheme="majorEastAsia"/>
                <w:b/>
                <w:noProof/>
                <w:color w:val="000000" w:themeColor="text1"/>
                <w:sz w:val="16"/>
                <w:szCs w:val="16"/>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627CD198" w14:textId="77777777" w:rsidR="00543412" w:rsidRPr="00EF05BB" w:rsidRDefault="00543412" w:rsidP="00246BDF">
            <w:pPr>
              <w:pStyle w:val="Body"/>
              <w:spacing w:before="20" w:after="20" w:line="276" w:lineRule="auto"/>
              <w:jc w:val="right"/>
              <w:rPr>
                <w:rStyle w:val="ilfuvd"/>
                <w:rFonts w:eastAsiaTheme="majorEastAsia"/>
                <w:b/>
                <w:noProof/>
                <w:color w:val="000000" w:themeColor="text1"/>
                <w:sz w:val="16"/>
                <w:szCs w:val="16"/>
                <w:highlight w:val="yellow"/>
              </w:rPr>
            </w:pPr>
            <w:r>
              <w:rPr>
                <w:rStyle w:val="ilfuvd"/>
                <w:rFonts w:eastAsiaTheme="majorEastAsia"/>
                <w:b/>
                <w:noProof/>
                <w:color w:val="000000" w:themeColor="text1"/>
                <w:sz w:val="16"/>
                <w:szCs w:val="16"/>
              </w:rPr>
              <w:t>pm</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6981B22C" w14:textId="77777777" w:rsidR="00543412" w:rsidRPr="00DF0AB6" w:rsidRDefault="00543412" w:rsidP="00246BDF">
            <w:pPr>
              <w:pStyle w:val="Body"/>
              <w:spacing w:before="20" w:after="20" w:line="276" w:lineRule="auto"/>
              <w:jc w:val="right"/>
              <w:rPr>
                <w:rStyle w:val="ilfuvd"/>
                <w:rFonts w:eastAsiaTheme="majorEastAsia"/>
                <w:b/>
                <w:noProof/>
                <w:color w:val="000000" w:themeColor="text1"/>
                <w:sz w:val="16"/>
                <w:szCs w:val="16"/>
              </w:rPr>
            </w:pPr>
            <w:r>
              <w:rPr>
                <w:rStyle w:val="ilfuvd"/>
                <w:rFonts w:eastAsiaTheme="majorEastAsia"/>
                <w:b/>
                <w:noProof/>
                <w:color w:val="000000" w:themeColor="text1"/>
                <w:sz w:val="16"/>
                <w:szCs w:val="16"/>
              </w:rPr>
              <w:t>pm</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2F9D28CA" w14:textId="77777777" w:rsidR="00543412" w:rsidRPr="00DF0AB6" w:rsidRDefault="00543412" w:rsidP="00246BDF">
            <w:pPr>
              <w:pStyle w:val="Body"/>
              <w:spacing w:before="20" w:after="20" w:line="276" w:lineRule="auto"/>
              <w:jc w:val="right"/>
              <w:rPr>
                <w:rStyle w:val="ilfuvd"/>
                <w:rFonts w:eastAsiaTheme="majorEastAsia"/>
                <w:b/>
                <w:noProof/>
                <w:color w:val="000000" w:themeColor="text1"/>
                <w:sz w:val="16"/>
                <w:szCs w:val="16"/>
              </w:rPr>
            </w:pPr>
            <w:r>
              <w:rPr>
                <w:rStyle w:val="ilfuvd"/>
                <w:rFonts w:eastAsiaTheme="majorEastAsia"/>
                <w:b/>
                <w:noProof/>
                <w:color w:val="000000" w:themeColor="text1"/>
                <w:sz w:val="16"/>
                <w:szCs w:val="16"/>
              </w:rPr>
              <w:t>pm</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3B3288F4" w14:textId="77777777" w:rsidR="00543412" w:rsidRPr="00DF0AB6" w:rsidRDefault="00543412" w:rsidP="00246BDF">
            <w:pPr>
              <w:pStyle w:val="Body"/>
              <w:spacing w:before="20" w:after="20" w:line="276" w:lineRule="auto"/>
              <w:jc w:val="right"/>
              <w:rPr>
                <w:rStyle w:val="ilfuvd"/>
                <w:rFonts w:eastAsiaTheme="majorEastAsia"/>
                <w:b/>
                <w:noProof/>
                <w:color w:val="000000" w:themeColor="text1"/>
                <w:sz w:val="16"/>
                <w:szCs w:val="16"/>
              </w:rPr>
            </w:pPr>
          </w:p>
        </w:tc>
        <w:tc>
          <w:tcPr>
            <w:tcW w:w="9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1CBCBBA1" w14:textId="77777777" w:rsidR="00543412" w:rsidRDefault="00543412" w:rsidP="00246BDF">
            <w:pPr>
              <w:pStyle w:val="Body"/>
              <w:spacing w:before="20" w:after="20" w:line="276" w:lineRule="auto"/>
              <w:jc w:val="right"/>
              <w:rPr>
                <w:rStyle w:val="ilfuvd"/>
                <w:rFonts w:eastAsiaTheme="majorEastAsia"/>
                <w:b/>
                <w:noProof/>
                <w:color w:val="000000" w:themeColor="text1"/>
                <w:sz w:val="16"/>
                <w:szCs w:val="16"/>
              </w:rPr>
            </w:pPr>
            <w:r>
              <w:rPr>
                <w:rStyle w:val="ilfuvd"/>
                <w:rFonts w:eastAsiaTheme="majorEastAsia"/>
                <w:b/>
                <w:noProof/>
                <w:color w:val="000000" w:themeColor="text1"/>
                <w:sz w:val="16"/>
                <w:szCs w:val="16"/>
              </w:rPr>
              <w:t>pm</w:t>
            </w:r>
          </w:p>
        </w:tc>
      </w:tr>
    </w:tbl>
    <w:p w14:paraId="5C5B75CB" w14:textId="77777777" w:rsidR="00543412" w:rsidRDefault="00543412" w:rsidP="00543412">
      <w:pPr>
        <w:rPr>
          <w:b/>
          <w:noProof/>
          <w:color w:val="000000" w:themeColor="text1"/>
          <w:sz w:val="22"/>
          <w:u w:val="single"/>
        </w:rPr>
      </w:pPr>
    </w:p>
    <w:tbl>
      <w:tblPr>
        <w:tblW w:w="11580" w:type="dxa"/>
        <w:jc w:val="cente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shd w:val="clear" w:color="auto" w:fill="CED7E7"/>
        <w:tblLayout w:type="fixed"/>
        <w:tblLook w:val="04A0" w:firstRow="1" w:lastRow="0" w:firstColumn="1" w:lastColumn="0" w:noHBand="0" w:noVBand="1"/>
      </w:tblPr>
      <w:tblGrid>
        <w:gridCol w:w="2110"/>
        <w:gridCol w:w="1132"/>
        <w:gridCol w:w="566"/>
        <w:gridCol w:w="850"/>
        <w:gridCol w:w="851"/>
        <w:gridCol w:w="850"/>
        <w:gridCol w:w="851"/>
        <w:gridCol w:w="850"/>
        <w:gridCol w:w="851"/>
        <w:gridCol w:w="850"/>
        <w:gridCol w:w="851"/>
        <w:gridCol w:w="968"/>
      </w:tblGrid>
      <w:tr w:rsidR="00543412" w14:paraId="478FB1BD" w14:textId="77777777" w:rsidTr="00246BDF">
        <w:trPr>
          <w:trHeight w:val="363"/>
          <w:jc w:val="center"/>
        </w:trPr>
        <w:tc>
          <w:tcPr>
            <w:tcW w:w="211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hideMark/>
          </w:tcPr>
          <w:p w14:paraId="3BC2E229" w14:textId="77777777" w:rsidR="00543412" w:rsidRDefault="00543412" w:rsidP="00246BDF">
            <w:pPr>
              <w:pStyle w:val="Body"/>
              <w:spacing w:line="276" w:lineRule="auto"/>
              <w:jc w:val="left"/>
              <w:rPr>
                <w:noProof/>
                <w:color w:val="000000" w:themeColor="text1"/>
                <w:sz w:val="16"/>
                <w:szCs w:val="16"/>
              </w:rPr>
            </w:pPr>
            <w:r>
              <w:rPr>
                <w:rStyle w:val="ilfuvd"/>
                <w:rFonts w:eastAsia="Arial Unicode MS" w:cs="Arial Unicode MS"/>
                <w:noProof/>
                <w:color w:val="000000" w:themeColor="text1"/>
                <w:sz w:val="16"/>
                <w:szCs w:val="16"/>
              </w:rPr>
              <w:t>TOTAL operational appropriations (all operational headings)</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hideMark/>
          </w:tcPr>
          <w:p w14:paraId="3E6B0A93" w14:textId="77777777" w:rsidR="00543412" w:rsidRDefault="00543412" w:rsidP="00246BDF">
            <w:pPr>
              <w:pStyle w:val="Body"/>
              <w:spacing w:before="20" w:after="20" w:line="276" w:lineRule="auto"/>
              <w:jc w:val="left"/>
              <w:rPr>
                <w:noProof/>
                <w:color w:val="000000" w:themeColor="text1"/>
                <w:sz w:val="16"/>
                <w:szCs w:val="16"/>
              </w:rPr>
            </w:pPr>
            <w:r>
              <w:rPr>
                <w:rStyle w:val="ilfuvd"/>
                <w:rFonts w:eastAsiaTheme="majorEastAsia"/>
                <w:noProof/>
                <w:color w:val="000000" w:themeColor="text1"/>
                <w:sz w:val="16"/>
                <w:szCs w:val="16"/>
              </w:rPr>
              <w:t>Commitments</w:t>
            </w:r>
          </w:p>
        </w:tc>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hideMark/>
          </w:tcPr>
          <w:p w14:paraId="2B816E6A" w14:textId="77777777" w:rsidR="00543412" w:rsidRDefault="00543412" w:rsidP="00246BDF">
            <w:pPr>
              <w:pStyle w:val="Body"/>
              <w:spacing w:before="20" w:after="20" w:line="276" w:lineRule="auto"/>
              <w:jc w:val="center"/>
              <w:rPr>
                <w:noProof/>
                <w:color w:val="000000" w:themeColor="text1"/>
              </w:rPr>
            </w:pPr>
            <w:r>
              <w:rPr>
                <w:rStyle w:val="ilfuvd"/>
                <w:rFonts w:eastAsiaTheme="majorEastAsia"/>
                <w:noProof/>
                <w:color w:val="000000" w:themeColor="text1"/>
                <w:sz w:val="14"/>
                <w:szCs w:val="14"/>
              </w:rPr>
              <w:t>(4)</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1F759726" w14:textId="77777777" w:rsidR="00543412" w:rsidRDefault="00543412" w:rsidP="00246BDF">
            <w:pPr>
              <w:pStyle w:val="Body"/>
              <w:spacing w:before="20" w:after="20" w:line="276" w:lineRule="auto"/>
              <w:jc w:val="right"/>
              <w:rPr>
                <w:rStyle w:val="ilfuvd"/>
                <w:rFonts w:eastAsiaTheme="majorEastAsia"/>
                <w:noProof/>
                <w:sz w:val="16"/>
                <w:szCs w:val="16"/>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7D3460F2" w14:textId="77777777" w:rsidR="00543412" w:rsidRDefault="00543412" w:rsidP="00246BDF">
            <w:pPr>
              <w:pStyle w:val="Body"/>
              <w:spacing w:before="20" w:after="20" w:line="276" w:lineRule="auto"/>
              <w:jc w:val="right"/>
              <w:rPr>
                <w:rStyle w:val="ilfuvd"/>
                <w:rFonts w:eastAsiaTheme="majorEastAsia"/>
                <w:noProof/>
                <w:color w:val="000000" w:themeColor="text1"/>
                <w:sz w:val="16"/>
                <w:szCs w:val="16"/>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5D782371" w14:textId="77777777" w:rsidR="00543412" w:rsidRDefault="00543412" w:rsidP="00246BDF">
            <w:pPr>
              <w:pStyle w:val="Body"/>
              <w:spacing w:before="20" w:after="20" w:line="276" w:lineRule="auto"/>
              <w:jc w:val="right"/>
              <w:rPr>
                <w:rStyle w:val="ilfuvd"/>
                <w:rFonts w:eastAsiaTheme="majorEastAsia"/>
                <w:noProof/>
                <w:color w:val="000000" w:themeColor="text1"/>
                <w:sz w:val="16"/>
                <w:szCs w:val="16"/>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64F485E2" w14:textId="77777777" w:rsidR="00543412" w:rsidRDefault="00543412" w:rsidP="00246BDF">
            <w:pPr>
              <w:pStyle w:val="Body"/>
              <w:spacing w:before="20" w:after="20" w:line="276" w:lineRule="auto"/>
              <w:jc w:val="right"/>
              <w:rPr>
                <w:rStyle w:val="ilfuvd"/>
                <w:rFonts w:eastAsiaTheme="majorEastAsia"/>
                <w:noProof/>
                <w:color w:val="000000" w:themeColor="text1"/>
                <w:sz w:val="16"/>
                <w:szCs w:val="16"/>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hideMark/>
          </w:tcPr>
          <w:p w14:paraId="13C11528" w14:textId="77777777" w:rsidR="00543412" w:rsidRDefault="00543412" w:rsidP="00246BDF">
            <w:pPr>
              <w:pStyle w:val="Body"/>
              <w:spacing w:before="20" w:after="20" w:line="276" w:lineRule="auto"/>
              <w:jc w:val="right"/>
              <w:rPr>
                <w:rStyle w:val="ilfuvd"/>
                <w:rFonts w:eastAsiaTheme="majorEastAsia"/>
                <w:noProof/>
                <w:color w:val="000000" w:themeColor="text1"/>
                <w:sz w:val="16"/>
                <w:szCs w:val="16"/>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hideMark/>
          </w:tcPr>
          <w:p w14:paraId="71556224" w14:textId="77777777" w:rsidR="00543412" w:rsidRDefault="00543412" w:rsidP="00246BDF">
            <w:pPr>
              <w:pStyle w:val="Body"/>
              <w:spacing w:before="20" w:after="20" w:line="276" w:lineRule="auto"/>
              <w:jc w:val="right"/>
              <w:rPr>
                <w:rStyle w:val="ilfuvd"/>
                <w:rFonts w:eastAsiaTheme="majorEastAsia"/>
                <w:noProof/>
                <w:color w:val="000000" w:themeColor="text1"/>
                <w:sz w:val="16"/>
                <w:szCs w:val="16"/>
              </w:rPr>
            </w:pPr>
            <w:r>
              <w:rPr>
                <w:rStyle w:val="ilfuvd"/>
                <w:rFonts w:eastAsiaTheme="majorEastAsia"/>
                <w:noProof/>
                <w:color w:val="000000" w:themeColor="text1"/>
                <w:sz w:val="16"/>
                <w:szCs w:val="16"/>
              </w:rPr>
              <w:t>615.248</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hideMark/>
          </w:tcPr>
          <w:p w14:paraId="73A2EB46" w14:textId="77777777" w:rsidR="00543412" w:rsidRDefault="00543412" w:rsidP="00246BDF">
            <w:pPr>
              <w:pStyle w:val="Body"/>
              <w:spacing w:before="20" w:after="20" w:line="276" w:lineRule="auto"/>
              <w:jc w:val="right"/>
              <w:rPr>
                <w:rStyle w:val="ilfuvd"/>
                <w:rFonts w:eastAsiaTheme="majorEastAsia"/>
                <w:noProof/>
                <w:color w:val="000000" w:themeColor="text1"/>
                <w:sz w:val="16"/>
                <w:szCs w:val="16"/>
              </w:rPr>
            </w:pPr>
            <w:r>
              <w:rPr>
                <w:rStyle w:val="ilfuvd"/>
                <w:rFonts w:eastAsiaTheme="majorEastAsia"/>
                <w:noProof/>
                <w:color w:val="000000" w:themeColor="text1"/>
                <w:sz w:val="16"/>
                <w:szCs w:val="16"/>
              </w:rPr>
              <w:t>872.096</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4C28C15C" w14:textId="77777777" w:rsidR="00543412" w:rsidRDefault="00543412" w:rsidP="00246BDF">
            <w:pPr>
              <w:pStyle w:val="Body"/>
              <w:spacing w:before="20" w:after="20" w:line="276" w:lineRule="auto"/>
              <w:jc w:val="right"/>
              <w:rPr>
                <w:rStyle w:val="ilfuvd"/>
                <w:rFonts w:eastAsiaTheme="majorEastAsia"/>
                <w:noProof/>
                <w:color w:val="000000" w:themeColor="text1"/>
                <w:sz w:val="16"/>
                <w:szCs w:val="16"/>
              </w:rPr>
            </w:pPr>
          </w:p>
        </w:tc>
        <w:tc>
          <w:tcPr>
            <w:tcW w:w="9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hideMark/>
          </w:tcPr>
          <w:p w14:paraId="528EB3AC" w14:textId="77777777" w:rsidR="00543412" w:rsidRDefault="00543412" w:rsidP="00246BDF">
            <w:pPr>
              <w:pStyle w:val="Body"/>
              <w:spacing w:before="20" w:after="20" w:line="276" w:lineRule="auto"/>
              <w:jc w:val="center"/>
              <w:rPr>
                <w:rStyle w:val="ilfuvd"/>
                <w:rFonts w:eastAsiaTheme="majorEastAsia"/>
                <w:b/>
                <w:bCs/>
                <w:noProof/>
                <w:color w:val="000000" w:themeColor="text1"/>
                <w:sz w:val="16"/>
                <w:szCs w:val="16"/>
              </w:rPr>
            </w:pPr>
            <w:r>
              <w:rPr>
                <w:rStyle w:val="ilfuvd"/>
                <w:rFonts w:eastAsiaTheme="majorEastAsia"/>
                <w:b/>
                <w:bCs/>
                <w:noProof/>
                <w:color w:val="000000" w:themeColor="text1"/>
                <w:sz w:val="16"/>
                <w:szCs w:val="16"/>
              </w:rPr>
              <w:t>1.487.344</w:t>
            </w:r>
          </w:p>
        </w:tc>
      </w:tr>
      <w:tr w:rsidR="00543412" w14:paraId="30C2D669" w14:textId="77777777" w:rsidTr="00246BDF">
        <w:trPr>
          <w:trHeight w:val="491"/>
          <w:jc w:val="center"/>
        </w:trPr>
        <w:tc>
          <w:tcPr>
            <w:tcW w:w="211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ED7E7"/>
            <w:vAlign w:val="center"/>
            <w:hideMark/>
          </w:tcPr>
          <w:p w14:paraId="6EA27AD8" w14:textId="77777777" w:rsidR="00543412" w:rsidRDefault="00543412" w:rsidP="00246BDF">
            <w:pPr>
              <w:spacing w:before="0" w:after="0" w:line="276" w:lineRule="auto"/>
              <w:jc w:val="left"/>
              <w:rPr>
                <w:rFonts w:eastAsia="Times New Roman"/>
                <w:noProof/>
                <w:color w:val="000000" w:themeColor="text1"/>
                <w:sz w:val="16"/>
                <w:szCs w:val="16"/>
                <w:u w:color="000000"/>
                <w:lang w:eastAsia="en-GB"/>
              </w:rPr>
            </w:pP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hideMark/>
          </w:tcPr>
          <w:p w14:paraId="6A4FB2D7" w14:textId="77777777" w:rsidR="00543412" w:rsidRDefault="00543412" w:rsidP="00246BDF">
            <w:pPr>
              <w:pStyle w:val="Body"/>
              <w:spacing w:before="20" w:after="20" w:line="276" w:lineRule="auto"/>
              <w:jc w:val="left"/>
              <w:rPr>
                <w:rFonts w:eastAsiaTheme="majorEastAsia"/>
                <w:noProof/>
              </w:rPr>
            </w:pPr>
            <w:r>
              <w:rPr>
                <w:rStyle w:val="ilfuvd"/>
                <w:rFonts w:eastAsiaTheme="majorEastAsia"/>
                <w:noProof/>
                <w:color w:val="000000" w:themeColor="text1"/>
                <w:sz w:val="16"/>
                <w:szCs w:val="16"/>
              </w:rPr>
              <w:t>Payments</w:t>
            </w:r>
          </w:p>
        </w:tc>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hideMark/>
          </w:tcPr>
          <w:p w14:paraId="0E8CE469" w14:textId="77777777" w:rsidR="00543412" w:rsidRDefault="00543412" w:rsidP="00246BDF">
            <w:pPr>
              <w:pStyle w:val="Body"/>
              <w:spacing w:before="20" w:after="20" w:line="276" w:lineRule="auto"/>
              <w:jc w:val="center"/>
              <w:rPr>
                <w:noProof/>
                <w:color w:val="000000" w:themeColor="text1"/>
              </w:rPr>
            </w:pPr>
            <w:r>
              <w:rPr>
                <w:rStyle w:val="ilfuvd"/>
                <w:rFonts w:eastAsiaTheme="majorEastAsia"/>
                <w:noProof/>
                <w:color w:val="000000" w:themeColor="text1"/>
                <w:sz w:val="14"/>
                <w:szCs w:val="14"/>
              </w:rPr>
              <w:t>(5)</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4E233EC0" w14:textId="77777777" w:rsidR="00543412" w:rsidRDefault="00543412" w:rsidP="00246BDF">
            <w:pPr>
              <w:pStyle w:val="Body"/>
              <w:spacing w:before="20" w:after="20" w:line="276" w:lineRule="auto"/>
              <w:jc w:val="right"/>
              <w:rPr>
                <w:rStyle w:val="ilfuvd"/>
                <w:rFonts w:eastAsiaTheme="majorEastAsia"/>
                <w:noProof/>
                <w:sz w:val="16"/>
                <w:szCs w:val="16"/>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392B24D7" w14:textId="77777777" w:rsidR="00543412" w:rsidRDefault="00543412" w:rsidP="00246BDF">
            <w:pPr>
              <w:pStyle w:val="Body"/>
              <w:spacing w:before="20" w:after="20" w:line="276" w:lineRule="auto"/>
              <w:jc w:val="right"/>
              <w:rPr>
                <w:rStyle w:val="ilfuvd"/>
                <w:rFonts w:eastAsiaTheme="majorEastAsia"/>
                <w:noProof/>
                <w:color w:val="000000" w:themeColor="text1"/>
                <w:sz w:val="16"/>
                <w:szCs w:val="16"/>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473124D2" w14:textId="77777777" w:rsidR="00543412" w:rsidRDefault="00543412" w:rsidP="00246BDF">
            <w:pPr>
              <w:pStyle w:val="Body"/>
              <w:spacing w:before="20" w:after="20" w:line="276" w:lineRule="auto"/>
              <w:jc w:val="right"/>
              <w:rPr>
                <w:rStyle w:val="ilfuvd"/>
                <w:rFonts w:eastAsiaTheme="majorEastAsia"/>
                <w:noProof/>
                <w:color w:val="000000" w:themeColor="text1"/>
                <w:sz w:val="16"/>
                <w:szCs w:val="16"/>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435E6887" w14:textId="77777777" w:rsidR="00543412" w:rsidRDefault="00543412" w:rsidP="00246BDF">
            <w:pPr>
              <w:pStyle w:val="Body"/>
              <w:spacing w:before="20" w:after="20" w:line="276" w:lineRule="auto"/>
              <w:jc w:val="right"/>
              <w:rPr>
                <w:rStyle w:val="ilfuvd"/>
                <w:rFonts w:eastAsiaTheme="majorEastAsia"/>
                <w:noProof/>
                <w:color w:val="000000" w:themeColor="text1"/>
                <w:sz w:val="16"/>
                <w:szCs w:val="16"/>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hideMark/>
          </w:tcPr>
          <w:p w14:paraId="17DCCD86" w14:textId="77777777" w:rsidR="00543412" w:rsidRDefault="00543412" w:rsidP="00246BDF">
            <w:pPr>
              <w:pStyle w:val="Body"/>
              <w:spacing w:before="20" w:after="20" w:line="276" w:lineRule="auto"/>
              <w:jc w:val="right"/>
              <w:rPr>
                <w:rStyle w:val="ilfuvd"/>
                <w:rFonts w:eastAsiaTheme="majorEastAsia"/>
                <w:noProof/>
                <w:color w:val="000000" w:themeColor="text1"/>
                <w:sz w:val="16"/>
                <w:szCs w:val="16"/>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hideMark/>
          </w:tcPr>
          <w:p w14:paraId="0CC5564A" w14:textId="77777777" w:rsidR="00543412" w:rsidRPr="006D2565" w:rsidRDefault="00543412" w:rsidP="00246BDF">
            <w:pPr>
              <w:pStyle w:val="Body"/>
              <w:spacing w:before="20" w:after="20" w:line="276" w:lineRule="auto"/>
              <w:jc w:val="right"/>
              <w:rPr>
                <w:rStyle w:val="ilfuvd"/>
                <w:rFonts w:eastAsiaTheme="majorEastAsia"/>
                <w:noProof/>
                <w:color w:val="000000" w:themeColor="text1"/>
                <w:sz w:val="16"/>
                <w:szCs w:val="16"/>
              </w:rPr>
            </w:pPr>
            <w:r>
              <w:rPr>
                <w:rStyle w:val="ilfuvd"/>
                <w:rFonts w:eastAsiaTheme="majorEastAsia"/>
                <w:noProof/>
                <w:color w:val="000000" w:themeColor="text1"/>
                <w:sz w:val="16"/>
                <w:szCs w:val="16"/>
              </w:rPr>
              <w:t>310.000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hideMark/>
          </w:tcPr>
          <w:p w14:paraId="098C08BD" w14:textId="77777777" w:rsidR="00543412" w:rsidRPr="006D2565" w:rsidRDefault="00543412" w:rsidP="00246BDF">
            <w:pPr>
              <w:pStyle w:val="Body"/>
              <w:spacing w:before="20" w:after="20" w:line="276" w:lineRule="auto"/>
              <w:jc w:val="right"/>
              <w:rPr>
                <w:rStyle w:val="ilfuvd"/>
                <w:rFonts w:eastAsiaTheme="majorEastAsia"/>
                <w:noProof/>
                <w:color w:val="000000" w:themeColor="text1"/>
                <w:sz w:val="16"/>
                <w:szCs w:val="16"/>
              </w:rPr>
            </w:pPr>
            <w:r>
              <w:rPr>
                <w:rStyle w:val="ilfuvd"/>
                <w:rFonts w:eastAsiaTheme="majorEastAsia"/>
                <w:noProof/>
                <w:color w:val="000000" w:themeColor="text1"/>
                <w:sz w:val="16"/>
                <w:szCs w:val="16"/>
              </w:rPr>
              <w:t>440.000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hideMark/>
          </w:tcPr>
          <w:p w14:paraId="5C37E272" w14:textId="77777777" w:rsidR="00543412" w:rsidRPr="006D2565" w:rsidRDefault="00543412" w:rsidP="00246BDF">
            <w:pPr>
              <w:pStyle w:val="Body"/>
              <w:spacing w:before="20" w:after="20" w:line="276" w:lineRule="auto"/>
              <w:jc w:val="right"/>
              <w:rPr>
                <w:rStyle w:val="ilfuvd"/>
                <w:rFonts w:eastAsiaTheme="majorEastAsia"/>
                <w:noProof/>
                <w:color w:val="000000" w:themeColor="text1"/>
                <w:sz w:val="16"/>
                <w:szCs w:val="16"/>
              </w:rPr>
            </w:pPr>
            <w:r>
              <w:rPr>
                <w:rStyle w:val="ilfuvd"/>
                <w:rFonts w:eastAsiaTheme="majorEastAsia"/>
                <w:noProof/>
                <w:color w:val="000000" w:themeColor="text1"/>
                <w:sz w:val="16"/>
                <w:szCs w:val="16"/>
              </w:rPr>
              <w:t>737.344</w:t>
            </w:r>
          </w:p>
        </w:tc>
        <w:tc>
          <w:tcPr>
            <w:tcW w:w="9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hideMark/>
          </w:tcPr>
          <w:p w14:paraId="66F71A8F" w14:textId="77777777" w:rsidR="00543412" w:rsidRDefault="00543412" w:rsidP="00246BDF">
            <w:pPr>
              <w:pStyle w:val="Body"/>
              <w:spacing w:before="20" w:after="20" w:line="276" w:lineRule="auto"/>
              <w:jc w:val="center"/>
              <w:rPr>
                <w:rFonts w:eastAsiaTheme="majorEastAsia"/>
                <w:noProof/>
              </w:rPr>
            </w:pPr>
            <w:r>
              <w:rPr>
                <w:rStyle w:val="ilfuvd"/>
                <w:rFonts w:eastAsiaTheme="majorEastAsia"/>
                <w:b/>
                <w:bCs/>
                <w:noProof/>
                <w:color w:val="000000" w:themeColor="text1"/>
                <w:sz w:val="16"/>
                <w:szCs w:val="16"/>
              </w:rPr>
              <w:t>1.487.344</w:t>
            </w:r>
          </w:p>
        </w:tc>
      </w:tr>
      <w:tr w:rsidR="00543412" w14:paraId="26FEDD93" w14:textId="77777777" w:rsidTr="00246BDF">
        <w:trPr>
          <w:trHeight w:val="800"/>
          <w:jc w:val="center"/>
        </w:trPr>
        <w:tc>
          <w:tcPr>
            <w:tcW w:w="2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hideMark/>
          </w:tcPr>
          <w:p w14:paraId="3DA85AA7" w14:textId="77777777" w:rsidR="00543412" w:rsidRDefault="00543412" w:rsidP="00246BDF">
            <w:pPr>
              <w:pStyle w:val="Body"/>
              <w:spacing w:before="20" w:after="20" w:line="276" w:lineRule="auto"/>
              <w:jc w:val="left"/>
              <w:rPr>
                <w:noProof/>
                <w:color w:val="000000" w:themeColor="text1"/>
                <w:sz w:val="16"/>
                <w:szCs w:val="16"/>
              </w:rPr>
            </w:pPr>
            <w:r>
              <w:rPr>
                <w:rStyle w:val="ilfuvd"/>
                <w:rFonts w:eastAsiaTheme="majorEastAsia"/>
                <w:noProof/>
                <w:color w:val="000000" w:themeColor="text1"/>
                <w:sz w:val="16"/>
                <w:szCs w:val="16"/>
              </w:rPr>
              <w:t>TOTAL appropriations of an administrative nature financed from the envelope for specific programmes (all operational headings)</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hideMark/>
          </w:tcPr>
          <w:p w14:paraId="7EAA90B5" w14:textId="77777777" w:rsidR="00543412" w:rsidRDefault="00543412" w:rsidP="00246BDF">
            <w:pPr>
              <w:pStyle w:val="Body"/>
              <w:spacing w:before="40" w:after="40" w:line="276" w:lineRule="auto"/>
              <w:jc w:val="left"/>
              <w:rPr>
                <w:noProof/>
                <w:color w:val="000000" w:themeColor="text1"/>
                <w:sz w:val="16"/>
                <w:szCs w:val="16"/>
              </w:rPr>
            </w:pPr>
            <w:r>
              <w:rPr>
                <w:rStyle w:val="ilfuvd"/>
                <w:rFonts w:eastAsiaTheme="majorEastAsia"/>
                <w:noProof/>
                <w:color w:val="000000" w:themeColor="text1"/>
                <w:sz w:val="16"/>
                <w:szCs w:val="16"/>
              </w:rPr>
              <w:t>Commitments = Payments</w:t>
            </w:r>
          </w:p>
        </w:tc>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hideMark/>
          </w:tcPr>
          <w:p w14:paraId="707E5A00" w14:textId="77777777" w:rsidR="00543412" w:rsidRDefault="00543412" w:rsidP="00246BDF">
            <w:pPr>
              <w:pStyle w:val="Body"/>
              <w:spacing w:before="40" w:after="40" w:line="276" w:lineRule="auto"/>
              <w:jc w:val="center"/>
              <w:rPr>
                <w:noProof/>
                <w:color w:val="000000" w:themeColor="text1"/>
              </w:rPr>
            </w:pPr>
            <w:r>
              <w:rPr>
                <w:rStyle w:val="ilfuvd"/>
                <w:rFonts w:eastAsiaTheme="majorEastAsia"/>
                <w:noProof/>
                <w:color w:val="000000" w:themeColor="text1"/>
                <w:sz w:val="14"/>
                <w:szCs w:val="14"/>
              </w:rPr>
              <w:t>(6)</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3A4FA1B8" w14:textId="77777777" w:rsidR="00543412" w:rsidRDefault="00543412" w:rsidP="00246BDF">
            <w:pPr>
              <w:pStyle w:val="Body"/>
              <w:spacing w:before="20" w:after="20" w:line="276" w:lineRule="auto"/>
              <w:jc w:val="right"/>
              <w:rPr>
                <w:rStyle w:val="ilfuvd"/>
                <w:rFonts w:eastAsiaTheme="majorEastAsia"/>
                <w:noProof/>
                <w:sz w:val="16"/>
                <w:szCs w:val="16"/>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1BFBE317" w14:textId="77777777" w:rsidR="00543412" w:rsidRDefault="00543412" w:rsidP="00246BDF">
            <w:pPr>
              <w:pStyle w:val="Body"/>
              <w:spacing w:before="20" w:after="20" w:line="276" w:lineRule="auto"/>
              <w:jc w:val="right"/>
              <w:rPr>
                <w:rStyle w:val="ilfuvd"/>
                <w:rFonts w:eastAsiaTheme="majorEastAsia"/>
                <w:noProof/>
                <w:color w:val="000000" w:themeColor="text1"/>
                <w:sz w:val="16"/>
                <w:szCs w:val="16"/>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2943BBA1" w14:textId="77777777" w:rsidR="00543412" w:rsidRDefault="00543412" w:rsidP="00246BDF">
            <w:pPr>
              <w:pStyle w:val="Body"/>
              <w:spacing w:before="20" w:after="20" w:line="276" w:lineRule="auto"/>
              <w:jc w:val="right"/>
              <w:rPr>
                <w:rStyle w:val="ilfuvd"/>
                <w:rFonts w:eastAsiaTheme="majorEastAsia"/>
                <w:noProof/>
                <w:color w:val="000000" w:themeColor="text1"/>
                <w:sz w:val="16"/>
                <w:szCs w:val="16"/>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2681D3E6" w14:textId="77777777" w:rsidR="00543412" w:rsidRDefault="00543412" w:rsidP="00246BDF">
            <w:pPr>
              <w:pStyle w:val="Body"/>
              <w:spacing w:before="20" w:after="20" w:line="276" w:lineRule="auto"/>
              <w:jc w:val="right"/>
              <w:rPr>
                <w:rStyle w:val="ilfuvd"/>
                <w:rFonts w:eastAsiaTheme="majorEastAsia"/>
                <w:noProof/>
                <w:color w:val="000000" w:themeColor="text1"/>
                <w:sz w:val="16"/>
                <w:szCs w:val="16"/>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5DAAF22C" w14:textId="77777777" w:rsidR="00543412" w:rsidRDefault="00543412" w:rsidP="00246BDF">
            <w:pPr>
              <w:pStyle w:val="Body"/>
              <w:spacing w:before="20" w:after="20" w:line="276" w:lineRule="auto"/>
              <w:jc w:val="right"/>
              <w:rPr>
                <w:rStyle w:val="ilfuvd"/>
                <w:rFonts w:eastAsiaTheme="majorEastAsia"/>
                <w:noProof/>
                <w:color w:val="000000" w:themeColor="text1"/>
                <w:sz w:val="16"/>
                <w:szCs w:val="16"/>
              </w:rPr>
            </w:pPr>
            <w:r>
              <w:rPr>
                <w:rStyle w:val="ilfuvd"/>
                <w:rFonts w:eastAsiaTheme="majorEastAsia"/>
                <w:noProof/>
                <w:color w:val="000000" w:themeColor="text1"/>
                <w:sz w:val="16"/>
              </w:rPr>
              <w:t>3.552</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hideMark/>
          </w:tcPr>
          <w:p w14:paraId="0219771A" w14:textId="77777777" w:rsidR="00543412" w:rsidRDefault="00543412" w:rsidP="00246BDF">
            <w:pPr>
              <w:pStyle w:val="Body"/>
              <w:spacing w:before="20" w:after="20" w:line="276" w:lineRule="auto"/>
              <w:jc w:val="right"/>
              <w:rPr>
                <w:rStyle w:val="ilfuvd"/>
                <w:rFonts w:eastAsiaTheme="majorEastAsia"/>
                <w:noProof/>
                <w:color w:val="000000" w:themeColor="text1"/>
                <w:sz w:val="16"/>
                <w:szCs w:val="16"/>
              </w:rPr>
            </w:pPr>
            <w:r>
              <w:rPr>
                <w:rStyle w:val="ilfuvd"/>
                <w:rFonts w:eastAsiaTheme="majorEastAsia"/>
                <w:noProof/>
                <w:color w:val="000000" w:themeColor="text1"/>
                <w:sz w:val="16"/>
                <w:szCs w:val="16"/>
              </w:rPr>
              <w:t>4.552</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hideMark/>
          </w:tcPr>
          <w:p w14:paraId="25FAD040" w14:textId="77777777" w:rsidR="00543412" w:rsidRDefault="00543412" w:rsidP="00246BDF">
            <w:pPr>
              <w:pStyle w:val="Body"/>
              <w:spacing w:before="20" w:after="20" w:line="276" w:lineRule="auto"/>
              <w:jc w:val="right"/>
              <w:rPr>
                <w:rStyle w:val="ilfuvd"/>
                <w:rFonts w:eastAsiaTheme="majorEastAsia"/>
                <w:noProof/>
                <w:color w:val="000000" w:themeColor="text1"/>
                <w:sz w:val="16"/>
                <w:szCs w:val="16"/>
              </w:rPr>
            </w:pPr>
            <w:r>
              <w:rPr>
                <w:rStyle w:val="ilfuvd"/>
                <w:rFonts w:eastAsiaTheme="majorEastAsia"/>
                <w:noProof/>
                <w:color w:val="000000" w:themeColor="text1"/>
                <w:sz w:val="16"/>
              </w:rPr>
              <w:t>4.552</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2213FCBF" w14:textId="77777777" w:rsidR="00543412" w:rsidRDefault="00543412" w:rsidP="00246BDF">
            <w:pPr>
              <w:pStyle w:val="Body"/>
              <w:spacing w:before="20" w:after="20" w:line="276" w:lineRule="auto"/>
              <w:rPr>
                <w:rFonts w:eastAsiaTheme="majorEastAsia"/>
                <w:noProof/>
              </w:rPr>
            </w:pPr>
          </w:p>
        </w:tc>
        <w:tc>
          <w:tcPr>
            <w:tcW w:w="9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hideMark/>
          </w:tcPr>
          <w:p w14:paraId="73D3FF87" w14:textId="77777777" w:rsidR="00543412" w:rsidRDefault="00543412" w:rsidP="00246BDF">
            <w:pPr>
              <w:pStyle w:val="Body"/>
              <w:spacing w:before="20" w:after="20" w:line="276" w:lineRule="auto"/>
              <w:jc w:val="right"/>
              <w:rPr>
                <w:noProof/>
                <w:color w:val="000000" w:themeColor="text1"/>
              </w:rPr>
            </w:pPr>
            <w:r>
              <w:rPr>
                <w:rStyle w:val="ilfuvd"/>
                <w:rFonts w:eastAsiaTheme="majorEastAsia"/>
                <w:b/>
                <w:noProof/>
                <w:color w:val="000000" w:themeColor="text1"/>
                <w:sz w:val="16"/>
                <w:szCs w:val="16"/>
              </w:rPr>
              <w:t>12.656</w:t>
            </w:r>
          </w:p>
        </w:tc>
      </w:tr>
      <w:tr w:rsidR="00543412" w14:paraId="7854177A" w14:textId="77777777" w:rsidTr="00246BDF">
        <w:trPr>
          <w:trHeight w:val="363"/>
          <w:jc w:val="center"/>
        </w:trPr>
        <w:tc>
          <w:tcPr>
            <w:tcW w:w="211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hideMark/>
          </w:tcPr>
          <w:p w14:paraId="1A8709E0" w14:textId="77777777" w:rsidR="00543412" w:rsidRDefault="00543412" w:rsidP="00246BDF">
            <w:pPr>
              <w:pStyle w:val="Body"/>
              <w:spacing w:line="276" w:lineRule="auto"/>
              <w:jc w:val="left"/>
              <w:rPr>
                <w:noProof/>
                <w:color w:val="000000" w:themeColor="text1"/>
                <w:sz w:val="16"/>
                <w:szCs w:val="16"/>
              </w:rPr>
            </w:pPr>
            <w:r>
              <w:rPr>
                <w:rStyle w:val="ilfuvd"/>
                <w:rFonts w:eastAsiaTheme="majorEastAsia"/>
                <w:b/>
                <w:bCs/>
                <w:noProof/>
                <w:color w:val="000000" w:themeColor="text1"/>
                <w:sz w:val="16"/>
                <w:szCs w:val="16"/>
              </w:rPr>
              <w:t>TOTAL appropriations under HEADINGS 1 to 6 of the multiannual financial framework</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hideMark/>
          </w:tcPr>
          <w:p w14:paraId="49929610" w14:textId="77777777" w:rsidR="00543412" w:rsidRDefault="00543412" w:rsidP="00246BDF">
            <w:pPr>
              <w:pStyle w:val="Body"/>
              <w:spacing w:line="276" w:lineRule="auto"/>
              <w:jc w:val="left"/>
              <w:rPr>
                <w:noProof/>
                <w:color w:val="000000" w:themeColor="text1"/>
                <w:sz w:val="16"/>
                <w:szCs w:val="16"/>
              </w:rPr>
            </w:pPr>
            <w:r>
              <w:rPr>
                <w:rStyle w:val="ilfuvd"/>
                <w:rFonts w:eastAsiaTheme="majorEastAsia"/>
                <w:noProof/>
                <w:color w:val="000000" w:themeColor="text1"/>
                <w:sz w:val="16"/>
                <w:szCs w:val="16"/>
              </w:rPr>
              <w:t>Commitments</w:t>
            </w:r>
          </w:p>
        </w:tc>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hideMark/>
          </w:tcPr>
          <w:p w14:paraId="1793CCCA" w14:textId="77777777" w:rsidR="00543412" w:rsidRDefault="00543412" w:rsidP="00246BDF">
            <w:pPr>
              <w:pStyle w:val="Body"/>
              <w:spacing w:line="276" w:lineRule="auto"/>
              <w:jc w:val="center"/>
              <w:rPr>
                <w:noProof/>
                <w:color w:val="000000" w:themeColor="text1"/>
              </w:rPr>
            </w:pPr>
            <w:r>
              <w:rPr>
                <w:rStyle w:val="ilfuvd"/>
                <w:rFonts w:eastAsiaTheme="majorEastAsia"/>
                <w:noProof/>
                <w:color w:val="000000" w:themeColor="text1"/>
                <w:sz w:val="14"/>
                <w:szCs w:val="14"/>
              </w:rPr>
              <w:t>=4+6</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1C242738" w14:textId="77777777" w:rsidR="00543412" w:rsidRDefault="00543412" w:rsidP="00246BDF">
            <w:pPr>
              <w:pStyle w:val="Body"/>
              <w:spacing w:before="20" w:after="20" w:line="276" w:lineRule="auto"/>
              <w:jc w:val="right"/>
              <w:rPr>
                <w:rStyle w:val="ilfuvd"/>
                <w:rFonts w:eastAsiaTheme="majorEastAsia"/>
                <w:b/>
                <w:noProof/>
                <w:sz w:val="16"/>
                <w:szCs w:val="16"/>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32014DE9" w14:textId="77777777" w:rsidR="00543412" w:rsidRDefault="00543412" w:rsidP="00246BDF">
            <w:pPr>
              <w:pStyle w:val="Body"/>
              <w:spacing w:before="20" w:after="20" w:line="276" w:lineRule="auto"/>
              <w:jc w:val="right"/>
              <w:rPr>
                <w:rStyle w:val="ilfuvd"/>
                <w:rFonts w:eastAsiaTheme="majorEastAsia"/>
                <w:b/>
                <w:noProof/>
                <w:color w:val="000000" w:themeColor="text1"/>
                <w:sz w:val="16"/>
                <w:szCs w:val="16"/>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7716B0D1" w14:textId="77777777" w:rsidR="00543412" w:rsidRDefault="00543412" w:rsidP="00246BDF">
            <w:pPr>
              <w:pStyle w:val="Body"/>
              <w:spacing w:before="20" w:after="20" w:line="276" w:lineRule="auto"/>
              <w:jc w:val="right"/>
              <w:rPr>
                <w:rStyle w:val="ilfuvd"/>
                <w:rFonts w:eastAsiaTheme="majorEastAsia"/>
                <w:b/>
                <w:noProof/>
                <w:color w:val="000000" w:themeColor="text1"/>
                <w:sz w:val="16"/>
                <w:szCs w:val="16"/>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3C8A4593" w14:textId="77777777" w:rsidR="00543412" w:rsidRDefault="00543412" w:rsidP="00246BDF">
            <w:pPr>
              <w:pStyle w:val="Body"/>
              <w:spacing w:before="20" w:after="20" w:line="276" w:lineRule="auto"/>
              <w:jc w:val="right"/>
              <w:rPr>
                <w:rStyle w:val="ilfuvd"/>
                <w:rFonts w:eastAsiaTheme="majorEastAsia"/>
                <w:b/>
                <w:noProof/>
                <w:color w:val="000000" w:themeColor="text1"/>
                <w:sz w:val="16"/>
                <w:szCs w:val="16"/>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hideMark/>
          </w:tcPr>
          <w:p w14:paraId="1F9BF7CA" w14:textId="77777777" w:rsidR="00543412" w:rsidRDefault="00543412" w:rsidP="00246BDF">
            <w:pPr>
              <w:pStyle w:val="Body"/>
              <w:spacing w:before="20" w:after="20" w:line="276" w:lineRule="auto"/>
              <w:jc w:val="right"/>
              <w:rPr>
                <w:rStyle w:val="ilfuvd"/>
                <w:rFonts w:eastAsiaTheme="majorEastAsia"/>
                <w:b/>
                <w:noProof/>
                <w:color w:val="000000" w:themeColor="text1"/>
                <w:sz w:val="16"/>
                <w:szCs w:val="16"/>
              </w:rPr>
            </w:pPr>
            <w:r>
              <w:rPr>
                <w:rStyle w:val="ilfuvd"/>
                <w:rFonts w:eastAsiaTheme="majorEastAsia"/>
                <w:b/>
                <w:noProof/>
                <w:color w:val="000000" w:themeColor="text1"/>
                <w:sz w:val="16"/>
              </w:rPr>
              <w:t>3.552</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hideMark/>
          </w:tcPr>
          <w:p w14:paraId="3D7DBCA0" w14:textId="77777777" w:rsidR="00543412" w:rsidRDefault="00543412" w:rsidP="00246BDF">
            <w:pPr>
              <w:pStyle w:val="Body"/>
              <w:spacing w:before="20" w:after="20" w:line="276" w:lineRule="auto"/>
              <w:jc w:val="right"/>
              <w:rPr>
                <w:rStyle w:val="ilfuvd"/>
                <w:rFonts w:eastAsiaTheme="majorEastAsia"/>
                <w:b/>
                <w:noProof/>
                <w:color w:val="000000" w:themeColor="text1"/>
                <w:sz w:val="16"/>
                <w:szCs w:val="16"/>
              </w:rPr>
            </w:pPr>
            <w:r>
              <w:rPr>
                <w:rStyle w:val="ilfuvd"/>
                <w:rFonts w:eastAsiaTheme="majorEastAsia"/>
                <w:b/>
                <w:bCs/>
                <w:noProof/>
                <w:color w:val="000000" w:themeColor="text1"/>
                <w:sz w:val="16"/>
                <w:szCs w:val="16"/>
              </w:rPr>
              <w:t>619.800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hideMark/>
          </w:tcPr>
          <w:p w14:paraId="1BBA2177" w14:textId="77777777" w:rsidR="00543412" w:rsidRDefault="00543412" w:rsidP="00246BDF">
            <w:pPr>
              <w:pStyle w:val="Body"/>
              <w:spacing w:before="20" w:after="20" w:line="276" w:lineRule="auto"/>
              <w:jc w:val="right"/>
              <w:rPr>
                <w:rStyle w:val="ilfuvd"/>
                <w:rFonts w:eastAsiaTheme="majorEastAsia"/>
                <w:b/>
                <w:noProof/>
                <w:color w:val="000000" w:themeColor="text1"/>
                <w:sz w:val="16"/>
                <w:szCs w:val="16"/>
              </w:rPr>
            </w:pPr>
            <w:r>
              <w:rPr>
                <w:rStyle w:val="ilfuvd"/>
                <w:rFonts w:eastAsiaTheme="majorEastAsia"/>
                <w:b/>
                <w:noProof/>
                <w:color w:val="000000" w:themeColor="text1"/>
                <w:sz w:val="16"/>
                <w:szCs w:val="16"/>
              </w:rPr>
              <w:t>876.648</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4EA295D1" w14:textId="77777777" w:rsidR="00543412" w:rsidRDefault="00543412" w:rsidP="00246BDF">
            <w:pPr>
              <w:pStyle w:val="Body"/>
              <w:spacing w:before="20" w:after="20" w:line="276" w:lineRule="auto"/>
              <w:jc w:val="center"/>
              <w:rPr>
                <w:rStyle w:val="ilfuvd"/>
                <w:rFonts w:eastAsiaTheme="majorEastAsia"/>
                <w:b/>
                <w:noProof/>
                <w:color w:val="000000" w:themeColor="text1"/>
                <w:sz w:val="16"/>
                <w:szCs w:val="16"/>
              </w:rPr>
            </w:pPr>
          </w:p>
        </w:tc>
        <w:tc>
          <w:tcPr>
            <w:tcW w:w="9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hideMark/>
          </w:tcPr>
          <w:p w14:paraId="4E5A469F" w14:textId="77777777" w:rsidR="00543412" w:rsidRDefault="00543412" w:rsidP="00246BDF">
            <w:pPr>
              <w:pStyle w:val="Body"/>
              <w:spacing w:before="20" w:after="20" w:line="276" w:lineRule="auto"/>
              <w:jc w:val="right"/>
              <w:rPr>
                <w:rStyle w:val="ilfuvd"/>
                <w:rFonts w:eastAsiaTheme="majorEastAsia"/>
                <w:b/>
                <w:noProof/>
                <w:color w:val="000000" w:themeColor="text1"/>
                <w:sz w:val="16"/>
                <w:szCs w:val="16"/>
              </w:rPr>
            </w:pPr>
            <w:r>
              <w:rPr>
                <w:rStyle w:val="ilfuvd"/>
                <w:rFonts w:eastAsiaTheme="majorEastAsia"/>
                <w:b/>
                <w:bCs/>
                <w:noProof/>
                <w:color w:val="000000" w:themeColor="text1"/>
                <w:sz w:val="16"/>
                <w:szCs w:val="16"/>
              </w:rPr>
              <w:t>1.500.000</w:t>
            </w:r>
          </w:p>
        </w:tc>
      </w:tr>
      <w:tr w:rsidR="00543412" w14:paraId="4E4C6378" w14:textId="77777777" w:rsidTr="00246BDF">
        <w:trPr>
          <w:trHeight w:val="491"/>
          <w:jc w:val="center"/>
        </w:trPr>
        <w:tc>
          <w:tcPr>
            <w:tcW w:w="211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ED7E7"/>
            <w:vAlign w:val="center"/>
            <w:hideMark/>
          </w:tcPr>
          <w:p w14:paraId="4D159BBB" w14:textId="77777777" w:rsidR="00543412" w:rsidRDefault="00543412" w:rsidP="00246BDF">
            <w:pPr>
              <w:spacing w:before="0" w:after="0" w:line="276" w:lineRule="auto"/>
              <w:jc w:val="left"/>
              <w:rPr>
                <w:rFonts w:eastAsia="Times New Roman"/>
                <w:noProof/>
                <w:color w:val="000000" w:themeColor="text1"/>
                <w:sz w:val="16"/>
                <w:szCs w:val="16"/>
                <w:u w:color="000000"/>
                <w:lang w:eastAsia="en-GB"/>
              </w:rPr>
            </w:pP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hideMark/>
          </w:tcPr>
          <w:p w14:paraId="51042AE0" w14:textId="77777777" w:rsidR="00543412" w:rsidRDefault="00543412" w:rsidP="00246BDF">
            <w:pPr>
              <w:pStyle w:val="Body"/>
              <w:spacing w:line="276" w:lineRule="auto"/>
              <w:jc w:val="left"/>
              <w:rPr>
                <w:rFonts w:eastAsiaTheme="majorEastAsia"/>
                <w:noProof/>
              </w:rPr>
            </w:pPr>
            <w:r>
              <w:rPr>
                <w:rStyle w:val="ilfuvd"/>
                <w:rFonts w:eastAsiaTheme="majorEastAsia"/>
                <w:noProof/>
                <w:color w:val="000000" w:themeColor="text1"/>
                <w:sz w:val="16"/>
                <w:szCs w:val="16"/>
              </w:rPr>
              <w:t>Payments</w:t>
            </w:r>
          </w:p>
        </w:tc>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hideMark/>
          </w:tcPr>
          <w:p w14:paraId="27EDBA54" w14:textId="77777777" w:rsidR="00543412" w:rsidRDefault="00543412" w:rsidP="00246BDF">
            <w:pPr>
              <w:pStyle w:val="Body"/>
              <w:spacing w:line="276" w:lineRule="auto"/>
              <w:jc w:val="center"/>
              <w:rPr>
                <w:noProof/>
                <w:color w:val="000000" w:themeColor="text1"/>
              </w:rPr>
            </w:pPr>
            <w:r>
              <w:rPr>
                <w:rStyle w:val="ilfuvd"/>
                <w:rFonts w:eastAsiaTheme="majorEastAsia"/>
                <w:noProof/>
                <w:color w:val="000000" w:themeColor="text1"/>
                <w:sz w:val="14"/>
                <w:szCs w:val="14"/>
              </w:rPr>
              <w:t>=5+6</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6611F205" w14:textId="77777777" w:rsidR="00543412" w:rsidRDefault="00543412" w:rsidP="00246BDF">
            <w:pPr>
              <w:pStyle w:val="Body"/>
              <w:spacing w:before="20" w:after="20" w:line="276" w:lineRule="auto"/>
              <w:jc w:val="right"/>
              <w:rPr>
                <w:rStyle w:val="ilfuvd"/>
                <w:rFonts w:eastAsiaTheme="majorEastAsia"/>
                <w:b/>
                <w:noProof/>
                <w:sz w:val="16"/>
                <w:szCs w:val="16"/>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597E8AEC" w14:textId="77777777" w:rsidR="00543412" w:rsidRDefault="00543412" w:rsidP="00246BDF">
            <w:pPr>
              <w:pStyle w:val="Body"/>
              <w:spacing w:before="20" w:after="20" w:line="276" w:lineRule="auto"/>
              <w:jc w:val="right"/>
              <w:rPr>
                <w:rStyle w:val="ilfuvd"/>
                <w:rFonts w:eastAsiaTheme="majorEastAsia"/>
                <w:b/>
                <w:noProof/>
                <w:color w:val="000000" w:themeColor="text1"/>
                <w:sz w:val="16"/>
                <w:szCs w:val="16"/>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66A46928" w14:textId="77777777" w:rsidR="00543412" w:rsidRDefault="00543412" w:rsidP="00246BDF">
            <w:pPr>
              <w:pStyle w:val="Body"/>
              <w:spacing w:before="20" w:after="20" w:line="276" w:lineRule="auto"/>
              <w:jc w:val="right"/>
              <w:rPr>
                <w:rStyle w:val="ilfuvd"/>
                <w:rFonts w:eastAsiaTheme="majorEastAsia"/>
                <w:b/>
                <w:noProof/>
                <w:color w:val="000000" w:themeColor="text1"/>
                <w:sz w:val="16"/>
                <w:szCs w:val="16"/>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4C63132D" w14:textId="77777777" w:rsidR="00543412" w:rsidRDefault="00543412" w:rsidP="00246BDF">
            <w:pPr>
              <w:pStyle w:val="Body"/>
              <w:spacing w:before="20" w:after="20" w:line="276" w:lineRule="auto"/>
              <w:jc w:val="right"/>
              <w:rPr>
                <w:rStyle w:val="ilfuvd"/>
                <w:rFonts w:eastAsiaTheme="majorEastAsia"/>
                <w:b/>
                <w:noProof/>
                <w:color w:val="000000" w:themeColor="text1"/>
                <w:sz w:val="16"/>
                <w:szCs w:val="16"/>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hideMark/>
          </w:tcPr>
          <w:p w14:paraId="0FE3718E" w14:textId="77777777" w:rsidR="00543412" w:rsidRDefault="00543412" w:rsidP="00246BDF">
            <w:pPr>
              <w:pStyle w:val="Body"/>
              <w:spacing w:before="20" w:after="20" w:line="276" w:lineRule="auto"/>
              <w:jc w:val="right"/>
              <w:rPr>
                <w:rStyle w:val="ilfuvd"/>
                <w:rFonts w:eastAsiaTheme="majorEastAsia"/>
                <w:b/>
                <w:noProof/>
                <w:color w:val="000000" w:themeColor="text1"/>
                <w:sz w:val="16"/>
                <w:szCs w:val="16"/>
              </w:rPr>
            </w:pPr>
            <w:r>
              <w:rPr>
                <w:rStyle w:val="ilfuvd"/>
                <w:rFonts w:eastAsiaTheme="majorEastAsia"/>
                <w:b/>
                <w:noProof/>
                <w:color w:val="000000" w:themeColor="text1"/>
                <w:sz w:val="16"/>
              </w:rPr>
              <w:t>3.552</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hideMark/>
          </w:tcPr>
          <w:p w14:paraId="2387FDA6" w14:textId="77777777" w:rsidR="00543412" w:rsidRPr="004A4367" w:rsidRDefault="00543412" w:rsidP="00246BDF">
            <w:pPr>
              <w:pStyle w:val="Body"/>
              <w:spacing w:before="20" w:after="20" w:line="276" w:lineRule="auto"/>
              <w:jc w:val="right"/>
              <w:rPr>
                <w:rStyle w:val="ilfuvd"/>
                <w:rFonts w:eastAsiaTheme="majorEastAsia"/>
                <w:b/>
                <w:noProof/>
                <w:color w:val="000000" w:themeColor="text1"/>
                <w:sz w:val="16"/>
                <w:szCs w:val="16"/>
              </w:rPr>
            </w:pPr>
            <w:r>
              <w:rPr>
                <w:b/>
                <w:bCs/>
                <w:noProof/>
                <w:color w:val="000000" w:themeColor="text1"/>
                <w:sz w:val="16"/>
                <w:szCs w:val="16"/>
              </w:rPr>
              <w:t>314.552</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hideMark/>
          </w:tcPr>
          <w:p w14:paraId="331A9176" w14:textId="77777777" w:rsidR="00543412" w:rsidRPr="004A4367" w:rsidRDefault="00543412" w:rsidP="00246BDF">
            <w:pPr>
              <w:pStyle w:val="Body"/>
              <w:spacing w:before="20" w:after="20" w:line="276" w:lineRule="auto"/>
              <w:jc w:val="right"/>
              <w:rPr>
                <w:rStyle w:val="ilfuvd"/>
                <w:rFonts w:eastAsiaTheme="majorEastAsia"/>
                <w:b/>
                <w:noProof/>
                <w:color w:val="000000" w:themeColor="text1"/>
                <w:sz w:val="16"/>
                <w:szCs w:val="16"/>
              </w:rPr>
            </w:pPr>
            <w:r>
              <w:rPr>
                <w:b/>
                <w:bCs/>
                <w:noProof/>
                <w:color w:val="000000" w:themeColor="text1"/>
                <w:sz w:val="16"/>
                <w:szCs w:val="16"/>
              </w:rPr>
              <w:t>440.552</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hideMark/>
          </w:tcPr>
          <w:p w14:paraId="1D4B32A3" w14:textId="77777777" w:rsidR="00543412" w:rsidRPr="004A4367" w:rsidRDefault="00543412" w:rsidP="00246BDF">
            <w:pPr>
              <w:pStyle w:val="Body"/>
              <w:spacing w:before="20" w:after="20" w:line="276" w:lineRule="auto"/>
              <w:jc w:val="right"/>
              <w:rPr>
                <w:rStyle w:val="ilfuvd"/>
                <w:rFonts w:eastAsiaTheme="majorEastAsia"/>
                <w:b/>
                <w:noProof/>
                <w:color w:val="000000" w:themeColor="text1"/>
                <w:sz w:val="16"/>
                <w:szCs w:val="16"/>
              </w:rPr>
            </w:pPr>
            <w:r>
              <w:rPr>
                <w:b/>
                <w:bCs/>
                <w:noProof/>
                <w:color w:val="000000" w:themeColor="text1"/>
                <w:sz w:val="16"/>
                <w:szCs w:val="16"/>
              </w:rPr>
              <w:t>737.344</w:t>
            </w:r>
          </w:p>
        </w:tc>
        <w:tc>
          <w:tcPr>
            <w:tcW w:w="9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hideMark/>
          </w:tcPr>
          <w:p w14:paraId="68E257BA" w14:textId="77777777" w:rsidR="00543412" w:rsidRDefault="00543412" w:rsidP="00246BDF">
            <w:pPr>
              <w:pStyle w:val="Body"/>
              <w:spacing w:before="20" w:after="20" w:line="276" w:lineRule="auto"/>
              <w:jc w:val="right"/>
              <w:rPr>
                <w:rStyle w:val="ilfuvd"/>
                <w:rFonts w:eastAsiaTheme="majorEastAsia"/>
                <w:b/>
                <w:noProof/>
                <w:color w:val="000000" w:themeColor="text1"/>
                <w:sz w:val="16"/>
                <w:szCs w:val="16"/>
              </w:rPr>
            </w:pPr>
            <w:r>
              <w:rPr>
                <w:rStyle w:val="ilfuvd"/>
                <w:rFonts w:eastAsiaTheme="majorEastAsia"/>
                <w:b/>
                <w:bCs/>
                <w:noProof/>
                <w:color w:val="000000" w:themeColor="text1"/>
                <w:sz w:val="16"/>
                <w:szCs w:val="16"/>
              </w:rPr>
              <w:t>1.500.000</w:t>
            </w:r>
          </w:p>
        </w:tc>
      </w:tr>
    </w:tbl>
    <w:p w14:paraId="4A3A597F" w14:textId="45BAD3F2" w:rsidR="00625704" w:rsidRDefault="00625704" w:rsidP="00625704">
      <w:pPr>
        <w:spacing w:before="0" w:after="0"/>
        <w:jc w:val="left"/>
        <w:rPr>
          <w:noProof/>
        </w:rPr>
      </w:pPr>
    </w:p>
    <w:p w14:paraId="1FB0773C" w14:textId="77777777" w:rsidR="0040496C" w:rsidRDefault="0040496C" w:rsidP="00625704">
      <w:pPr>
        <w:spacing w:before="0" w:after="0"/>
        <w:jc w:val="left"/>
        <w:rPr>
          <w:noProof/>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4"/>
        <w:gridCol w:w="1080"/>
        <w:gridCol w:w="7817"/>
      </w:tblGrid>
      <w:tr w:rsidR="00625704" w14:paraId="5F38F601" w14:textId="77777777" w:rsidTr="00C06A68">
        <w:trPr>
          <w:jc w:val="center"/>
        </w:trPr>
        <w:tc>
          <w:tcPr>
            <w:tcW w:w="4744" w:type="dxa"/>
            <w:shd w:val="thinDiagStripe" w:color="C0C0C0" w:fill="auto"/>
            <w:vAlign w:val="center"/>
          </w:tcPr>
          <w:p w14:paraId="3B8827FE" w14:textId="77777777" w:rsidR="00625704" w:rsidRPr="003A769F" w:rsidRDefault="00625704" w:rsidP="00C06A68">
            <w:pPr>
              <w:spacing w:before="60" w:after="60"/>
              <w:jc w:val="center"/>
              <w:rPr>
                <w:b/>
                <w:noProof/>
                <w:lang w:val="en-IE"/>
              </w:rPr>
            </w:pPr>
            <w:r w:rsidRPr="003A769F">
              <w:rPr>
                <w:noProof/>
                <w:sz w:val="22"/>
                <w:lang w:val="en-IE"/>
              </w:rPr>
              <w:br w:type="page"/>
            </w:r>
            <w:r w:rsidRPr="003A769F">
              <w:rPr>
                <w:b/>
                <w:noProof/>
                <w:sz w:val="22"/>
                <w:lang w:val="en-IE"/>
              </w:rPr>
              <w:t xml:space="preserve">Heading of multiannual financial </w:t>
            </w:r>
            <w:r w:rsidRPr="003A769F">
              <w:rPr>
                <w:noProof/>
                <w:sz w:val="22"/>
                <w:lang w:val="en-IE"/>
              </w:rPr>
              <w:br/>
            </w:r>
            <w:r w:rsidRPr="003A769F">
              <w:rPr>
                <w:b/>
                <w:noProof/>
                <w:sz w:val="22"/>
                <w:lang w:val="en-IE"/>
              </w:rPr>
              <w:t xml:space="preserve">framework </w:t>
            </w:r>
          </w:p>
        </w:tc>
        <w:tc>
          <w:tcPr>
            <w:tcW w:w="1080" w:type="dxa"/>
            <w:shd w:val="thinDiagStripe" w:color="C0C0C0" w:fill="auto"/>
            <w:vAlign w:val="center"/>
          </w:tcPr>
          <w:p w14:paraId="7173005B" w14:textId="77777777" w:rsidR="00625704" w:rsidRDefault="00625704" w:rsidP="00C06A68">
            <w:pPr>
              <w:spacing w:before="60" w:after="60"/>
              <w:jc w:val="center"/>
              <w:rPr>
                <w:noProof/>
              </w:rPr>
            </w:pPr>
            <w:r>
              <w:rPr>
                <w:b/>
                <w:noProof/>
                <w:sz w:val="22"/>
              </w:rPr>
              <w:t>7</w:t>
            </w:r>
          </w:p>
        </w:tc>
        <w:tc>
          <w:tcPr>
            <w:tcW w:w="7817" w:type="dxa"/>
            <w:vAlign w:val="center"/>
          </w:tcPr>
          <w:p w14:paraId="63E18F07" w14:textId="77777777" w:rsidR="00625704" w:rsidRDefault="00625704" w:rsidP="00C06A68">
            <w:pPr>
              <w:spacing w:before="60" w:after="60"/>
              <w:rPr>
                <w:noProof/>
              </w:rPr>
            </w:pPr>
            <w:r>
              <w:rPr>
                <w:noProof/>
                <w:sz w:val="22"/>
              </w:rPr>
              <w:t>‘Administrative expenditure’</w:t>
            </w:r>
          </w:p>
        </w:tc>
      </w:tr>
    </w:tbl>
    <w:p w14:paraId="274264DF" w14:textId="77777777" w:rsidR="00625704" w:rsidRPr="003A769F" w:rsidRDefault="00625704" w:rsidP="00625704">
      <w:pPr>
        <w:jc w:val="left"/>
        <w:rPr>
          <w:noProof/>
          <w:sz w:val="20"/>
          <w:lang w:val="en-IE"/>
        </w:rPr>
      </w:pPr>
      <w:r w:rsidRPr="003A769F">
        <w:rPr>
          <w:noProof/>
          <w:lang w:val="en-IE"/>
        </w:rPr>
        <w:t xml:space="preserve">This section should be filled in using the 'budget data of an administrative nature' to be firstly introduced in the </w:t>
      </w:r>
      <w:hyperlink r:id="rId19" w:history="1">
        <w:r w:rsidRPr="00DD7ABE">
          <w:rPr>
            <w:rStyle w:val="Hyperlink"/>
            <w:noProof/>
            <w:lang w:val="en-IE"/>
          </w:rPr>
          <w:t>Annex to the Legislative Financial Statement</w:t>
        </w:r>
      </w:hyperlink>
      <w:r w:rsidRPr="003A769F">
        <w:rPr>
          <w:noProof/>
          <w:lang w:val="en-IE"/>
        </w:rPr>
        <w:t xml:space="preserve"> (Annex </w:t>
      </w:r>
      <w:r>
        <w:rPr>
          <w:noProof/>
          <w:lang w:val="en-IE"/>
        </w:rPr>
        <w:t>5</w:t>
      </w:r>
      <w:r w:rsidRPr="003A769F">
        <w:rPr>
          <w:noProof/>
          <w:lang w:val="en-IE"/>
        </w:rPr>
        <w:t xml:space="preserve"> to </w:t>
      </w:r>
      <w:r>
        <w:rPr>
          <w:noProof/>
          <w:lang w:val="en-IE"/>
        </w:rPr>
        <w:t>the Commission decision on the in</w:t>
      </w:r>
      <w:r w:rsidRPr="003A769F">
        <w:rPr>
          <w:noProof/>
          <w:lang w:val="en-IE"/>
        </w:rPr>
        <w:t>ternal rules</w:t>
      </w:r>
      <w:r>
        <w:rPr>
          <w:noProof/>
          <w:lang w:val="en-IE"/>
        </w:rPr>
        <w:t xml:space="preserve"> for the implementation of the Commission section of the general budget of the European Union</w:t>
      </w:r>
      <w:r w:rsidRPr="003A769F">
        <w:rPr>
          <w:noProof/>
          <w:lang w:val="en-IE"/>
        </w:rPr>
        <w:t>), which is uploaded to DECIDE for interservice consultation purposes.</w:t>
      </w:r>
    </w:p>
    <w:p w14:paraId="3924970E" w14:textId="77777777" w:rsidR="00625704" w:rsidRDefault="00625704" w:rsidP="00625704">
      <w:pPr>
        <w:jc w:val="right"/>
        <w:rPr>
          <w:noProof/>
          <w:sz w:val="20"/>
          <w:lang w:val="en-IE"/>
        </w:rPr>
      </w:pPr>
    </w:p>
    <w:p w14:paraId="4BC3B7F8" w14:textId="77777777" w:rsidR="00625704" w:rsidRDefault="00625704" w:rsidP="00625704">
      <w:pPr>
        <w:ind w:left="7200" w:firstLine="720"/>
        <w:jc w:val="center"/>
        <w:rPr>
          <w:noProof/>
          <w:color w:val="000000" w:themeColor="text1"/>
          <w:sz w:val="20"/>
        </w:rPr>
      </w:pPr>
      <w:r>
        <w:rPr>
          <w:noProof/>
          <w:color w:val="000000" w:themeColor="text1"/>
          <w:sz w:val="20"/>
        </w:rPr>
        <w:t>EUR million (to three decimal places)</w:t>
      </w:r>
    </w:p>
    <w:tbl>
      <w:tblPr>
        <w:tblW w:w="11580" w:type="dxa"/>
        <w:jc w:val="cente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shd w:val="clear" w:color="auto" w:fill="CED7E7"/>
        <w:tblLayout w:type="fixed"/>
        <w:tblLook w:val="04A0" w:firstRow="1" w:lastRow="0" w:firstColumn="1" w:lastColumn="0" w:noHBand="0" w:noVBand="1"/>
      </w:tblPr>
      <w:tblGrid>
        <w:gridCol w:w="3352"/>
        <w:gridCol w:w="1633"/>
        <w:gridCol w:w="693"/>
        <w:gridCol w:w="694"/>
        <w:gridCol w:w="694"/>
        <w:gridCol w:w="694"/>
        <w:gridCol w:w="694"/>
        <w:gridCol w:w="694"/>
        <w:gridCol w:w="694"/>
        <w:gridCol w:w="708"/>
        <w:gridCol w:w="1030"/>
      </w:tblGrid>
      <w:tr w:rsidR="00625704" w14:paraId="5C73B891" w14:textId="77777777" w:rsidTr="00C06A68">
        <w:trPr>
          <w:trHeight w:val="640"/>
          <w:jc w:val="center"/>
        </w:trPr>
        <w:tc>
          <w:tcPr>
            <w:tcW w:w="4985" w:type="dxa"/>
            <w:gridSpan w:val="2"/>
            <w:tcBorders>
              <w:top w:val="nil"/>
              <w:left w:val="nil"/>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2E7594AA" w14:textId="77777777" w:rsidR="00625704" w:rsidRDefault="00625704" w:rsidP="00C06A68">
            <w:pPr>
              <w:spacing w:line="276" w:lineRule="auto"/>
              <w:rPr>
                <w:noProof/>
                <w:color w:val="000000" w:themeColor="text1"/>
              </w:rPr>
            </w:pPr>
          </w:p>
        </w:tc>
        <w:tc>
          <w:tcPr>
            <w:tcW w:w="6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hideMark/>
          </w:tcPr>
          <w:p w14:paraId="6FD502FD" w14:textId="77777777" w:rsidR="00625704" w:rsidRDefault="00625704" w:rsidP="00C06A68">
            <w:pPr>
              <w:pStyle w:val="Body"/>
              <w:spacing w:line="276" w:lineRule="auto"/>
              <w:jc w:val="center"/>
              <w:rPr>
                <w:noProof/>
                <w:color w:val="000000" w:themeColor="text1"/>
              </w:rPr>
            </w:pPr>
            <w:r>
              <w:rPr>
                <w:rStyle w:val="ilfuvd"/>
                <w:rFonts w:eastAsiaTheme="majorEastAsia"/>
                <w:b/>
                <w:bCs/>
                <w:noProof/>
                <w:color w:val="000000" w:themeColor="text1"/>
                <w:sz w:val="20"/>
                <w:szCs w:val="20"/>
              </w:rPr>
              <w:t>2021</w:t>
            </w:r>
          </w:p>
        </w:tc>
        <w:tc>
          <w:tcPr>
            <w:tcW w:w="6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hideMark/>
          </w:tcPr>
          <w:p w14:paraId="59E09DD1" w14:textId="77777777" w:rsidR="00625704" w:rsidRDefault="00625704" w:rsidP="00C06A68">
            <w:pPr>
              <w:pStyle w:val="Body"/>
              <w:spacing w:line="276" w:lineRule="auto"/>
              <w:jc w:val="center"/>
              <w:rPr>
                <w:noProof/>
                <w:color w:val="000000" w:themeColor="text1"/>
              </w:rPr>
            </w:pPr>
            <w:r>
              <w:rPr>
                <w:rStyle w:val="ilfuvd"/>
                <w:rFonts w:eastAsiaTheme="majorEastAsia"/>
                <w:b/>
                <w:bCs/>
                <w:noProof/>
                <w:color w:val="000000" w:themeColor="text1"/>
                <w:sz w:val="20"/>
                <w:szCs w:val="20"/>
              </w:rPr>
              <w:t>2022</w:t>
            </w:r>
          </w:p>
        </w:tc>
        <w:tc>
          <w:tcPr>
            <w:tcW w:w="6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hideMark/>
          </w:tcPr>
          <w:p w14:paraId="19134926" w14:textId="77777777" w:rsidR="00625704" w:rsidRDefault="00625704" w:rsidP="00C06A68">
            <w:pPr>
              <w:pStyle w:val="Body"/>
              <w:spacing w:line="276" w:lineRule="auto"/>
              <w:jc w:val="center"/>
              <w:rPr>
                <w:noProof/>
                <w:color w:val="000000" w:themeColor="text1"/>
              </w:rPr>
            </w:pPr>
            <w:r>
              <w:rPr>
                <w:rStyle w:val="ilfuvd"/>
                <w:rFonts w:eastAsiaTheme="majorEastAsia"/>
                <w:b/>
                <w:bCs/>
                <w:noProof/>
                <w:color w:val="000000" w:themeColor="text1"/>
                <w:sz w:val="20"/>
                <w:szCs w:val="20"/>
              </w:rPr>
              <w:t>2023</w:t>
            </w:r>
          </w:p>
        </w:tc>
        <w:tc>
          <w:tcPr>
            <w:tcW w:w="6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hideMark/>
          </w:tcPr>
          <w:p w14:paraId="13E9F1B4" w14:textId="77777777" w:rsidR="00625704" w:rsidRDefault="00625704" w:rsidP="00C06A68">
            <w:pPr>
              <w:pStyle w:val="Body"/>
              <w:spacing w:line="276" w:lineRule="auto"/>
              <w:jc w:val="center"/>
              <w:rPr>
                <w:noProof/>
                <w:color w:val="000000" w:themeColor="text1"/>
              </w:rPr>
            </w:pPr>
            <w:r>
              <w:rPr>
                <w:rStyle w:val="ilfuvd"/>
                <w:rFonts w:eastAsiaTheme="majorEastAsia"/>
                <w:b/>
                <w:bCs/>
                <w:noProof/>
                <w:color w:val="000000" w:themeColor="text1"/>
                <w:sz w:val="20"/>
                <w:szCs w:val="20"/>
              </w:rPr>
              <w:t>2024</w:t>
            </w:r>
          </w:p>
        </w:tc>
        <w:tc>
          <w:tcPr>
            <w:tcW w:w="6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hideMark/>
          </w:tcPr>
          <w:p w14:paraId="10EA3107" w14:textId="77777777" w:rsidR="00625704" w:rsidRDefault="00625704" w:rsidP="00C06A68">
            <w:pPr>
              <w:pStyle w:val="Body"/>
              <w:spacing w:line="276" w:lineRule="auto"/>
              <w:jc w:val="center"/>
              <w:rPr>
                <w:noProof/>
                <w:color w:val="000000" w:themeColor="text1"/>
              </w:rPr>
            </w:pPr>
            <w:r>
              <w:rPr>
                <w:rStyle w:val="ilfuvd"/>
                <w:rFonts w:eastAsiaTheme="majorEastAsia"/>
                <w:b/>
                <w:bCs/>
                <w:noProof/>
                <w:color w:val="000000" w:themeColor="text1"/>
                <w:sz w:val="18"/>
                <w:szCs w:val="18"/>
              </w:rPr>
              <w:t>2025</w:t>
            </w:r>
          </w:p>
        </w:tc>
        <w:tc>
          <w:tcPr>
            <w:tcW w:w="6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hideMark/>
          </w:tcPr>
          <w:p w14:paraId="03679A96" w14:textId="77777777" w:rsidR="00625704" w:rsidRDefault="00625704" w:rsidP="00C06A68">
            <w:pPr>
              <w:pStyle w:val="Body"/>
              <w:spacing w:line="276" w:lineRule="auto"/>
              <w:jc w:val="center"/>
              <w:rPr>
                <w:noProof/>
                <w:color w:val="000000" w:themeColor="text1"/>
              </w:rPr>
            </w:pPr>
            <w:r>
              <w:rPr>
                <w:rStyle w:val="ilfuvd"/>
                <w:rFonts w:eastAsiaTheme="majorEastAsia"/>
                <w:b/>
                <w:bCs/>
                <w:noProof/>
                <w:color w:val="000000" w:themeColor="text1"/>
                <w:sz w:val="18"/>
                <w:szCs w:val="18"/>
              </w:rPr>
              <w:t>2026</w:t>
            </w:r>
          </w:p>
        </w:tc>
        <w:tc>
          <w:tcPr>
            <w:tcW w:w="6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hideMark/>
          </w:tcPr>
          <w:p w14:paraId="38A21315" w14:textId="77777777" w:rsidR="00625704" w:rsidRDefault="00625704" w:rsidP="00C06A68">
            <w:pPr>
              <w:pStyle w:val="Body"/>
              <w:spacing w:line="276" w:lineRule="auto"/>
              <w:jc w:val="center"/>
              <w:rPr>
                <w:noProof/>
                <w:color w:val="000000" w:themeColor="text1"/>
              </w:rPr>
            </w:pPr>
            <w:r>
              <w:rPr>
                <w:rStyle w:val="ilfuvd"/>
                <w:rFonts w:eastAsiaTheme="majorEastAsia"/>
                <w:b/>
                <w:bCs/>
                <w:noProof/>
                <w:color w:val="000000" w:themeColor="text1"/>
                <w:sz w:val="18"/>
                <w:szCs w:val="18"/>
              </w:rPr>
              <w:t>2027</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hideMark/>
          </w:tcPr>
          <w:p w14:paraId="3CC2D503" w14:textId="77777777" w:rsidR="00625704" w:rsidRDefault="00625704" w:rsidP="00C06A68">
            <w:pPr>
              <w:pStyle w:val="Body"/>
              <w:spacing w:line="276" w:lineRule="auto"/>
              <w:jc w:val="center"/>
              <w:rPr>
                <w:noProof/>
                <w:color w:val="000000" w:themeColor="text1"/>
              </w:rPr>
            </w:pPr>
            <w:r>
              <w:rPr>
                <w:rStyle w:val="ilfuvd"/>
                <w:rFonts w:eastAsiaTheme="majorEastAsia"/>
                <w:b/>
                <w:bCs/>
                <w:i/>
                <w:iCs/>
                <w:noProof/>
                <w:color w:val="000000" w:themeColor="text1"/>
                <w:sz w:val="20"/>
                <w:szCs w:val="20"/>
              </w:rPr>
              <w:t>Post 2027</w:t>
            </w:r>
          </w:p>
        </w:tc>
        <w:tc>
          <w:tcPr>
            <w:tcW w:w="10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hideMark/>
          </w:tcPr>
          <w:p w14:paraId="19729967" w14:textId="77777777" w:rsidR="00625704" w:rsidRDefault="00625704" w:rsidP="00C06A68">
            <w:pPr>
              <w:pStyle w:val="Body"/>
              <w:spacing w:line="276" w:lineRule="auto"/>
              <w:jc w:val="center"/>
              <w:rPr>
                <w:noProof/>
                <w:color w:val="000000" w:themeColor="text1"/>
              </w:rPr>
            </w:pPr>
            <w:r>
              <w:rPr>
                <w:rStyle w:val="ilfuvd"/>
                <w:rFonts w:eastAsiaTheme="majorEastAsia"/>
                <w:noProof/>
                <w:color w:val="000000" w:themeColor="text1"/>
              </w:rPr>
              <w:t>TOTAL</w:t>
            </w:r>
          </w:p>
        </w:tc>
      </w:tr>
      <w:tr w:rsidR="00625704" w14:paraId="1660324E" w14:textId="77777777" w:rsidTr="00C06A68">
        <w:trPr>
          <w:trHeight w:val="349"/>
          <w:jc w:val="center"/>
        </w:trPr>
        <w:tc>
          <w:tcPr>
            <w:tcW w:w="49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hideMark/>
          </w:tcPr>
          <w:p w14:paraId="5E7C7CB3" w14:textId="77777777" w:rsidR="00625704" w:rsidRDefault="00625704" w:rsidP="00C06A68">
            <w:pPr>
              <w:pStyle w:val="Body"/>
              <w:spacing w:before="20" w:after="20" w:line="276" w:lineRule="auto"/>
              <w:rPr>
                <w:noProof/>
                <w:color w:val="000000" w:themeColor="text1"/>
              </w:rPr>
            </w:pPr>
            <w:r>
              <w:rPr>
                <w:rStyle w:val="ilfuvd"/>
                <w:rFonts w:eastAsiaTheme="majorEastAsia"/>
                <w:noProof/>
                <w:color w:val="000000" w:themeColor="text1"/>
              </w:rPr>
              <w:t xml:space="preserve">Human resources </w:t>
            </w:r>
          </w:p>
        </w:tc>
        <w:tc>
          <w:tcPr>
            <w:tcW w:w="6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68C8B9B0" w14:textId="77777777" w:rsidR="00625704" w:rsidRDefault="00625704" w:rsidP="00C06A68">
            <w:pPr>
              <w:pStyle w:val="Body"/>
              <w:spacing w:before="20" w:after="20" w:line="276" w:lineRule="auto"/>
              <w:jc w:val="right"/>
              <w:rPr>
                <w:rStyle w:val="ilfuvd"/>
                <w:rFonts w:eastAsiaTheme="majorEastAsia"/>
                <w:noProof/>
                <w:sz w:val="16"/>
              </w:rPr>
            </w:pPr>
          </w:p>
        </w:tc>
        <w:tc>
          <w:tcPr>
            <w:tcW w:w="6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77888CE5" w14:textId="77777777" w:rsidR="00625704" w:rsidRDefault="00625704" w:rsidP="00C06A68">
            <w:pPr>
              <w:pStyle w:val="Body"/>
              <w:spacing w:before="20" w:after="20" w:line="276" w:lineRule="auto"/>
              <w:jc w:val="right"/>
              <w:rPr>
                <w:rStyle w:val="ilfuvd"/>
                <w:rFonts w:eastAsiaTheme="majorEastAsia"/>
                <w:noProof/>
                <w:color w:val="000000" w:themeColor="text1"/>
                <w:sz w:val="16"/>
              </w:rPr>
            </w:pPr>
          </w:p>
        </w:tc>
        <w:tc>
          <w:tcPr>
            <w:tcW w:w="6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4C9225FA" w14:textId="77777777" w:rsidR="00625704" w:rsidRDefault="00625704" w:rsidP="00C06A68">
            <w:pPr>
              <w:pStyle w:val="Body"/>
              <w:spacing w:before="20" w:after="20" w:line="276" w:lineRule="auto"/>
              <w:jc w:val="right"/>
              <w:rPr>
                <w:rStyle w:val="ilfuvd"/>
                <w:rFonts w:eastAsiaTheme="majorEastAsia"/>
                <w:noProof/>
                <w:color w:val="000000" w:themeColor="text1"/>
                <w:sz w:val="16"/>
              </w:rPr>
            </w:pPr>
          </w:p>
        </w:tc>
        <w:tc>
          <w:tcPr>
            <w:tcW w:w="6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1DC7BA2B" w14:textId="77777777" w:rsidR="00625704" w:rsidRDefault="00625704" w:rsidP="00C06A68">
            <w:pPr>
              <w:pStyle w:val="Body"/>
              <w:spacing w:before="20" w:after="20" w:line="276" w:lineRule="auto"/>
              <w:jc w:val="right"/>
              <w:rPr>
                <w:rStyle w:val="ilfuvd"/>
                <w:rFonts w:eastAsiaTheme="majorEastAsia"/>
                <w:noProof/>
                <w:color w:val="000000" w:themeColor="text1"/>
                <w:sz w:val="16"/>
              </w:rPr>
            </w:pPr>
          </w:p>
        </w:tc>
        <w:tc>
          <w:tcPr>
            <w:tcW w:w="6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hideMark/>
          </w:tcPr>
          <w:p w14:paraId="123DCF01" w14:textId="77777777" w:rsidR="00625704" w:rsidRDefault="00625704" w:rsidP="00C06A68">
            <w:pPr>
              <w:pStyle w:val="Body"/>
              <w:spacing w:before="20" w:after="20" w:line="276" w:lineRule="auto"/>
              <w:jc w:val="right"/>
              <w:rPr>
                <w:rStyle w:val="ilfuvd"/>
                <w:rFonts w:eastAsiaTheme="majorEastAsia"/>
                <w:noProof/>
                <w:color w:val="000000" w:themeColor="text1"/>
                <w:sz w:val="16"/>
              </w:rPr>
            </w:pPr>
            <w:r>
              <w:rPr>
                <w:rStyle w:val="ilfuvd"/>
                <w:rFonts w:eastAsiaTheme="majorEastAsia"/>
                <w:noProof/>
                <w:color w:val="000000" w:themeColor="text1"/>
                <w:sz w:val="16"/>
                <w:szCs w:val="16"/>
              </w:rPr>
              <w:t>3.712</w:t>
            </w:r>
          </w:p>
        </w:tc>
        <w:tc>
          <w:tcPr>
            <w:tcW w:w="6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hideMark/>
          </w:tcPr>
          <w:p w14:paraId="683B027F" w14:textId="77777777" w:rsidR="00625704" w:rsidRDefault="00625704" w:rsidP="00C06A68">
            <w:pPr>
              <w:pStyle w:val="Body"/>
              <w:spacing w:before="20" w:after="20" w:line="276" w:lineRule="auto"/>
              <w:jc w:val="right"/>
              <w:rPr>
                <w:rStyle w:val="ilfuvd"/>
                <w:rFonts w:eastAsiaTheme="majorEastAsia"/>
                <w:noProof/>
                <w:color w:val="000000" w:themeColor="text1"/>
                <w:sz w:val="16"/>
              </w:rPr>
            </w:pPr>
            <w:r w:rsidRPr="001E3325">
              <w:rPr>
                <w:rStyle w:val="ilfuvd"/>
                <w:rFonts w:eastAsiaTheme="majorEastAsia"/>
                <w:noProof/>
                <w:color w:val="000000" w:themeColor="text1"/>
                <w:sz w:val="16"/>
                <w:szCs w:val="16"/>
              </w:rPr>
              <w:t>3.712</w:t>
            </w:r>
          </w:p>
        </w:tc>
        <w:tc>
          <w:tcPr>
            <w:tcW w:w="6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hideMark/>
          </w:tcPr>
          <w:p w14:paraId="3ADBB7A0" w14:textId="77777777" w:rsidR="00625704" w:rsidRDefault="00625704" w:rsidP="00C06A68">
            <w:pPr>
              <w:pStyle w:val="Body"/>
              <w:spacing w:before="20" w:after="20" w:line="276" w:lineRule="auto"/>
              <w:jc w:val="right"/>
              <w:rPr>
                <w:rStyle w:val="ilfuvd"/>
                <w:rFonts w:eastAsiaTheme="majorEastAsia"/>
                <w:noProof/>
                <w:color w:val="000000" w:themeColor="text1"/>
                <w:sz w:val="16"/>
              </w:rPr>
            </w:pPr>
            <w:r w:rsidRPr="001E3325">
              <w:rPr>
                <w:rStyle w:val="ilfuvd"/>
                <w:rFonts w:eastAsiaTheme="majorEastAsia"/>
                <w:noProof/>
                <w:color w:val="000000" w:themeColor="text1"/>
                <w:sz w:val="16"/>
                <w:szCs w:val="16"/>
              </w:rPr>
              <w:t>3.712</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1A2047C6" w14:textId="77777777" w:rsidR="00625704" w:rsidRDefault="00625704" w:rsidP="00C06A68">
            <w:pPr>
              <w:spacing w:line="276" w:lineRule="auto"/>
              <w:rPr>
                <w:rStyle w:val="ilfuvd"/>
                <w:noProof/>
                <w:color w:val="000000" w:themeColor="text1"/>
                <w:sz w:val="16"/>
              </w:rPr>
            </w:pPr>
          </w:p>
        </w:tc>
        <w:tc>
          <w:tcPr>
            <w:tcW w:w="10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hideMark/>
          </w:tcPr>
          <w:p w14:paraId="636E37D1" w14:textId="77777777" w:rsidR="00625704" w:rsidRDefault="00625704" w:rsidP="00C06A68">
            <w:pPr>
              <w:pStyle w:val="Body"/>
              <w:spacing w:before="20" w:after="20" w:line="276" w:lineRule="auto"/>
              <w:jc w:val="center"/>
              <w:rPr>
                <w:rStyle w:val="ilfuvd"/>
                <w:rFonts w:eastAsiaTheme="majorEastAsia"/>
                <w:b/>
                <w:noProof/>
                <w:color w:val="000000" w:themeColor="text1"/>
                <w:sz w:val="16"/>
              </w:rPr>
            </w:pPr>
            <w:r>
              <w:rPr>
                <w:rStyle w:val="ilfuvd"/>
                <w:rFonts w:eastAsiaTheme="majorEastAsia"/>
                <w:b/>
                <w:noProof/>
                <w:color w:val="000000" w:themeColor="text1"/>
                <w:sz w:val="16"/>
                <w:szCs w:val="16"/>
              </w:rPr>
              <w:t>11.13</w:t>
            </w:r>
            <w:r w:rsidR="006F412F">
              <w:rPr>
                <w:rStyle w:val="ilfuvd"/>
                <w:rFonts w:eastAsiaTheme="majorEastAsia"/>
                <w:b/>
                <w:noProof/>
                <w:color w:val="000000" w:themeColor="text1"/>
                <w:sz w:val="16"/>
                <w:szCs w:val="16"/>
              </w:rPr>
              <w:t>6</w:t>
            </w:r>
          </w:p>
        </w:tc>
      </w:tr>
      <w:tr w:rsidR="00625704" w14:paraId="5B857E62" w14:textId="77777777" w:rsidTr="00C06A68">
        <w:trPr>
          <w:trHeight w:val="231"/>
          <w:jc w:val="center"/>
        </w:trPr>
        <w:tc>
          <w:tcPr>
            <w:tcW w:w="49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hideMark/>
          </w:tcPr>
          <w:p w14:paraId="0376AAF6" w14:textId="77777777" w:rsidR="00625704" w:rsidRDefault="00625704" w:rsidP="00C06A68">
            <w:pPr>
              <w:pStyle w:val="Body"/>
              <w:spacing w:before="20" w:after="20" w:line="276" w:lineRule="auto"/>
              <w:rPr>
                <w:rFonts w:eastAsiaTheme="majorEastAsia"/>
                <w:noProof/>
              </w:rPr>
            </w:pPr>
            <w:r>
              <w:rPr>
                <w:rStyle w:val="ilfuvd"/>
                <w:rFonts w:eastAsiaTheme="majorEastAsia"/>
                <w:noProof/>
                <w:color w:val="000000" w:themeColor="text1"/>
              </w:rPr>
              <w:t xml:space="preserve">Other administrative expenditure </w:t>
            </w:r>
          </w:p>
        </w:tc>
        <w:tc>
          <w:tcPr>
            <w:tcW w:w="6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7A8963EC" w14:textId="77777777" w:rsidR="00625704" w:rsidRDefault="00625704" w:rsidP="00C06A68">
            <w:pPr>
              <w:pStyle w:val="Body"/>
              <w:spacing w:before="20" w:after="20" w:line="276" w:lineRule="auto"/>
              <w:jc w:val="right"/>
              <w:rPr>
                <w:noProof/>
                <w:color w:val="000000" w:themeColor="text1"/>
              </w:rPr>
            </w:pPr>
          </w:p>
        </w:tc>
        <w:tc>
          <w:tcPr>
            <w:tcW w:w="6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03CB5CA9" w14:textId="77777777" w:rsidR="00625704" w:rsidRDefault="00625704" w:rsidP="00C06A68">
            <w:pPr>
              <w:pStyle w:val="Body"/>
              <w:spacing w:before="20" w:after="20" w:line="276" w:lineRule="auto"/>
              <w:jc w:val="right"/>
              <w:rPr>
                <w:noProof/>
                <w:color w:val="000000" w:themeColor="text1"/>
              </w:rPr>
            </w:pPr>
          </w:p>
        </w:tc>
        <w:tc>
          <w:tcPr>
            <w:tcW w:w="6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2BAE5FB1" w14:textId="77777777" w:rsidR="00625704" w:rsidRDefault="00625704" w:rsidP="00C06A68">
            <w:pPr>
              <w:pStyle w:val="Body"/>
              <w:spacing w:before="20" w:after="20" w:line="276" w:lineRule="auto"/>
              <w:jc w:val="right"/>
              <w:rPr>
                <w:noProof/>
                <w:color w:val="000000" w:themeColor="text1"/>
              </w:rPr>
            </w:pPr>
          </w:p>
        </w:tc>
        <w:tc>
          <w:tcPr>
            <w:tcW w:w="6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5B99C7CA" w14:textId="77777777" w:rsidR="00625704" w:rsidRDefault="00625704" w:rsidP="00C06A68">
            <w:pPr>
              <w:pStyle w:val="Body"/>
              <w:spacing w:before="20" w:after="20" w:line="276" w:lineRule="auto"/>
              <w:jc w:val="right"/>
              <w:rPr>
                <w:noProof/>
                <w:color w:val="000000" w:themeColor="text1"/>
              </w:rPr>
            </w:pPr>
          </w:p>
        </w:tc>
        <w:tc>
          <w:tcPr>
            <w:tcW w:w="6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hideMark/>
          </w:tcPr>
          <w:p w14:paraId="35927CF4" w14:textId="77777777" w:rsidR="00625704" w:rsidRDefault="00625704" w:rsidP="00C06A68">
            <w:pPr>
              <w:pStyle w:val="Body"/>
              <w:spacing w:before="20" w:after="20" w:line="276" w:lineRule="auto"/>
              <w:jc w:val="right"/>
              <w:rPr>
                <w:noProof/>
                <w:color w:val="000000" w:themeColor="text1"/>
              </w:rPr>
            </w:pPr>
            <w:r>
              <w:rPr>
                <w:rStyle w:val="ilfuvd"/>
                <w:rFonts w:eastAsiaTheme="majorEastAsia"/>
                <w:noProof/>
                <w:color w:val="000000" w:themeColor="text1"/>
                <w:sz w:val="16"/>
                <w:szCs w:val="16"/>
              </w:rPr>
              <w:t>0.258</w:t>
            </w:r>
          </w:p>
        </w:tc>
        <w:tc>
          <w:tcPr>
            <w:tcW w:w="6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hideMark/>
          </w:tcPr>
          <w:p w14:paraId="4FD07E0C" w14:textId="77777777" w:rsidR="00625704" w:rsidRDefault="00625704" w:rsidP="00C06A68">
            <w:pPr>
              <w:pStyle w:val="Body"/>
              <w:spacing w:before="20" w:after="20" w:line="276" w:lineRule="auto"/>
              <w:jc w:val="right"/>
              <w:rPr>
                <w:noProof/>
                <w:color w:val="000000" w:themeColor="text1"/>
              </w:rPr>
            </w:pPr>
            <w:r>
              <w:rPr>
                <w:rStyle w:val="ilfuvd"/>
                <w:rFonts w:eastAsiaTheme="majorEastAsia"/>
                <w:noProof/>
                <w:color w:val="000000" w:themeColor="text1"/>
                <w:sz w:val="16"/>
                <w:szCs w:val="16"/>
              </w:rPr>
              <w:t>0.258</w:t>
            </w:r>
          </w:p>
        </w:tc>
        <w:tc>
          <w:tcPr>
            <w:tcW w:w="6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hideMark/>
          </w:tcPr>
          <w:p w14:paraId="0C80714C" w14:textId="77777777" w:rsidR="00625704" w:rsidRDefault="00625704" w:rsidP="00C06A68">
            <w:pPr>
              <w:pStyle w:val="Body"/>
              <w:spacing w:before="20" w:after="20" w:line="276" w:lineRule="auto"/>
              <w:jc w:val="right"/>
              <w:rPr>
                <w:noProof/>
                <w:color w:val="000000" w:themeColor="text1"/>
              </w:rPr>
            </w:pPr>
            <w:r>
              <w:rPr>
                <w:rStyle w:val="ilfuvd"/>
                <w:rFonts w:eastAsiaTheme="majorEastAsia"/>
                <w:noProof/>
                <w:color w:val="000000" w:themeColor="text1"/>
                <w:sz w:val="16"/>
                <w:szCs w:val="16"/>
              </w:rPr>
              <w:t>0.131</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36872968" w14:textId="77777777" w:rsidR="00625704" w:rsidRDefault="00625704" w:rsidP="00C06A68">
            <w:pPr>
              <w:spacing w:line="276" w:lineRule="auto"/>
              <w:rPr>
                <w:noProof/>
                <w:color w:val="000000" w:themeColor="text1"/>
              </w:rPr>
            </w:pPr>
          </w:p>
        </w:tc>
        <w:tc>
          <w:tcPr>
            <w:tcW w:w="10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hideMark/>
          </w:tcPr>
          <w:p w14:paraId="7A4C487B" w14:textId="77777777" w:rsidR="00625704" w:rsidRDefault="00625704" w:rsidP="00C06A68">
            <w:pPr>
              <w:pStyle w:val="Body"/>
              <w:spacing w:before="20" w:after="20" w:line="276" w:lineRule="auto"/>
              <w:jc w:val="center"/>
              <w:rPr>
                <w:noProof/>
                <w:color w:val="000000" w:themeColor="text1"/>
              </w:rPr>
            </w:pPr>
            <w:r>
              <w:rPr>
                <w:rStyle w:val="ilfuvd"/>
                <w:rFonts w:eastAsiaTheme="majorEastAsia"/>
                <w:b/>
                <w:bCs/>
                <w:noProof/>
                <w:color w:val="000000" w:themeColor="text1"/>
                <w:sz w:val="16"/>
                <w:szCs w:val="16"/>
              </w:rPr>
              <w:t>0.647</w:t>
            </w:r>
          </w:p>
        </w:tc>
      </w:tr>
      <w:tr w:rsidR="00625704" w14:paraId="14C30F16" w14:textId="77777777" w:rsidTr="00C06A68">
        <w:trPr>
          <w:trHeight w:val="923"/>
          <w:jc w:val="center"/>
        </w:trPr>
        <w:tc>
          <w:tcPr>
            <w:tcW w:w="33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hideMark/>
          </w:tcPr>
          <w:p w14:paraId="2B4E5E6E" w14:textId="77777777" w:rsidR="00625704" w:rsidRDefault="00625704" w:rsidP="00C06A68">
            <w:pPr>
              <w:pStyle w:val="Body"/>
              <w:spacing w:before="20" w:after="20" w:line="276" w:lineRule="auto"/>
              <w:jc w:val="center"/>
              <w:rPr>
                <w:noProof/>
                <w:color w:val="000000" w:themeColor="text1"/>
              </w:rPr>
            </w:pPr>
            <w:r>
              <w:rPr>
                <w:rStyle w:val="ilfuvd"/>
                <w:rFonts w:eastAsiaTheme="majorEastAsia"/>
                <w:b/>
                <w:bCs/>
                <w:noProof/>
                <w:color w:val="000000" w:themeColor="text1"/>
                <w:sz w:val="22"/>
                <w:szCs w:val="22"/>
              </w:rPr>
              <w:t>TOTAL appropriations under HEADING 7 of the multiannual financial framework</w:t>
            </w:r>
          </w:p>
        </w:tc>
        <w:tc>
          <w:tcPr>
            <w:tcW w:w="16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hideMark/>
          </w:tcPr>
          <w:p w14:paraId="788959DB" w14:textId="77777777" w:rsidR="00625704" w:rsidRDefault="00625704" w:rsidP="00C06A68">
            <w:pPr>
              <w:pStyle w:val="Body"/>
              <w:spacing w:before="20" w:after="20" w:line="276" w:lineRule="auto"/>
              <w:jc w:val="center"/>
              <w:rPr>
                <w:noProof/>
                <w:color w:val="000000" w:themeColor="text1"/>
              </w:rPr>
            </w:pPr>
            <w:r>
              <w:rPr>
                <w:rStyle w:val="ilfuvd"/>
                <w:rFonts w:eastAsiaTheme="majorEastAsia"/>
                <w:noProof/>
                <w:color w:val="000000" w:themeColor="text1"/>
                <w:sz w:val="18"/>
                <w:szCs w:val="18"/>
              </w:rPr>
              <w:t>(Total commitments = Total payments)</w:t>
            </w:r>
          </w:p>
        </w:tc>
        <w:tc>
          <w:tcPr>
            <w:tcW w:w="6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484913BB" w14:textId="77777777" w:rsidR="00625704" w:rsidRDefault="00625704" w:rsidP="00C06A68">
            <w:pPr>
              <w:pStyle w:val="Body"/>
              <w:spacing w:before="20" w:after="20" w:line="276" w:lineRule="auto"/>
              <w:jc w:val="center"/>
              <w:rPr>
                <w:rStyle w:val="ilfuvd"/>
                <w:rFonts w:eastAsiaTheme="majorEastAsia"/>
                <w:b/>
                <w:noProof/>
                <w:sz w:val="18"/>
              </w:rPr>
            </w:pPr>
          </w:p>
        </w:tc>
        <w:tc>
          <w:tcPr>
            <w:tcW w:w="6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3686B970" w14:textId="77777777" w:rsidR="00625704" w:rsidRDefault="00625704" w:rsidP="00C06A68">
            <w:pPr>
              <w:pStyle w:val="Body"/>
              <w:spacing w:before="20" w:after="20" w:line="276" w:lineRule="auto"/>
              <w:jc w:val="center"/>
              <w:rPr>
                <w:rStyle w:val="ilfuvd"/>
                <w:rFonts w:eastAsiaTheme="majorEastAsia"/>
                <w:b/>
                <w:noProof/>
                <w:color w:val="000000" w:themeColor="text1"/>
                <w:sz w:val="18"/>
              </w:rPr>
            </w:pPr>
          </w:p>
        </w:tc>
        <w:tc>
          <w:tcPr>
            <w:tcW w:w="6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6984C29F" w14:textId="77777777" w:rsidR="00625704" w:rsidRDefault="00625704" w:rsidP="00C06A68">
            <w:pPr>
              <w:pStyle w:val="Body"/>
              <w:spacing w:before="20" w:after="20" w:line="276" w:lineRule="auto"/>
              <w:jc w:val="center"/>
              <w:rPr>
                <w:rStyle w:val="ilfuvd"/>
                <w:rFonts w:eastAsiaTheme="majorEastAsia"/>
                <w:b/>
                <w:noProof/>
                <w:color w:val="000000" w:themeColor="text1"/>
                <w:sz w:val="18"/>
              </w:rPr>
            </w:pPr>
          </w:p>
        </w:tc>
        <w:tc>
          <w:tcPr>
            <w:tcW w:w="6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252B2BCC" w14:textId="77777777" w:rsidR="00625704" w:rsidRDefault="00625704" w:rsidP="00C06A68">
            <w:pPr>
              <w:pStyle w:val="Body"/>
              <w:spacing w:before="20" w:after="20" w:line="276" w:lineRule="auto"/>
              <w:jc w:val="center"/>
              <w:rPr>
                <w:rStyle w:val="ilfuvd"/>
                <w:rFonts w:eastAsiaTheme="majorEastAsia"/>
                <w:b/>
                <w:noProof/>
                <w:color w:val="000000" w:themeColor="text1"/>
                <w:sz w:val="18"/>
              </w:rPr>
            </w:pPr>
          </w:p>
        </w:tc>
        <w:tc>
          <w:tcPr>
            <w:tcW w:w="6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hideMark/>
          </w:tcPr>
          <w:p w14:paraId="043C0961" w14:textId="77777777" w:rsidR="00625704" w:rsidRDefault="00625704" w:rsidP="00C06A68">
            <w:pPr>
              <w:pStyle w:val="Body"/>
              <w:spacing w:before="20" w:after="20" w:line="276" w:lineRule="auto"/>
              <w:jc w:val="center"/>
              <w:rPr>
                <w:rStyle w:val="ilfuvd"/>
                <w:rFonts w:eastAsiaTheme="majorEastAsia"/>
                <w:b/>
                <w:noProof/>
                <w:color w:val="000000" w:themeColor="text1"/>
                <w:sz w:val="18"/>
              </w:rPr>
            </w:pPr>
            <w:r>
              <w:rPr>
                <w:rStyle w:val="ilfuvd"/>
                <w:rFonts w:eastAsiaTheme="majorEastAsia"/>
                <w:b/>
                <w:noProof/>
                <w:color w:val="000000" w:themeColor="text1"/>
                <w:sz w:val="18"/>
                <w:szCs w:val="16"/>
              </w:rPr>
              <w:t>3.970</w:t>
            </w:r>
          </w:p>
        </w:tc>
        <w:tc>
          <w:tcPr>
            <w:tcW w:w="6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hideMark/>
          </w:tcPr>
          <w:p w14:paraId="0E4080AB" w14:textId="77777777" w:rsidR="00625704" w:rsidRDefault="00625704" w:rsidP="00C06A68">
            <w:pPr>
              <w:pStyle w:val="Body"/>
              <w:spacing w:before="20" w:after="20" w:line="276" w:lineRule="auto"/>
              <w:jc w:val="center"/>
              <w:rPr>
                <w:rStyle w:val="ilfuvd"/>
                <w:rFonts w:eastAsiaTheme="majorEastAsia"/>
                <w:b/>
                <w:noProof/>
                <w:color w:val="000000" w:themeColor="text1"/>
                <w:sz w:val="18"/>
              </w:rPr>
            </w:pPr>
            <w:r>
              <w:rPr>
                <w:rStyle w:val="ilfuvd"/>
                <w:rFonts w:eastAsiaTheme="majorEastAsia"/>
                <w:b/>
                <w:noProof/>
                <w:color w:val="000000" w:themeColor="text1"/>
                <w:sz w:val="18"/>
                <w:szCs w:val="16"/>
              </w:rPr>
              <w:t>3.970</w:t>
            </w:r>
          </w:p>
        </w:tc>
        <w:tc>
          <w:tcPr>
            <w:tcW w:w="6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hideMark/>
          </w:tcPr>
          <w:p w14:paraId="5B94DCF6" w14:textId="77777777" w:rsidR="00625704" w:rsidRDefault="00625704" w:rsidP="00C06A68">
            <w:pPr>
              <w:pStyle w:val="Body"/>
              <w:spacing w:before="20" w:after="20" w:line="276" w:lineRule="auto"/>
              <w:jc w:val="center"/>
              <w:rPr>
                <w:rStyle w:val="ilfuvd"/>
                <w:rFonts w:eastAsiaTheme="majorEastAsia"/>
                <w:noProof/>
                <w:color w:val="000000" w:themeColor="text1"/>
                <w:sz w:val="18"/>
              </w:rPr>
            </w:pPr>
            <w:r>
              <w:rPr>
                <w:rStyle w:val="ilfuvd"/>
                <w:rFonts w:eastAsiaTheme="majorEastAsia"/>
                <w:b/>
                <w:noProof/>
                <w:color w:val="000000" w:themeColor="text1"/>
                <w:sz w:val="18"/>
                <w:szCs w:val="16"/>
              </w:rPr>
              <w:t>3.843</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78EDB616" w14:textId="77777777" w:rsidR="00625704" w:rsidRDefault="00625704" w:rsidP="00C06A68">
            <w:pPr>
              <w:spacing w:line="276" w:lineRule="auto"/>
              <w:jc w:val="center"/>
              <w:rPr>
                <w:rStyle w:val="ilfuvd"/>
                <w:noProof/>
                <w:color w:val="000000" w:themeColor="text1"/>
                <w:sz w:val="18"/>
              </w:rPr>
            </w:pPr>
          </w:p>
        </w:tc>
        <w:tc>
          <w:tcPr>
            <w:tcW w:w="10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hideMark/>
          </w:tcPr>
          <w:p w14:paraId="526F5956" w14:textId="77777777" w:rsidR="00625704" w:rsidRDefault="00625704" w:rsidP="00C06A68">
            <w:pPr>
              <w:pStyle w:val="Body"/>
              <w:spacing w:before="20" w:after="20" w:line="276" w:lineRule="auto"/>
              <w:jc w:val="center"/>
              <w:rPr>
                <w:rStyle w:val="ilfuvd"/>
                <w:rFonts w:eastAsiaTheme="majorEastAsia"/>
                <w:b/>
                <w:noProof/>
                <w:color w:val="000000" w:themeColor="text1"/>
                <w:sz w:val="18"/>
              </w:rPr>
            </w:pPr>
            <w:r>
              <w:rPr>
                <w:rStyle w:val="ilfuvd"/>
                <w:rFonts w:eastAsiaTheme="majorEastAsia"/>
                <w:b/>
                <w:noProof/>
                <w:color w:val="000000" w:themeColor="text1"/>
                <w:sz w:val="18"/>
                <w:szCs w:val="16"/>
              </w:rPr>
              <w:t>11.78</w:t>
            </w:r>
            <w:r w:rsidR="006F412F">
              <w:rPr>
                <w:rStyle w:val="ilfuvd"/>
                <w:rFonts w:eastAsiaTheme="majorEastAsia"/>
                <w:b/>
                <w:noProof/>
                <w:color w:val="000000" w:themeColor="text1"/>
                <w:sz w:val="18"/>
                <w:szCs w:val="16"/>
              </w:rPr>
              <w:t>3</w:t>
            </w:r>
          </w:p>
        </w:tc>
      </w:tr>
    </w:tbl>
    <w:p w14:paraId="1A26867A" w14:textId="77777777" w:rsidR="00625704" w:rsidRDefault="00625704" w:rsidP="00625704">
      <w:pPr>
        <w:rPr>
          <w:noProof/>
          <w:color w:val="000000" w:themeColor="text1"/>
          <w:sz w:val="20"/>
        </w:rPr>
      </w:pPr>
    </w:p>
    <w:p w14:paraId="5301B4BC" w14:textId="77777777" w:rsidR="00625704" w:rsidRDefault="00625704" w:rsidP="00625704">
      <w:pPr>
        <w:pStyle w:val="Body"/>
        <w:ind w:left="7200" w:firstLine="720"/>
        <w:jc w:val="center"/>
        <w:rPr>
          <w:rStyle w:val="ilfuvd"/>
          <w:rFonts w:eastAsiaTheme="majorEastAsia"/>
          <w:noProof/>
        </w:rPr>
      </w:pPr>
      <w:r>
        <w:rPr>
          <w:rStyle w:val="ilfuvd"/>
          <w:rFonts w:eastAsiaTheme="majorEastAsia"/>
          <w:noProof/>
          <w:color w:val="000000" w:themeColor="text1"/>
        </w:rPr>
        <w:t>EUR million (to three decimal places)</w:t>
      </w:r>
    </w:p>
    <w:tbl>
      <w:tblPr>
        <w:tblW w:w="11375" w:type="dxa"/>
        <w:jc w:val="cente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shd w:val="clear" w:color="auto" w:fill="CED7E7"/>
        <w:tblLook w:val="04A0" w:firstRow="1" w:lastRow="0" w:firstColumn="1" w:lastColumn="0" w:noHBand="0" w:noVBand="1"/>
      </w:tblPr>
      <w:tblGrid>
        <w:gridCol w:w="1535"/>
        <w:gridCol w:w="623"/>
        <w:gridCol w:w="511"/>
        <w:gridCol w:w="387"/>
        <w:gridCol w:w="18"/>
        <w:gridCol w:w="715"/>
        <w:gridCol w:w="16"/>
        <w:gridCol w:w="901"/>
        <w:gridCol w:w="881"/>
        <w:gridCol w:w="1094"/>
        <w:gridCol w:w="1107"/>
        <w:gridCol w:w="1076"/>
        <w:gridCol w:w="805"/>
        <w:gridCol w:w="748"/>
        <w:gridCol w:w="958"/>
      </w:tblGrid>
      <w:tr w:rsidR="00625704" w14:paraId="20E5C6FC" w14:textId="77777777" w:rsidTr="00C06A68">
        <w:trPr>
          <w:trHeight w:val="474"/>
          <w:jc w:val="center"/>
        </w:trPr>
        <w:tc>
          <w:tcPr>
            <w:tcW w:w="2158" w:type="dxa"/>
            <w:gridSpan w:val="2"/>
            <w:tcBorders>
              <w:top w:val="nil"/>
              <w:left w:val="nil"/>
              <w:bottom w:val="single" w:sz="4" w:space="0" w:color="000000" w:themeColor="text1"/>
              <w:right w:val="nil"/>
            </w:tcBorders>
            <w:shd w:val="clear" w:color="auto" w:fill="auto"/>
            <w:tcMar>
              <w:top w:w="80" w:type="dxa"/>
              <w:left w:w="80" w:type="dxa"/>
              <w:bottom w:w="80" w:type="dxa"/>
              <w:right w:w="80" w:type="dxa"/>
            </w:tcMar>
            <w:vAlign w:val="center"/>
          </w:tcPr>
          <w:p w14:paraId="037F75E7" w14:textId="77777777" w:rsidR="00625704" w:rsidRDefault="00625704" w:rsidP="00C06A68">
            <w:pPr>
              <w:spacing w:line="276" w:lineRule="auto"/>
              <w:rPr>
                <w:noProof/>
              </w:rPr>
            </w:pPr>
          </w:p>
        </w:tc>
        <w:tc>
          <w:tcPr>
            <w:tcW w:w="511" w:type="dxa"/>
            <w:tcBorders>
              <w:top w:val="nil"/>
              <w:left w:val="nil"/>
              <w:bottom w:val="single" w:sz="4" w:space="0" w:color="000000" w:themeColor="text1"/>
              <w:right w:val="nil"/>
            </w:tcBorders>
            <w:shd w:val="clear" w:color="auto" w:fill="auto"/>
            <w:tcMar>
              <w:top w:w="80" w:type="dxa"/>
              <w:left w:w="80" w:type="dxa"/>
              <w:bottom w:w="80" w:type="dxa"/>
              <w:right w:w="80" w:type="dxa"/>
            </w:tcMar>
          </w:tcPr>
          <w:p w14:paraId="4BDADE15" w14:textId="77777777" w:rsidR="00625704" w:rsidRDefault="00625704" w:rsidP="00C06A68">
            <w:pPr>
              <w:spacing w:line="276" w:lineRule="auto"/>
              <w:rPr>
                <w:noProof/>
                <w:color w:val="000000" w:themeColor="text1"/>
              </w:rPr>
            </w:pPr>
          </w:p>
        </w:tc>
        <w:tc>
          <w:tcPr>
            <w:tcW w:w="405" w:type="dxa"/>
            <w:gridSpan w:val="2"/>
            <w:tcBorders>
              <w:top w:val="nil"/>
              <w:left w:val="nil"/>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2686AA31" w14:textId="77777777" w:rsidR="00625704" w:rsidRDefault="00625704" w:rsidP="00C06A68">
            <w:pPr>
              <w:spacing w:line="276" w:lineRule="auto"/>
              <w:ind w:hanging="151"/>
              <w:jc w:val="center"/>
              <w:rPr>
                <w:noProof/>
                <w:color w:val="000000" w:themeColor="text1"/>
              </w:rPr>
            </w:pPr>
          </w:p>
        </w:tc>
        <w:tc>
          <w:tcPr>
            <w:tcW w:w="73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hideMark/>
          </w:tcPr>
          <w:p w14:paraId="173BD61F" w14:textId="77777777" w:rsidR="00625704" w:rsidRDefault="00625704" w:rsidP="00C06A68">
            <w:pPr>
              <w:pStyle w:val="Body"/>
              <w:spacing w:line="276" w:lineRule="auto"/>
              <w:jc w:val="center"/>
              <w:rPr>
                <w:noProof/>
                <w:color w:val="000000" w:themeColor="text1"/>
              </w:rPr>
            </w:pPr>
            <w:r>
              <w:rPr>
                <w:rStyle w:val="ilfuvd"/>
                <w:rFonts w:eastAsiaTheme="majorEastAsia"/>
                <w:b/>
                <w:bCs/>
                <w:noProof/>
                <w:color w:val="000000" w:themeColor="text1"/>
                <w:sz w:val="20"/>
                <w:szCs w:val="20"/>
              </w:rPr>
              <w:t>2021</w:t>
            </w:r>
          </w:p>
        </w:tc>
        <w:tc>
          <w:tcPr>
            <w:tcW w:w="9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hideMark/>
          </w:tcPr>
          <w:p w14:paraId="6D921F34" w14:textId="77777777" w:rsidR="00625704" w:rsidRDefault="00625704" w:rsidP="00C06A68">
            <w:pPr>
              <w:pStyle w:val="Body"/>
              <w:spacing w:line="276" w:lineRule="auto"/>
              <w:jc w:val="center"/>
              <w:rPr>
                <w:noProof/>
                <w:color w:val="000000" w:themeColor="text1"/>
              </w:rPr>
            </w:pPr>
            <w:r>
              <w:rPr>
                <w:rStyle w:val="ilfuvd"/>
                <w:rFonts w:eastAsiaTheme="majorEastAsia"/>
                <w:b/>
                <w:bCs/>
                <w:noProof/>
                <w:color w:val="000000" w:themeColor="text1"/>
                <w:sz w:val="20"/>
                <w:szCs w:val="20"/>
              </w:rPr>
              <w:t>2022</w:t>
            </w:r>
          </w:p>
        </w:tc>
        <w:tc>
          <w:tcPr>
            <w:tcW w:w="8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hideMark/>
          </w:tcPr>
          <w:p w14:paraId="19C3F3B9" w14:textId="77777777" w:rsidR="00625704" w:rsidRDefault="00625704" w:rsidP="00C06A68">
            <w:pPr>
              <w:pStyle w:val="Body"/>
              <w:spacing w:line="276" w:lineRule="auto"/>
              <w:jc w:val="center"/>
              <w:rPr>
                <w:noProof/>
                <w:color w:val="000000" w:themeColor="text1"/>
              </w:rPr>
            </w:pPr>
            <w:r>
              <w:rPr>
                <w:rStyle w:val="ilfuvd"/>
                <w:rFonts w:eastAsiaTheme="majorEastAsia"/>
                <w:b/>
                <w:bCs/>
                <w:noProof/>
                <w:color w:val="000000" w:themeColor="text1"/>
                <w:sz w:val="20"/>
                <w:szCs w:val="20"/>
              </w:rPr>
              <w:t>2023</w:t>
            </w:r>
          </w:p>
        </w:tc>
        <w:tc>
          <w:tcPr>
            <w:tcW w:w="10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hideMark/>
          </w:tcPr>
          <w:p w14:paraId="0D69ADFE" w14:textId="77777777" w:rsidR="00625704" w:rsidRDefault="00625704" w:rsidP="00C06A68">
            <w:pPr>
              <w:pStyle w:val="Body"/>
              <w:spacing w:line="276" w:lineRule="auto"/>
              <w:jc w:val="center"/>
              <w:rPr>
                <w:noProof/>
                <w:color w:val="000000" w:themeColor="text1"/>
              </w:rPr>
            </w:pPr>
            <w:r>
              <w:rPr>
                <w:rStyle w:val="ilfuvd"/>
                <w:rFonts w:eastAsiaTheme="majorEastAsia"/>
                <w:b/>
                <w:bCs/>
                <w:noProof/>
                <w:color w:val="000000" w:themeColor="text1"/>
                <w:sz w:val="20"/>
                <w:szCs w:val="20"/>
              </w:rPr>
              <w:t>2024</w:t>
            </w:r>
          </w:p>
        </w:tc>
        <w:tc>
          <w:tcPr>
            <w:tcW w:w="11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hideMark/>
          </w:tcPr>
          <w:p w14:paraId="2A449C14" w14:textId="77777777" w:rsidR="00625704" w:rsidRDefault="00625704" w:rsidP="00C06A68">
            <w:pPr>
              <w:pStyle w:val="Body"/>
              <w:spacing w:line="276" w:lineRule="auto"/>
              <w:jc w:val="center"/>
              <w:rPr>
                <w:noProof/>
                <w:color w:val="000000" w:themeColor="text1"/>
              </w:rPr>
            </w:pPr>
            <w:r>
              <w:rPr>
                <w:rStyle w:val="ilfuvd"/>
                <w:rFonts w:eastAsiaTheme="majorEastAsia"/>
                <w:b/>
                <w:bCs/>
                <w:noProof/>
                <w:color w:val="000000" w:themeColor="text1"/>
                <w:sz w:val="18"/>
                <w:szCs w:val="18"/>
              </w:rPr>
              <w:t>2025</w:t>
            </w:r>
          </w:p>
        </w:tc>
        <w:tc>
          <w:tcPr>
            <w:tcW w:w="10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hideMark/>
          </w:tcPr>
          <w:p w14:paraId="25246496" w14:textId="77777777" w:rsidR="00625704" w:rsidRDefault="00625704" w:rsidP="00C06A68">
            <w:pPr>
              <w:pStyle w:val="Body"/>
              <w:spacing w:line="276" w:lineRule="auto"/>
              <w:jc w:val="center"/>
              <w:rPr>
                <w:noProof/>
                <w:color w:val="000000" w:themeColor="text1"/>
              </w:rPr>
            </w:pPr>
            <w:r>
              <w:rPr>
                <w:rStyle w:val="ilfuvd"/>
                <w:rFonts w:eastAsiaTheme="majorEastAsia"/>
                <w:b/>
                <w:bCs/>
                <w:noProof/>
                <w:color w:val="000000" w:themeColor="text1"/>
                <w:sz w:val="18"/>
                <w:szCs w:val="18"/>
              </w:rPr>
              <w:t>2026</w:t>
            </w:r>
          </w:p>
        </w:tc>
        <w:tc>
          <w:tcPr>
            <w:tcW w:w="8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hideMark/>
          </w:tcPr>
          <w:p w14:paraId="0033A69D" w14:textId="77777777" w:rsidR="00625704" w:rsidRDefault="00625704" w:rsidP="00C06A68">
            <w:pPr>
              <w:pStyle w:val="Body"/>
              <w:spacing w:line="276" w:lineRule="auto"/>
              <w:jc w:val="center"/>
              <w:rPr>
                <w:noProof/>
                <w:color w:val="000000" w:themeColor="text1"/>
              </w:rPr>
            </w:pPr>
            <w:r>
              <w:rPr>
                <w:rStyle w:val="ilfuvd"/>
                <w:rFonts w:eastAsiaTheme="majorEastAsia"/>
                <w:b/>
                <w:bCs/>
                <w:noProof/>
                <w:color w:val="000000" w:themeColor="text1"/>
                <w:sz w:val="18"/>
                <w:szCs w:val="18"/>
              </w:rPr>
              <w:t>2027</w:t>
            </w:r>
          </w:p>
        </w:tc>
        <w:tc>
          <w:tcPr>
            <w:tcW w:w="7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hideMark/>
          </w:tcPr>
          <w:p w14:paraId="588B7986" w14:textId="77777777" w:rsidR="00625704" w:rsidRDefault="00625704" w:rsidP="00C06A68">
            <w:pPr>
              <w:pStyle w:val="Body"/>
              <w:spacing w:line="276" w:lineRule="auto"/>
              <w:jc w:val="center"/>
              <w:rPr>
                <w:noProof/>
                <w:color w:val="000000" w:themeColor="text1"/>
              </w:rPr>
            </w:pPr>
            <w:r>
              <w:rPr>
                <w:rStyle w:val="ilfuvd"/>
                <w:rFonts w:eastAsiaTheme="majorEastAsia"/>
                <w:b/>
                <w:bCs/>
                <w:i/>
                <w:iCs/>
                <w:noProof/>
                <w:color w:val="000000" w:themeColor="text1"/>
                <w:sz w:val="20"/>
                <w:szCs w:val="20"/>
              </w:rPr>
              <w:t>Post 2027</w:t>
            </w:r>
          </w:p>
        </w:tc>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hideMark/>
          </w:tcPr>
          <w:p w14:paraId="79C1F520" w14:textId="77777777" w:rsidR="00625704" w:rsidRDefault="00625704" w:rsidP="00C06A68">
            <w:pPr>
              <w:pStyle w:val="Body"/>
              <w:spacing w:line="276" w:lineRule="auto"/>
              <w:jc w:val="center"/>
              <w:rPr>
                <w:noProof/>
                <w:color w:val="000000" w:themeColor="text1"/>
              </w:rPr>
            </w:pPr>
            <w:r>
              <w:rPr>
                <w:rStyle w:val="ilfuvd"/>
                <w:rFonts w:eastAsiaTheme="majorEastAsia"/>
                <w:noProof/>
                <w:color w:val="000000" w:themeColor="text1"/>
              </w:rPr>
              <w:t>TOTAL</w:t>
            </w:r>
          </w:p>
        </w:tc>
      </w:tr>
      <w:tr w:rsidR="00625704" w14:paraId="45E86242" w14:textId="77777777" w:rsidTr="00C06A68">
        <w:trPr>
          <w:trHeight w:val="258"/>
          <w:jc w:val="center"/>
        </w:trPr>
        <w:tc>
          <w:tcPr>
            <w:tcW w:w="153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80" w:type="dxa"/>
              <w:left w:w="80" w:type="dxa"/>
              <w:bottom w:w="80" w:type="dxa"/>
              <w:right w:w="80" w:type="dxa"/>
            </w:tcMar>
            <w:vAlign w:val="center"/>
            <w:hideMark/>
          </w:tcPr>
          <w:p w14:paraId="2A0F7CDA" w14:textId="77777777" w:rsidR="00625704" w:rsidRDefault="00625704" w:rsidP="00C06A68">
            <w:pPr>
              <w:pStyle w:val="Body"/>
              <w:spacing w:line="276" w:lineRule="auto"/>
              <w:jc w:val="center"/>
              <w:rPr>
                <w:noProof/>
                <w:color w:val="000000" w:themeColor="text1"/>
                <w:sz w:val="18"/>
              </w:rPr>
            </w:pPr>
            <w:r>
              <w:rPr>
                <w:rStyle w:val="ilfuvd"/>
                <w:rFonts w:eastAsiaTheme="majorEastAsia"/>
                <w:noProof/>
                <w:color w:val="000000" w:themeColor="text1"/>
                <w:sz w:val="18"/>
              </w:rPr>
              <w:t xml:space="preserve">TOTAL appropriations </w:t>
            </w:r>
            <w:r>
              <w:rPr>
                <w:rFonts w:ascii="Arial Unicode MS" w:eastAsia="Arial Unicode MS" w:hAnsi="Arial Unicode MS"/>
                <w:noProof/>
                <w:color w:val="000000" w:themeColor="text1"/>
                <w:sz w:val="18"/>
              </w:rPr>
              <w:br/>
            </w:r>
            <w:r>
              <w:rPr>
                <w:rStyle w:val="ilfuvd"/>
                <w:rFonts w:eastAsiaTheme="majorEastAsia"/>
                <w:b/>
                <w:bCs/>
                <w:noProof/>
                <w:color w:val="000000" w:themeColor="text1"/>
                <w:sz w:val="18"/>
                <w:szCs w:val="22"/>
              </w:rPr>
              <w:t>across</w:t>
            </w:r>
            <w:r>
              <w:rPr>
                <w:rStyle w:val="ilfuvd"/>
                <w:rFonts w:eastAsiaTheme="majorEastAsia"/>
                <w:noProof/>
                <w:color w:val="000000" w:themeColor="text1"/>
                <w:sz w:val="18"/>
              </w:rPr>
              <w:t xml:space="preserve"> HEADINGS </w:t>
            </w:r>
            <w:r>
              <w:rPr>
                <w:rFonts w:ascii="Arial Unicode MS" w:eastAsia="Arial Unicode MS" w:hAnsi="Arial Unicode MS"/>
                <w:noProof/>
                <w:color w:val="000000" w:themeColor="text1"/>
                <w:sz w:val="18"/>
              </w:rPr>
              <w:br/>
            </w:r>
            <w:r>
              <w:rPr>
                <w:rStyle w:val="ilfuvd"/>
                <w:rFonts w:eastAsiaTheme="majorEastAsia"/>
                <w:noProof/>
                <w:color w:val="000000" w:themeColor="text1"/>
                <w:sz w:val="18"/>
              </w:rPr>
              <w:t xml:space="preserve">of the multiannual financial framework </w:t>
            </w:r>
          </w:p>
        </w:tc>
        <w:tc>
          <w:tcPr>
            <w:tcW w:w="152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hideMark/>
          </w:tcPr>
          <w:p w14:paraId="2F357FBA" w14:textId="77777777" w:rsidR="00625704" w:rsidRDefault="00625704" w:rsidP="00C06A68">
            <w:pPr>
              <w:pStyle w:val="Body"/>
              <w:spacing w:line="276" w:lineRule="auto"/>
              <w:jc w:val="center"/>
              <w:rPr>
                <w:noProof/>
                <w:color w:val="000000" w:themeColor="text1"/>
                <w:sz w:val="18"/>
              </w:rPr>
            </w:pPr>
            <w:r>
              <w:rPr>
                <w:rStyle w:val="ilfuvd"/>
                <w:rFonts w:eastAsiaTheme="majorEastAsia"/>
                <w:noProof/>
                <w:color w:val="000000" w:themeColor="text1"/>
              </w:rPr>
              <w:t>Commitments</w:t>
            </w:r>
          </w:p>
        </w:tc>
        <w:tc>
          <w:tcPr>
            <w:tcW w:w="7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3271D5D1" w14:textId="77777777" w:rsidR="00625704" w:rsidRDefault="00625704" w:rsidP="00C06A68">
            <w:pPr>
              <w:spacing w:line="276" w:lineRule="auto"/>
              <w:jc w:val="center"/>
              <w:rPr>
                <w:noProof/>
                <w:color w:val="000000" w:themeColor="text1"/>
                <w:sz w:val="16"/>
              </w:rPr>
            </w:pPr>
          </w:p>
        </w:tc>
        <w:tc>
          <w:tcPr>
            <w:tcW w:w="9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54248532" w14:textId="77777777" w:rsidR="00625704" w:rsidRDefault="00625704" w:rsidP="00C06A68">
            <w:pPr>
              <w:spacing w:line="276" w:lineRule="auto"/>
              <w:jc w:val="center"/>
              <w:rPr>
                <w:noProof/>
                <w:color w:val="000000" w:themeColor="text1"/>
                <w:sz w:val="16"/>
              </w:rPr>
            </w:pPr>
          </w:p>
        </w:tc>
        <w:tc>
          <w:tcPr>
            <w:tcW w:w="8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1816B9F1" w14:textId="77777777" w:rsidR="00625704" w:rsidRDefault="00625704" w:rsidP="00C06A68">
            <w:pPr>
              <w:spacing w:line="276" w:lineRule="auto"/>
              <w:jc w:val="center"/>
              <w:rPr>
                <w:noProof/>
                <w:color w:val="000000" w:themeColor="text1"/>
                <w:sz w:val="16"/>
              </w:rPr>
            </w:pPr>
          </w:p>
        </w:tc>
        <w:tc>
          <w:tcPr>
            <w:tcW w:w="10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3AE7FFCF" w14:textId="77777777" w:rsidR="00625704" w:rsidRDefault="00625704" w:rsidP="00C06A68">
            <w:pPr>
              <w:spacing w:line="276" w:lineRule="auto"/>
              <w:jc w:val="center"/>
              <w:rPr>
                <w:noProof/>
                <w:color w:val="000000" w:themeColor="text1"/>
                <w:sz w:val="16"/>
              </w:rPr>
            </w:pPr>
          </w:p>
        </w:tc>
        <w:tc>
          <w:tcPr>
            <w:tcW w:w="11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hideMark/>
          </w:tcPr>
          <w:p w14:paraId="714D76F2" w14:textId="77777777" w:rsidR="00625704" w:rsidRPr="004A4367" w:rsidRDefault="00DB6DC3" w:rsidP="00C06A68">
            <w:pPr>
              <w:spacing w:line="276" w:lineRule="auto"/>
              <w:jc w:val="center"/>
              <w:rPr>
                <w:noProof/>
                <w:color w:val="000000" w:themeColor="text1"/>
                <w:sz w:val="16"/>
                <w:szCs w:val="24"/>
              </w:rPr>
            </w:pPr>
            <w:r>
              <w:rPr>
                <w:noProof/>
                <w:color w:val="000000" w:themeColor="text1"/>
                <w:sz w:val="16"/>
                <w:szCs w:val="24"/>
              </w:rPr>
              <w:t>7.52</w:t>
            </w:r>
            <w:r w:rsidR="00976CA3">
              <w:rPr>
                <w:noProof/>
                <w:color w:val="000000" w:themeColor="text1"/>
                <w:sz w:val="16"/>
                <w:szCs w:val="24"/>
              </w:rPr>
              <w:t>2</w:t>
            </w:r>
          </w:p>
        </w:tc>
        <w:tc>
          <w:tcPr>
            <w:tcW w:w="10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hideMark/>
          </w:tcPr>
          <w:p w14:paraId="43D91E72" w14:textId="77777777" w:rsidR="00625704" w:rsidRPr="004A4367" w:rsidRDefault="00DB6DC3" w:rsidP="00C06A68">
            <w:pPr>
              <w:spacing w:line="276" w:lineRule="auto"/>
              <w:ind w:right="-215"/>
              <w:jc w:val="center"/>
              <w:rPr>
                <w:noProof/>
                <w:color w:val="000000" w:themeColor="text1"/>
                <w:sz w:val="16"/>
                <w:szCs w:val="24"/>
              </w:rPr>
            </w:pPr>
            <w:r>
              <w:rPr>
                <w:noProof/>
                <w:color w:val="000000" w:themeColor="text1"/>
                <w:sz w:val="16"/>
                <w:szCs w:val="24"/>
              </w:rPr>
              <w:t>623.770</w:t>
            </w:r>
          </w:p>
        </w:tc>
        <w:tc>
          <w:tcPr>
            <w:tcW w:w="8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hideMark/>
          </w:tcPr>
          <w:p w14:paraId="7B71D10E" w14:textId="77777777" w:rsidR="00625704" w:rsidRPr="004A4367" w:rsidRDefault="00DB6DC3" w:rsidP="00C06A68">
            <w:pPr>
              <w:spacing w:line="276" w:lineRule="auto"/>
              <w:jc w:val="center"/>
              <w:rPr>
                <w:noProof/>
                <w:color w:val="000000" w:themeColor="text1"/>
                <w:sz w:val="16"/>
                <w:szCs w:val="24"/>
              </w:rPr>
            </w:pPr>
            <w:r>
              <w:rPr>
                <w:noProof/>
                <w:color w:val="000000" w:themeColor="text1"/>
                <w:sz w:val="16"/>
                <w:szCs w:val="24"/>
              </w:rPr>
              <w:t>880.491</w:t>
            </w:r>
          </w:p>
        </w:tc>
        <w:tc>
          <w:tcPr>
            <w:tcW w:w="7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586DF787" w14:textId="77777777" w:rsidR="00625704" w:rsidRDefault="00625704" w:rsidP="00C06A68">
            <w:pPr>
              <w:spacing w:line="276" w:lineRule="auto"/>
              <w:jc w:val="center"/>
              <w:rPr>
                <w:noProof/>
                <w:color w:val="000000" w:themeColor="text1"/>
                <w:sz w:val="16"/>
              </w:rPr>
            </w:pPr>
          </w:p>
        </w:tc>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hideMark/>
          </w:tcPr>
          <w:p w14:paraId="0DBDD02F" w14:textId="77777777" w:rsidR="00625704" w:rsidRDefault="00DB6DC3" w:rsidP="00C06A68">
            <w:pPr>
              <w:spacing w:line="276" w:lineRule="auto"/>
              <w:jc w:val="center"/>
              <w:rPr>
                <w:b/>
                <w:noProof/>
                <w:color w:val="000000" w:themeColor="text1"/>
                <w:sz w:val="16"/>
                <w:szCs w:val="24"/>
              </w:rPr>
            </w:pPr>
            <w:r>
              <w:rPr>
                <w:b/>
                <w:noProof/>
                <w:color w:val="000000" w:themeColor="text1"/>
                <w:sz w:val="16"/>
                <w:szCs w:val="24"/>
              </w:rPr>
              <w:t>1.511.78</w:t>
            </w:r>
            <w:r w:rsidR="00976CA3">
              <w:rPr>
                <w:b/>
                <w:noProof/>
                <w:color w:val="000000" w:themeColor="text1"/>
                <w:sz w:val="16"/>
                <w:szCs w:val="24"/>
              </w:rPr>
              <w:t>3</w:t>
            </w:r>
          </w:p>
        </w:tc>
      </w:tr>
      <w:tr w:rsidR="00625704" w14:paraId="776C07B3" w14:textId="77777777" w:rsidTr="00C06A68">
        <w:trPr>
          <w:trHeight w:val="310"/>
          <w:jc w:val="center"/>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ED7E7"/>
            <w:vAlign w:val="center"/>
            <w:hideMark/>
          </w:tcPr>
          <w:p w14:paraId="7F0E46E1" w14:textId="77777777" w:rsidR="00625704" w:rsidRDefault="00625704" w:rsidP="00C06A68">
            <w:pPr>
              <w:spacing w:before="0" w:after="0" w:line="276" w:lineRule="auto"/>
              <w:jc w:val="left"/>
              <w:rPr>
                <w:rFonts w:eastAsia="Times New Roman"/>
                <w:noProof/>
                <w:color w:val="000000" w:themeColor="text1"/>
                <w:sz w:val="18"/>
                <w:szCs w:val="24"/>
                <w:u w:color="000000"/>
                <w:lang w:eastAsia="en-GB"/>
              </w:rPr>
            </w:pPr>
          </w:p>
        </w:tc>
        <w:tc>
          <w:tcPr>
            <w:tcW w:w="152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hideMark/>
          </w:tcPr>
          <w:p w14:paraId="61C21BD3" w14:textId="77777777" w:rsidR="00625704" w:rsidRDefault="00625704" w:rsidP="00C06A68">
            <w:pPr>
              <w:pStyle w:val="Body"/>
              <w:spacing w:line="276" w:lineRule="auto"/>
              <w:jc w:val="center"/>
              <w:rPr>
                <w:noProof/>
                <w:color w:val="000000" w:themeColor="text1"/>
                <w:sz w:val="18"/>
              </w:rPr>
            </w:pPr>
            <w:r>
              <w:rPr>
                <w:rStyle w:val="ilfuvd"/>
                <w:rFonts w:eastAsiaTheme="majorEastAsia"/>
                <w:noProof/>
                <w:color w:val="000000" w:themeColor="text1"/>
              </w:rPr>
              <w:t>Payments</w:t>
            </w:r>
          </w:p>
        </w:tc>
        <w:tc>
          <w:tcPr>
            <w:tcW w:w="7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6EB251AE" w14:textId="77777777" w:rsidR="00625704" w:rsidRDefault="00625704" w:rsidP="00C06A68">
            <w:pPr>
              <w:spacing w:line="276" w:lineRule="auto"/>
              <w:jc w:val="center"/>
              <w:rPr>
                <w:noProof/>
                <w:color w:val="000000" w:themeColor="text1"/>
                <w:sz w:val="16"/>
              </w:rPr>
            </w:pPr>
          </w:p>
        </w:tc>
        <w:tc>
          <w:tcPr>
            <w:tcW w:w="9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49F46CDB" w14:textId="77777777" w:rsidR="00625704" w:rsidRDefault="00625704" w:rsidP="00C06A68">
            <w:pPr>
              <w:spacing w:line="276" w:lineRule="auto"/>
              <w:jc w:val="center"/>
              <w:rPr>
                <w:noProof/>
                <w:color w:val="000000" w:themeColor="text1"/>
                <w:sz w:val="16"/>
              </w:rPr>
            </w:pPr>
          </w:p>
        </w:tc>
        <w:tc>
          <w:tcPr>
            <w:tcW w:w="8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4100F615" w14:textId="77777777" w:rsidR="00625704" w:rsidRDefault="00625704" w:rsidP="00C06A68">
            <w:pPr>
              <w:spacing w:line="276" w:lineRule="auto"/>
              <w:jc w:val="center"/>
              <w:rPr>
                <w:noProof/>
                <w:color w:val="000000" w:themeColor="text1"/>
                <w:sz w:val="16"/>
              </w:rPr>
            </w:pPr>
          </w:p>
        </w:tc>
        <w:tc>
          <w:tcPr>
            <w:tcW w:w="10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5CED6C61" w14:textId="77777777" w:rsidR="00625704" w:rsidRDefault="00625704" w:rsidP="00C06A68">
            <w:pPr>
              <w:spacing w:line="276" w:lineRule="auto"/>
              <w:jc w:val="center"/>
              <w:rPr>
                <w:noProof/>
                <w:color w:val="000000" w:themeColor="text1"/>
                <w:sz w:val="16"/>
              </w:rPr>
            </w:pPr>
          </w:p>
        </w:tc>
        <w:tc>
          <w:tcPr>
            <w:tcW w:w="11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hideMark/>
          </w:tcPr>
          <w:p w14:paraId="1B639C88" w14:textId="77777777" w:rsidR="00625704" w:rsidRPr="004A4367" w:rsidRDefault="00625704" w:rsidP="00C06A68">
            <w:pPr>
              <w:spacing w:line="276" w:lineRule="auto"/>
              <w:jc w:val="center"/>
              <w:rPr>
                <w:noProof/>
                <w:color w:val="000000" w:themeColor="text1"/>
                <w:sz w:val="16"/>
                <w:szCs w:val="24"/>
              </w:rPr>
            </w:pPr>
            <w:r w:rsidRPr="004A4367">
              <w:rPr>
                <w:noProof/>
                <w:color w:val="000000" w:themeColor="text1"/>
                <w:sz w:val="16"/>
                <w:szCs w:val="24"/>
              </w:rPr>
              <w:t>7.52</w:t>
            </w:r>
            <w:r w:rsidR="00976CA3">
              <w:rPr>
                <w:noProof/>
                <w:color w:val="000000" w:themeColor="text1"/>
                <w:sz w:val="16"/>
                <w:szCs w:val="24"/>
              </w:rPr>
              <w:t>2</w:t>
            </w:r>
          </w:p>
        </w:tc>
        <w:tc>
          <w:tcPr>
            <w:tcW w:w="10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hideMark/>
          </w:tcPr>
          <w:p w14:paraId="5778D855" w14:textId="77777777" w:rsidR="00625704" w:rsidRPr="004A4367" w:rsidRDefault="00DB6DC3" w:rsidP="00C06A68">
            <w:pPr>
              <w:spacing w:line="276" w:lineRule="auto"/>
              <w:ind w:right="-215"/>
              <w:jc w:val="center"/>
              <w:rPr>
                <w:noProof/>
                <w:color w:val="000000" w:themeColor="text1"/>
                <w:sz w:val="16"/>
                <w:szCs w:val="24"/>
              </w:rPr>
            </w:pPr>
            <w:r>
              <w:rPr>
                <w:noProof/>
                <w:color w:val="000000" w:themeColor="text1"/>
                <w:sz w:val="16"/>
                <w:szCs w:val="24"/>
              </w:rPr>
              <w:t>3</w:t>
            </w:r>
            <w:r w:rsidR="00625704" w:rsidRPr="004A4367">
              <w:rPr>
                <w:noProof/>
                <w:color w:val="000000" w:themeColor="text1"/>
                <w:sz w:val="16"/>
                <w:szCs w:val="24"/>
              </w:rPr>
              <w:t>18.52</w:t>
            </w:r>
            <w:r w:rsidR="00976CA3">
              <w:rPr>
                <w:noProof/>
                <w:color w:val="000000" w:themeColor="text1"/>
                <w:sz w:val="16"/>
                <w:szCs w:val="24"/>
              </w:rPr>
              <w:t>2</w:t>
            </w:r>
          </w:p>
        </w:tc>
        <w:tc>
          <w:tcPr>
            <w:tcW w:w="8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hideMark/>
          </w:tcPr>
          <w:p w14:paraId="5210274B" w14:textId="77777777" w:rsidR="00625704" w:rsidRPr="004A4367" w:rsidRDefault="00DB6DC3" w:rsidP="00C06A68">
            <w:pPr>
              <w:spacing w:line="276" w:lineRule="auto"/>
              <w:jc w:val="center"/>
              <w:rPr>
                <w:noProof/>
                <w:color w:val="000000" w:themeColor="text1"/>
                <w:sz w:val="16"/>
                <w:szCs w:val="24"/>
              </w:rPr>
            </w:pPr>
            <w:r>
              <w:rPr>
                <w:noProof/>
                <w:color w:val="000000" w:themeColor="text1"/>
                <w:sz w:val="16"/>
                <w:szCs w:val="24"/>
              </w:rPr>
              <w:t>448.39</w:t>
            </w:r>
            <w:r w:rsidR="00976CA3">
              <w:rPr>
                <w:noProof/>
                <w:color w:val="000000" w:themeColor="text1"/>
                <w:sz w:val="16"/>
                <w:szCs w:val="24"/>
              </w:rPr>
              <w:t>5</w:t>
            </w:r>
          </w:p>
        </w:tc>
        <w:tc>
          <w:tcPr>
            <w:tcW w:w="7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hideMark/>
          </w:tcPr>
          <w:p w14:paraId="50C05019" w14:textId="77777777" w:rsidR="00625704" w:rsidRPr="004A4367" w:rsidRDefault="00DB6DC3" w:rsidP="00C06A68">
            <w:pPr>
              <w:spacing w:line="276" w:lineRule="auto"/>
              <w:jc w:val="center"/>
              <w:rPr>
                <w:noProof/>
                <w:color w:val="000000" w:themeColor="text1"/>
                <w:sz w:val="16"/>
                <w:szCs w:val="24"/>
              </w:rPr>
            </w:pPr>
            <w:r>
              <w:rPr>
                <w:noProof/>
                <w:color w:val="000000" w:themeColor="text1"/>
                <w:sz w:val="16"/>
                <w:szCs w:val="24"/>
              </w:rPr>
              <w:t>737.34</w:t>
            </w:r>
            <w:r w:rsidR="00976CA3">
              <w:rPr>
                <w:noProof/>
                <w:color w:val="000000" w:themeColor="text1"/>
                <w:sz w:val="16"/>
                <w:szCs w:val="24"/>
              </w:rPr>
              <w:t>4</w:t>
            </w:r>
          </w:p>
        </w:tc>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hideMark/>
          </w:tcPr>
          <w:p w14:paraId="7CCD9F7A" w14:textId="77777777" w:rsidR="00625704" w:rsidRDefault="00DB6DC3" w:rsidP="00C06A68">
            <w:pPr>
              <w:spacing w:line="276" w:lineRule="auto"/>
              <w:jc w:val="center"/>
              <w:rPr>
                <w:b/>
                <w:noProof/>
                <w:color w:val="000000" w:themeColor="text1"/>
                <w:sz w:val="16"/>
                <w:szCs w:val="24"/>
              </w:rPr>
            </w:pPr>
            <w:r>
              <w:rPr>
                <w:b/>
                <w:noProof/>
                <w:color w:val="000000" w:themeColor="text1"/>
                <w:sz w:val="16"/>
                <w:szCs w:val="24"/>
              </w:rPr>
              <w:t>1.511.78</w:t>
            </w:r>
            <w:r w:rsidR="00976CA3">
              <w:rPr>
                <w:b/>
                <w:noProof/>
                <w:color w:val="000000" w:themeColor="text1"/>
                <w:sz w:val="16"/>
                <w:szCs w:val="24"/>
              </w:rPr>
              <w:t>3</w:t>
            </w:r>
          </w:p>
        </w:tc>
      </w:tr>
    </w:tbl>
    <w:p w14:paraId="06704BF3" w14:textId="77777777" w:rsidR="00625704" w:rsidRDefault="00625704" w:rsidP="00625704">
      <w:pPr>
        <w:jc w:val="right"/>
        <w:rPr>
          <w:noProof/>
          <w:sz w:val="20"/>
          <w:lang w:val="en-IE"/>
        </w:rPr>
      </w:pPr>
    </w:p>
    <w:p w14:paraId="1D1E6EBD" w14:textId="77777777" w:rsidR="00625704" w:rsidRDefault="00625704" w:rsidP="00625704">
      <w:pPr>
        <w:jc w:val="right"/>
        <w:rPr>
          <w:noProof/>
          <w:sz w:val="20"/>
          <w:lang w:val="en-IE"/>
        </w:rPr>
      </w:pPr>
    </w:p>
    <w:p w14:paraId="338B0ABF" w14:textId="77777777" w:rsidR="00625704" w:rsidRDefault="00625704" w:rsidP="00625704">
      <w:pPr>
        <w:jc w:val="right"/>
        <w:rPr>
          <w:noProof/>
          <w:sz w:val="20"/>
          <w:lang w:val="en-IE"/>
        </w:rPr>
      </w:pPr>
    </w:p>
    <w:p w14:paraId="7828232A" w14:textId="77777777" w:rsidR="00625704" w:rsidRDefault="00625704" w:rsidP="00625704">
      <w:pPr>
        <w:jc w:val="right"/>
        <w:rPr>
          <w:noProof/>
          <w:sz w:val="20"/>
          <w:lang w:val="en-IE"/>
        </w:rPr>
      </w:pPr>
    </w:p>
    <w:p w14:paraId="36DA0409" w14:textId="77777777" w:rsidR="00625704" w:rsidRDefault="00625704" w:rsidP="00625704">
      <w:pPr>
        <w:rPr>
          <w:noProof/>
        </w:rPr>
        <w:sectPr w:rsidR="00625704" w:rsidSect="00E82958">
          <w:headerReference w:type="default" r:id="rId20"/>
          <w:footerReference w:type="default" r:id="rId21"/>
          <w:pgSz w:w="16840" w:h="11907" w:orient="landscape" w:code="9"/>
          <w:pgMar w:top="1134" w:right="1418" w:bottom="567" w:left="1418" w:header="709" w:footer="709" w:gutter="0"/>
          <w:cols w:space="708"/>
          <w:docGrid w:linePitch="360"/>
        </w:sectPr>
      </w:pPr>
    </w:p>
    <w:p w14:paraId="64D997D2" w14:textId="77777777" w:rsidR="00625704" w:rsidRPr="00910A6B" w:rsidRDefault="00625704" w:rsidP="00625704">
      <w:pPr>
        <w:pStyle w:val="ManualHeading3"/>
        <w:rPr>
          <w:bCs/>
          <w:noProof/>
          <w:szCs w:val="24"/>
        </w:rPr>
      </w:pPr>
      <w:bookmarkStart w:id="69" w:name="_Toc514938055"/>
      <w:bookmarkStart w:id="70" w:name="_Toc520485054"/>
      <w:r w:rsidRPr="0021790A">
        <w:rPr>
          <w:noProof/>
        </w:rPr>
        <w:t>3.2.3.</w:t>
      </w:r>
      <w:r w:rsidRPr="0021790A">
        <w:rPr>
          <w:noProof/>
        </w:rPr>
        <w:tab/>
      </w:r>
      <w:r>
        <w:rPr>
          <w:noProof/>
        </w:rPr>
        <w:t>Summary of estimated impact on administrative appropriations</w:t>
      </w:r>
      <w:bookmarkEnd w:id="69"/>
      <w:bookmarkEnd w:id="70"/>
      <w:r>
        <w:rPr>
          <w:noProof/>
        </w:rPr>
        <w:t xml:space="preserve"> </w:t>
      </w:r>
    </w:p>
    <w:p w14:paraId="0AA2493B" w14:textId="77777777" w:rsidR="00625704" w:rsidRDefault="00625704" w:rsidP="00625704">
      <w:pPr>
        <w:pStyle w:val="ListDash1"/>
        <w:rPr>
          <w:noProof/>
        </w:rPr>
      </w:pPr>
      <w:r>
        <w:rPr>
          <w:rFonts w:ascii="Wingdings" w:eastAsia="Wingdings" w:hAnsi="Wingdings" w:cs="Wingdings"/>
          <w:noProof/>
        </w:rPr>
        <w:t></w:t>
      </w:r>
      <w:r>
        <w:rPr>
          <w:noProof/>
        </w:rPr>
        <w:tab/>
        <w:t xml:space="preserve">The proposal/initiative does not require the use of appropriations of an administrative nature </w:t>
      </w:r>
    </w:p>
    <w:p w14:paraId="0EE00C2B" w14:textId="77777777" w:rsidR="00625704" w:rsidRDefault="00625704" w:rsidP="00625704">
      <w:pPr>
        <w:pStyle w:val="ListDash1"/>
        <w:rPr>
          <w:noProof/>
        </w:rPr>
      </w:pPr>
      <w:r>
        <w:rPr>
          <w:rFonts w:ascii="Wingdings" w:eastAsia="Wingdings" w:hAnsi="Wingdings" w:cs="Wingdings"/>
          <w:noProof/>
          <w:color w:val="000000" w:themeColor="text1"/>
        </w:rPr>
        <w:sym w:font="Wingdings" w:char="F0FE"/>
      </w:r>
      <w:r>
        <w:rPr>
          <w:noProof/>
        </w:rPr>
        <w:tab/>
        <w:t>The proposal/initiative requires the use of appropriations of an administrative nature, as explained below:</w:t>
      </w:r>
    </w:p>
    <w:p w14:paraId="443F75C8" w14:textId="77777777" w:rsidR="00625704" w:rsidRDefault="00625704" w:rsidP="00625704">
      <w:pPr>
        <w:jc w:val="right"/>
        <w:rPr>
          <w:noProof/>
          <w:sz w:val="20"/>
          <w:lang w:val="en-IE"/>
        </w:rPr>
      </w:pPr>
    </w:p>
    <w:p w14:paraId="51966148" w14:textId="77777777" w:rsidR="00625704" w:rsidRDefault="00625704" w:rsidP="00625704">
      <w:pPr>
        <w:jc w:val="right"/>
        <w:rPr>
          <w:noProof/>
          <w:sz w:val="20"/>
          <w:lang w:val="en-IE"/>
        </w:rPr>
      </w:pPr>
      <w:r w:rsidRPr="003A769F">
        <w:rPr>
          <w:noProof/>
          <w:sz w:val="20"/>
          <w:lang w:val="en-IE"/>
        </w:rPr>
        <w:t>EUR million (to three decimal places)</w:t>
      </w:r>
    </w:p>
    <w:p w14:paraId="111EE904" w14:textId="77777777" w:rsidR="00625704" w:rsidRDefault="00625704" w:rsidP="00625704">
      <w:pPr>
        <w:jc w:val="right"/>
        <w:rPr>
          <w:noProof/>
          <w:sz w:val="20"/>
          <w:lang w:val="en-IE"/>
        </w:rPr>
      </w:pPr>
    </w:p>
    <w:tbl>
      <w:tblPr>
        <w:tblW w:w="9765" w:type="dxa"/>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shd w:val="clear" w:color="auto" w:fill="CED7E7"/>
        <w:tblLayout w:type="fixed"/>
        <w:tblLook w:val="04A0" w:firstRow="1" w:lastRow="0" w:firstColumn="1" w:lastColumn="0" w:noHBand="0" w:noVBand="1"/>
      </w:tblPr>
      <w:tblGrid>
        <w:gridCol w:w="1821"/>
        <w:gridCol w:w="993"/>
        <w:gridCol w:w="993"/>
        <w:gridCol w:w="993"/>
        <w:gridCol w:w="993"/>
        <w:gridCol w:w="993"/>
        <w:gridCol w:w="993"/>
        <w:gridCol w:w="993"/>
        <w:gridCol w:w="993"/>
      </w:tblGrid>
      <w:tr w:rsidR="00625704" w14:paraId="63071DD8" w14:textId="77777777" w:rsidTr="00C06A68">
        <w:trPr>
          <w:trHeight w:val="404"/>
        </w:trPr>
        <w:tc>
          <w:tcPr>
            <w:tcW w:w="1821"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80" w:type="dxa"/>
              <w:left w:w="80" w:type="dxa"/>
              <w:bottom w:w="80" w:type="dxa"/>
              <w:right w:w="80" w:type="dxa"/>
            </w:tcMar>
            <w:vAlign w:val="center"/>
            <w:hideMark/>
          </w:tcPr>
          <w:p w14:paraId="69DDFA78" w14:textId="77777777" w:rsidR="00625704" w:rsidRDefault="00625704" w:rsidP="00C06A68">
            <w:pPr>
              <w:pStyle w:val="Body"/>
              <w:spacing w:before="60" w:after="60" w:line="200" w:lineRule="exact"/>
              <w:jc w:val="center"/>
              <w:rPr>
                <w:noProof/>
                <w:color w:val="000000" w:themeColor="text1"/>
              </w:rPr>
            </w:pPr>
            <w:r>
              <w:rPr>
                <w:rStyle w:val="ilfuvd"/>
                <w:rFonts w:eastAsiaTheme="majorEastAsia"/>
                <w:b/>
                <w:bCs/>
                <w:noProof/>
                <w:color w:val="000000" w:themeColor="text1"/>
                <w:sz w:val="16"/>
                <w:szCs w:val="16"/>
              </w:rPr>
              <w:t>Years</w:t>
            </w:r>
          </w:p>
        </w:tc>
        <w:tc>
          <w:tcPr>
            <w:tcW w:w="99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80" w:type="dxa"/>
              <w:left w:w="80" w:type="dxa"/>
              <w:bottom w:w="80" w:type="dxa"/>
              <w:right w:w="80" w:type="dxa"/>
            </w:tcMar>
            <w:vAlign w:val="center"/>
            <w:hideMark/>
          </w:tcPr>
          <w:p w14:paraId="03DEBA65" w14:textId="77777777" w:rsidR="00625704" w:rsidRDefault="00625704" w:rsidP="00C06A68">
            <w:pPr>
              <w:pStyle w:val="Body"/>
              <w:spacing w:before="60" w:after="60" w:line="200" w:lineRule="exact"/>
              <w:jc w:val="center"/>
              <w:rPr>
                <w:noProof/>
                <w:color w:val="000000" w:themeColor="text1"/>
              </w:rPr>
            </w:pPr>
            <w:r>
              <w:rPr>
                <w:rStyle w:val="ilfuvd"/>
                <w:rFonts w:eastAsiaTheme="majorEastAsia"/>
                <w:b/>
                <w:bCs/>
                <w:noProof/>
                <w:color w:val="000000" w:themeColor="text1"/>
                <w:sz w:val="20"/>
                <w:szCs w:val="20"/>
              </w:rPr>
              <w:t>2021</w:t>
            </w:r>
          </w:p>
        </w:tc>
        <w:tc>
          <w:tcPr>
            <w:tcW w:w="99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80" w:type="dxa"/>
              <w:left w:w="80" w:type="dxa"/>
              <w:bottom w:w="80" w:type="dxa"/>
              <w:right w:w="80" w:type="dxa"/>
            </w:tcMar>
            <w:vAlign w:val="center"/>
            <w:hideMark/>
          </w:tcPr>
          <w:p w14:paraId="12A15E48" w14:textId="77777777" w:rsidR="00625704" w:rsidRDefault="00625704" w:rsidP="00C06A68">
            <w:pPr>
              <w:pStyle w:val="Body"/>
              <w:spacing w:before="60" w:after="60" w:line="200" w:lineRule="exact"/>
              <w:jc w:val="center"/>
              <w:rPr>
                <w:noProof/>
                <w:color w:val="000000" w:themeColor="text1"/>
              </w:rPr>
            </w:pPr>
            <w:r>
              <w:rPr>
                <w:rStyle w:val="ilfuvd"/>
                <w:rFonts w:eastAsiaTheme="majorEastAsia"/>
                <w:b/>
                <w:bCs/>
                <w:noProof/>
                <w:color w:val="000000" w:themeColor="text1"/>
                <w:sz w:val="20"/>
                <w:szCs w:val="20"/>
              </w:rPr>
              <w:t>2022</w:t>
            </w:r>
          </w:p>
        </w:tc>
        <w:tc>
          <w:tcPr>
            <w:tcW w:w="99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80" w:type="dxa"/>
              <w:left w:w="80" w:type="dxa"/>
              <w:bottom w:w="80" w:type="dxa"/>
              <w:right w:w="80" w:type="dxa"/>
            </w:tcMar>
            <w:vAlign w:val="center"/>
            <w:hideMark/>
          </w:tcPr>
          <w:p w14:paraId="53AA9C5D" w14:textId="77777777" w:rsidR="00625704" w:rsidRDefault="00625704" w:rsidP="00C06A68">
            <w:pPr>
              <w:pStyle w:val="Body"/>
              <w:spacing w:before="60" w:after="60" w:line="200" w:lineRule="exact"/>
              <w:jc w:val="center"/>
              <w:rPr>
                <w:noProof/>
                <w:color w:val="000000" w:themeColor="text1"/>
              </w:rPr>
            </w:pPr>
            <w:r>
              <w:rPr>
                <w:rStyle w:val="ilfuvd"/>
                <w:rFonts w:eastAsiaTheme="majorEastAsia"/>
                <w:b/>
                <w:bCs/>
                <w:noProof/>
                <w:color w:val="000000" w:themeColor="text1"/>
                <w:sz w:val="20"/>
                <w:szCs w:val="20"/>
              </w:rPr>
              <w:t>2023</w:t>
            </w:r>
          </w:p>
        </w:tc>
        <w:tc>
          <w:tcPr>
            <w:tcW w:w="99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80" w:type="dxa"/>
              <w:left w:w="80" w:type="dxa"/>
              <w:bottom w:w="80" w:type="dxa"/>
              <w:right w:w="80" w:type="dxa"/>
            </w:tcMar>
            <w:vAlign w:val="center"/>
            <w:hideMark/>
          </w:tcPr>
          <w:p w14:paraId="533D7C11" w14:textId="77777777" w:rsidR="00625704" w:rsidRDefault="00625704" w:rsidP="00C06A68">
            <w:pPr>
              <w:pStyle w:val="Body"/>
              <w:spacing w:before="60" w:after="60" w:line="200" w:lineRule="exact"/>
              <w:jc w:val="center"/>
              <w:rPr>
                <w:noProof/>
                <w:color w:val="000000" w:themeColor="text1"/>
              </w:rPr>
            </w:pPr>
            <w:r>
              <w:rPr>
                <w:rStyle w:val="ilfuvd"/>
                <w:rFonts w:eastAsiaTheme="majorEastAsia"/>
                <w:b/>
                <w:bCs/>
                <w:noProof/>
                <w:color w:val="000000" w:themeColor="text1"/>
                <w:sz w:val="20"/>
                <w:szCs w:val="20"/>
              </w:rPr>
              <w:t>2024</w:t>
            </w:r>
          </w:p>
        </w:tc>
        <w:tc>
          <w:tcPr>
            <w:tcW w:w="99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80" w:type="dxa"/>
              <w:left w:w="80" w:type="dxa"/>
              <w:bottom w:w="80" w:type="dxa"/>
              <w:right w:w="80" w:type="dxa"/>
            </w:tcMar>
            <w:vAlign w:val="center"/>
            <w:hideMark/>
          </w:tcPr>
          <w:p w14:paraId="78CD81AC" w14:textId="77777777" w:rsidR="00625704" w:rsidRDefault="00625704" w:rsidP="00C06A68">
            <w:pPr>
              <w:pStyle w:val="Body"/>
              <w:spacing w:line="200" w:lineRule="exact"/>
              <w:jc w:val="center"/>
              <w:rPr>
                <w:noProof/>
                <w:color w:val="000000" w:themeColor="text1"/>
              </w:rPr>
            </w:pPr>
            <w:r>
              <w:rPr>
                <w:rStyle w:val="ilfuvd"/>
                <w:rFonts w:eastAsiaTheme="majorEastAsia"/>
                <w:b/>
                <w:bCs/>
                <w:noProof/>
                <w:color w:val="000000" w:themeColor="text1"/>
                <w:sz w:val="18"/>
                <w:szCs w:val="18"/>
              </w:rPr>
              <w:t>2025</w:t>
            </w:r>
          </w:p>
        </w:tc>
        <w:tc>
          <w:tcPr>
            <w:tcW w:w="99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80" w:type="dxa"/>
              <w:left w:w="80" w:type="dxa"/>
              <w:bottom w:w="80" w:type="dxa"/>
              <w:right w:w="80" w:type="dxa"/>
            </w:tcMar>
            <w:vAlign w:val="center"/>
            <w:hideMark/>
          </w:tcPr>
          <w:p w14:paraId="7EF49A18" w14:textId="77777777" w:rsidR="00625704" w:rsidRDefault="00625704" w:rsidP="00C06A68">
            <w:pPr>
              <w:pStyle w:val="Body"/>
              <w:spacing w:line="200" w:lineRule="exact"/>
              <w:jc w:val="center"/>
              <w:rPr>
                <w:noProof/>
                <w:color w:val="000000" w:themeColor="text1"/>
              </w:rPr>
            </w:pPr>
            <w:r>
              <w:rPr>
                <w:rStyle w:val="ilfuvd"/>
                <w:rFonts w:eastAsiaTheme="majorEastAsia"/>
                <w:b/>
                <w:bCs/>
                <w:noProof/>
                <w:color w:val="000000" w:themeColor="text1"/>
                <w:sz w:val="18"/>
                <w:szCs w:val="18"/>
              </w:rPr>
              <w:t>2026</w:t>
            </w:r>
          </w:p>
        </w:tc>
        <w:tc>
          <w:tcPr>
            <w:tcW w:w="99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80" w:type="dxa"/>
              <w:left w:w="80" w:type="dxa"/>
              <w:bottom w:w="80" w:type="dxa"/>
              <w:right w:w="80" w:type="dxa"/>
            </w:tcMar>
            <w:vAlign w:val="center"/>
            <w:hideMark/>
          </w:tcPr>
          <w:p w14:paraId="08C8793E" w14:textId="77777777" w:rsidR="00625704" w:rsidRDefault="00625704" w:rsidP="00C06A68">
            <w:pPr>
              <w:pStyle w:val="Body"/>
              <w:spacing w:line="200" w:lineRule="exact"/>
              <w:jc w:val="center"/>
              <w:rPr>
                <w:noProof/>
                <w:color w:val="000000" w:themeColor="text1"/>
              </w:rPr>
            </w:pPr>
            <w:r>
              <w:rPr>
                <w:rStyle w:val="ilfuvd"/>
                <w:rFonts w:eastAsiaTheme="majorEastAsia"/>
                <w:b/>
                <w:bCs/>
                <w:noProof/>
                <w:color w:val="000000" w:themeColor="text1"/>
                <w:sz w:val="18"/>
                <w:szCs w:val="18"/>
              </w:rPr>
              <w:t>2027</w:t>
            </w:r>
          </w:p>
        </w:tc>
        <w:tc>
          <w:tcPr>
            <w:tcW w:w="99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80" w:type="dxa"/>
              <w:left w:w="80" w:type="dxa"/>
              <w:bottom w:w="80" w:type="dxa"/>
              <w:right w:w="80" w:type="dxa"/>
            </w:tcMar>
            <w:vAlign w:val="center"/>
            <w:hideMark/>
          </w:tcPr>
          <w:p w14:paraId="0DDFF001" w14:textId="77777777" w:rsidR="00625704" w:rsidRDefault="00625704" w:rsidP="00C06A68">
            <w:pPr>
              <w:pStyle w:val="Body"/>
              <w:spacing w:before="60" w:after="60" w:line="200" w:lineRule="exact"/>
              <w:jc w:val="center"/>
              <w:rPr>
                <w:noProof/>
                <w:color w:val="000000" w:themeColor="text1"/>
              </w:rPr>
            </w:pPr>
            <w:r>
              <w:rPr>
                <w:rStyle w:val="ilfuvd"/>
                <w:rFonts w:eastAsiaTheme="majorEastAsia"/>
                <w:noProof/>
                <w:color w:val="000000" w:themeColor="text1"/>
              </w:rPr>
              <w:t>TOTAL</w:t>
            </w:r>
          </w:p>
        </w:tc>
      </w:tr>
    </w:tbl>
    <w:p w14:paraId="2310CC40" w14:textId="77777777" w:rsidR="00625704" w:rsidRDefault="00625704" w:rsidP="00625704">
      <w:pPr>
        <w:spacing w:line="200" w:lineRule="exact"/>
        <w:rPr>
          <w:noProof/>
          <w:color w:val="000000" w:themeColor="text1"/>
          <w:sz w:val="16"/>
        </w:rPr>
      </w:pPr>
    </w:p>
    <w:tbl>
      <w:tblPr>
        <w:tblW w:w="9825" w:type="dxa"/>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shd w:val="clear" w:color="auto" w:fill="CED7E7"/>
        <w:tblLayout w:type="fixed"/>
        <w:tblLook w:val="04A0" w:firstRow="1" w:lastRow="0" w:firstColumn="1" w:lastColumn="0" w:noHBand="0" w:noVBand="1"/>
      </w:tblPr>
      <w:tblGrid>
        <w:gridCol w:w="1833"/>
        <w:gridCol w:w="999"/>
        <w:gridCol w:w="999"/>
        <w:gridCol w:w="999"/>
        <w:gridCol w:w="999"/>
        <w:gridCol w:w="999"/>
        <w:gridCol w:w="999"/>
        <w:gridCol w:w="999"/>
        <w:gridCol w:w="999"/>
      </w:tblGrid>
      <w:tr w:rsidR="00625704" w:rsidRPr="004A4367" w14:paraId="41315423" w14:textId="77777777" w:rsidTr="00C06A68">
        <w:trPr>
          <w:trHeight w:val="568"/>
        </w:trPr>
        <w:tc>
          <w:tcPr>
            <w:tcW w:w="183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CCCCCC"/>
            <w:tcMar>
              <w:top w:w="80" w:type="dxa"/>
              <w:left w:w="80" w:type="dxa"/>
              <w:bottom w:w="80" w:type="dxa"/>
              <w:right w:w="80" w:type="dxa"/>
            </w:tcMar>
            <w:vAlign w:val="center"/>
            <w:hideMark/>
          </w:tcPr>
          <w:p w14:paraId="5678727D" w14:textId="77777777" w:rsidR="00625704" w:rsidRPr="004A4367" w:rsidRDefault="00625704" w:rsidP="00C06A68">
            <w:pPr>
              <w:pStyle w:val="Body"/>
              <w:spacing w:before="60" w:after="60" w:line="200" w:lineRule="exact"/>
              <w:jc w:val="center"/>
              <w:rPr>
                <w:noProof/>
                <w:color w:val="000000" w:themeColor="text1"/>
                <w:sz w:val="18"/>
                <w:szCs w:val="18"/>
              </w:rPr>
            </w:pPr>
            <w:r w:rsidRPr="004A4367">
              <w:rPr>
                <w:rStyle w:val="ilfuvd"/>
                <w:rFonts w:eastAsiaTheme="majorEastAsia"/>
                <w:noProof/>
                <w:color w:val="000000" w:themeColor="text1"/>
                <w:sz w:val="18"/>
                <w:szCs w:val="18"/>
              </w:rPr>
              <w:t>HEADING 7</w:t>
            </w:r>
            <w:r w:rsidRPr="004A4367">
              <w:rPr>
                <w:rFonts w:eastAsia="Arial Unicode MS"/>
                <w:noProof/>
                <w:color w:val="000000" w:themeColor="text1"/>
                <w:sz w:val="18"/>
                <w:szCs w:val="18"/>
              </w:rPr>
              <w:br/>
            </w:r>
            <w:r w:rsidRPr="004A4367">
              <w:rPr>
                <w:rStyle w:val="ilfuvd"/>
                <w:rFonts w:eastAsiaTheme="majorEastAsia"/>
                <w:noProof/>
                <w:color w:val="000000" w:themeColor="text1"/>
                <w:sz w:val="18"/>
                <w:szCs w:val="18"/>
              </w:rPr>
              <w:t>of the multiannual financial framework</w:t>
            </w:r>
          </w:p>
        </w:tc>
        <w:tc>
          <w:tcPr>
            <w:tcW w:w="99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80" w:type="dxa"/>
              <w:left w:w="80" w:type="dxa"/>
              <w:bottom w:w="80" w:type="dxa"/>
              <w:right w:w="80" w:type="dxa"/>
            </w:tcMar>
            <w:vAlign w:val="center"/>
          </w:tcPr>
          <w:p w14:paraId="65CD0AF0" w14:textId="77777777" w:rsidR="00625704" w:rsidRPr="004A4367" w:rsidRDefault="00625704" w:rsidP="00C06A68">
            <w:pPr>
              <w:spacing w:line="276" w:lineRule="auto"/>
              <w:rPr>
                <w:noProof/>
                <w:color w:val="000000" w:themeColor="text1"/>
                <w:sz w:val="18"/>
                <w:szCs w:val="18"/>
              </w:rPr>
            </w:pPr>
          </w:p>
        </w:tc>
        <w:tc>
          <w:tcPr>
            <w:tcW w:w="99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80" w:type="dxa"/>
              <w:left w:w="80" w:type="dxa"/>
              <w:bottom w:w="80" w:type="dxa"/>
              <w:right w:w="80" w:type="dxa"/>
            </w:tcMar>
            <w:vAlign w:val="center"/>
          </w:tcPr>
          <w:p w14:paraId="062977C0" w14:textId="77777777" w:rsidR="00625704" w:rsidRPr="004A4367" w:rsidRDefault="00625704" w:rsidP="00C06A68">
            <w:pPr>
              <w:spacing w:line="276" w:lineRule="auto"/>
              <w:rPr>
                <w:noProof/>
                <w:color w:val="000000" w:themeColor="text1"/>
                <w:sz w:val="18"/>
                <w:szCs w:val="18"/>
              </w:rPr>
            </w:pPr>
          </w:p>
        </w:tc>
        <w:tc>
          <w:tcPr>
            <w:tcW w:w="99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80" w:type="dxa"/>
              <w:left w:w="80" w:type="dxa"/>
              <w:bottom w:w="80" w:type="dxa"/>
              <w:right w:w="80" w:type="dxa"/>
            </w:tcMar>
            <w:vAlign w:val="center"/>
          </w:tcPr>
          <w:p w14:paraId="7FE3BD10" w14:textId="77777777" w:rsidR="00625704" w:rsidRPr="004A4367" w:rsidRDefault="00625704" w:rsidP="00C06A68">
            <w:pPr>
              <w:spacing w:line="276" w:lineRule="auto"/>
              <w:rPr>
                <w:noProof/>
                <w:color w:val="000000" w:themeColor="text1"/>
                <w:sz w:val="18"/>
                <w:szCs w:val="18"/>
              </w:rPr>
            </w:pPr>
          </w:p>
        </w:tc>
        <w:tc>
          <w:tcPr>
            <w:tcW w:w="99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80" w:type="dxa"/>
              <w:left w:w="80" w:type="dxa"/>
              <w:bottom w:w="80" w:type="dxa"/>
              <w:right w:w="80" w:type="dxa"/>
            </w:tcMar>
            <w:vAlign w:val="center"/>
          </w:tcPr>
          <w:p w14:paraId="5ED9177B" w14:textId="77777777" w:rsidR="00625704" w:rsidRPr="004A4367" w:rsidRDefault="00625704" w:rsidP="00C06A68">
            <w:pPr>
              <w:spacing w:line="276" w:lineRule="auto"/>
              <w:rPr>
                <w:noProof/>
                <w:color w:val="000000" w:themeColor="text1"/>
                <w:sz w:val="18"/>
                <w:szCs w:val="18"/>
              </w:rPr>
            </w:pPr>
          </w:p>
        </w:tc>
        <w:tc>
          <w:tcPr>
            <w:tcW w:w="99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80" w:type="dxa"/>
              <w:left w:w="80" w:type="dxa"/>
              <w:bottom w:w="80" w:type="dxa"/>
              <w:right w:w="80" w:type="dxa"/>
            </w:tcMar>
            <w:vAlign w:val="center"/>
          </w:tcPr>
          <w:p w14:paraId="4966AF83" w14:textId="77777777" w:rsidR="00625704" w:rsidRPr="004A4367" w:rsidRDefault="00625704" w:rsidP="00C06A68">
            <w:pPr>
              <w:spacing w:line="276" w:lineRule="auto"/>
              <w:rPr>
                <w:noProof/>
                <w:color w:val="000000" w:themeColor="text1"/>
                <w:sz w:val="18"/>
                <w:szCs w:val="18"/>
              </w:rPr>
            </w:pPr>
          </w:p>
        </w:tc>
        <w:tc>
          <w:tcPr>
            <w:tcW w:w="99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80" w:type="dxa"/>
              <w:left w:w="80" w:type="dxa"/>
              <w:bottom w:w="80" w:type="dxa"/>
              <w:right w:w="80" w:type="dxa"/>
            </w:tcMar>
            <w:vAlign w:val="center"/>
          </w:tcPr>
          <w:p w14:paraId="036808AA" w14:textId="77777777" w:rsidR="00625704" w:rsidRPr="004A4367" w:rsidRDefault="00625704" w:rsidP="00C06A68">
            <w:pPr>
              <w:spacing w:line="276" w:lineRule="auto"/>
              <w:rPr>
                <w:noProof/>
                <w:color w:val="000000" w:themeColor="text1"/>
                <w:sz w:val="18"/>
                <w:szCs w:val="18"/>
              </w:rPr>
            </w:pPr>
          </w:p>
        </w:tc>
        <w:tc>
          <w:tcPr>
            <w:tcW w:w="99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80" w:type="dxa"/>
              <w:left w:w="80" w:type="dxa"/>
              <w:bottom w:w="80" w:type="dxa"/>
              <w:right w:w="80" w:type="dxa"/>
            </w:tcMar>
            <w:vAlign w:val="center"/>
          </w:tcPr>
          <w:p w14:paraId="49210D97" w14:textId="77777777" w:rsidR="00625704" w:rsidRPr="004A4367" w:rsidRDefault="00625704" w:rsidP="00C06A68">
            <w:pPr>
              <w:spacing w:line="276" w:lineRule="auto"/>
              <w:rPr>
                <w:noProof/>
                <w:color w:val="000000" w:themeColor="text1"/>
                <w:sz w:val="18"/>
                <w:szCs w:val="18"/>
              </w:rPr>
            </w:pPr>
          </w:p>
        </w:tc>
        <w:tc>
          <w:tcPr>
            <w:tcW w:w="99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80" w:type="dxa"/>
              <w:left w:w="80" w:type="dxa"/>
              <w:bottom w:w="80" w:type="dxa"/>
              <w:right w:w="80" w:type="dxa"/>
            </w:tcMar>
            <w:vAlign w:val="center"/>
          </w:tcPr>
          <w:p w14:paraId="14133DAA" w14:textId="77777777" w:rsidR="00625704" w:rsidRPr="004A4367" w:rsidRDefault="00625704" w:rsidP="00C06A68">
            <w:pPr>
              <w:spacing w:line="276" w:lineRule="auto"/>
              <w:rPr>
                <w:noProof/>
                <w:color w:val="000000" w:themeColor="text1"/>
                <w:sz w:val="18"/>
                <w:szCs w:val="18"/>
              </w:rPr>
            </w:pPr>
          </w:p>
        </w:tc>
      </w:tr>
      <w:tr w:rsidR="00625704" w:rsidRPr="004A4367" w14:paraId="4A016FE2" w14:textId="77777777" w:rsidTr="00C06A68">
        <w:trPr>
          <w:trHeight w:val="435"/>
        </w:trPr>
        <w:tc>
          <w:tcPr>
            <w:tcW w:w="183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80" w:type="dxa"/>
              <w:left w:w="152" w:type="dxa"/>
              <w:bottom w:w="80" w:type="dxa"/>
              <w:right w:w="80" w:type="dxa"/>
            </w:tcMar>
            <w:vAlign w:val="center"/>
            <w:hideMark/>
          </w:tcPr>
          <w:p w14:paraId="1C759118" w14:textId="77777777" w:rsidR="00625704" w:rsidRPr="004A4367" w:rsidRDefault="00625704" w:rsidP="00C06A68">
            <w:pPr>
              <w:pStyle w:val="Body"/>
              <w:spacing w:before="60" w:after="60" w:line="200" w:lineRule="exact"/>
              <w:ind w:left="72"/>
              <w:jc w:val="left"/>
              <w:rPr>
                <w:noProof/>
                <w:color w:val="000000" w:themeColor="text1"/>
                <w:sz w:val="18"/>
                <w:szCs w:val="18"/>
              </w:rPr>
            </w:pPr>
            <w:r w:rsidRPr="004A4367">
              <w:rPr>
                <w:rStyle w:val="ilfuvd"/>
                <w:rFonts w:eastAsiaTheme="majorEastAsia"/>
                <w:noProof/>
                <w:color w:val="000000" w:themeColor="text1"/>
                <w:sz w:val="18"/>
                <w:szCs w:val="18"/>
              </w:rPr>
              <w:t xml:space="preserve">Human resources </w:t>
            </w:r>
          </w:p>
        </w:tc>
        <w:tc>
          <w:tcPr>
            <w:tcW w:w="99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80" w:type="dxa"/>
              <w:left w:w="80" w:type="dxa"/>
              <w:bottom w:w="80" w:type="dxa"/>
              <w:right w:w="80" w:type="dxa"/>
            </w:tcMar>
          </w:tcPr>
          <w:p w14:paraId="654BF90B" w14:textId="77777777" w:rsidR="00625704" w:rsidRPr="004A4367" w:rsidRDefault="00625704" w:rsidP="00C06A68">
            <w:pPr>
              <w:pStyle w:val="Body"/>
              <w:spacing w:before="60" w:after="60" w:line="200" w:lineRule="exact"/>
              <w:jc w:val="right"/>
              <w:rPr>
                <w:rStyle w:val="ilfuvd"/>
                <w:rFonts w:eastAsiaTheme="majorEastAsia"/>
                <w:noProof/>
                <w:sz w:val="18"/>
                <w:szCs w:val="18"/>
              </w:rPr>
            </w:pPr>
          </w:p>
        </w:tc>
        <w:tc>
          <w:tcPr>
            <w:tcW w:w="99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80" w:type="dxa"/>
              <w:left w:w="80" w:type="dxa"/>
              <w:bottom w:w="80" w:type="dxa"/>
              <w:right w:w="80" w:type="dxa"/>
            </w:tcMar>
          </w:tcPr>
          <w:p w14:paraId="2E9E0519" w14:textId="77777777" w:rsidR="00625704" w:rsidRPr="004A4367" w:rsidRDefault="00625704" w:rsidP="00C06A68">
            <w:pPr>
              <w:pStyle w:val="Body"/>
              <w:spacing w:before="60" w:after="60" w:line="200" w:lineRule="exact"/>
              <w:jc w:val="right"/>
              <w:rPr>
                <w:rStyle w:val="ilfuvd"/>
                <w:rFonts w:eastAsiaTheme="majorEastAsia"/>
                <w:noProof/>
                <w:color w:val="000000" w:themeColor="text1"/>
                <w:sz w:val="18"/>
                <w:szCs w:val="18"/>
              </w:rPr>
            </w:pPr>
          </w:p>
        </w:tc>
        <w:tc>
          <w:tcPr>
            <w:tcW w:w="99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80" w:type="dxa"/>
              <w:left w:w="80" w:type="dxa"/>
              <w:bottom w:w="80" w:type="dxa"/>
              <w:right w:w="80" w:type="dxa"/>
            </w:tcMar>
          </w:tcPr>
          <w:p w14:paraId="7F364B59" w14:textId="77777777" w:rsidR="00625704" w:rsidRPr="004A4367" w:rsidRDefault="00625704" w:rsidP="00C06A68">
            <w:pPr>
              <w:pStyle w:val="Body"/>
              <w:spacing w:before="60" w:after="60" w:line="200" w:lineRule="exact"/>
              <w:jc w:val="right"/>
              <w:rPr>
                <w:rStyle w:val="ilfuvd"/>
                <w:rFonts w:eastAsiaTheme="majorEastAsia"/>
                <w:noProof/>
                <w:color w:val="000000" w:themeColor="text1"/>
                <w:sz w:val="18"/>
                <w:szCs w:val="18"/>
              </w:rPr>
            </w:pPr>
          </w:p>
        </w:tc>
        <w:tc>
          <w:tcPr>
            <w:tcW w:w="99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80" w:type="dxa"/>
              <w:left w:w="80" w:type="dxa"/>
              <w:bottom w:w="80" w:type="dxa"/>
              <w:right w:w="80" w:type="dxa"/>
            </w:tcMar>
          </w:tcPr>
          <w:p w14:paraId="60F5892B" w14:textId="77777777" w:rsidR="00625704" w:rsidRPr="004A4367" w:rsidRDefault="00625704" w:rsidP="00C06A68">
            <w:pPr>
              <w:pStyle w:val="Body"/>
              <w:spacing w:before="60" w:after="60" w:line="200" w:lineRule="exact"/>
              <w:jc w:val="right"/>
              <w:rPr>
                <w:rStyle w:val="ilfuvd"/>
                <w:rFonts w:eastAsiaTheme="majorEastAsia"/>
                <w:noProof/>
                <w:color w:val="000000" w:themeColor="text1"/>
                <w:sz w:val="18"/>
                <w:szCs w:val="18"/>
              </w:rPr>
            </w:pPr>
          </w:p>
        </w:tc>
        <w:tc>
          <w:tcPr>
            <w:tcW w:w="99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80" w:type="dxa"/>
              <w:left w:w="80" w:type="dxa"/>
              <w:bottom w:w="80" w:type="dxa"/>
              <w:right w:w="80" w:type="dxa"/>
            </w:tcMar>
            <w:hideMark/>
          </w:tcPr>
          <w:p w14:paraId="469C2FEE" w14:textId="77777777" w:rsidR="00625704" w:rsidRPr="004A4367" w:rsidRDefault="00625704" w:rsidP="00C06A68">
            <w:pPr>
              <w:pStyle w:val="Body"/>
              <w:spacing w:before="60" w:after="60" w:line="200" w:lineRule="exact"/>
              <w:jc w:val="right"/>
              <w:rPr>
                <w:rStyle w:val="ilfuvd"/>
                <w:rFonts w:eastAsiaTheme="majorEastAsia"/>
                <w:noProof/>
                <w:color w:val="000000" w:themeColor="text1"/>
                <w:sz w:val="18"/>
                <w:szCs w:val="18"/>
              </w:rPr>
            </w:pPr>
            <w:r w:rsidRPr="004A4367">
              <w:rPr>
                <w:rStyle w:val="ilfuvd"/>
                <w:rFonts w:eastAsiaTheme="majorEastAsia"/>
                <w:noProof/>
                <w:color w:val="000000" w:themeColor="text1"/>
                <w:sz w:val="18"/>
                <w:szCs w:val="18"/>
              </w:rPr>
              <w:t>3.712</w:t>
            </w:r>
          </w:p>
        </w:tc>
        <w:tc>
          <w:tcPr>
            <w:tcW w:w="99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80" w:type="dxa"/>
              <w:left w:w="80" w:type="dxa"/>
              <w:bottom w:w="80" w:type="dxa"/>
              <w:right w:w="80" w:type="dxa"/>
            </w:tcMar>
            <w:hideMark/>
          </w:tcPr>
          <w:p w14:paraId="70E79A38" w14:textId="77777777" w:rsidR="00625704" w:rsidRPr="004A4367" w:rsidRDefault="00625704" w:rsidP="00C06A68">
            <w:pPr>
              <w:pStyle w:val="Body"/>
              <w:spacing w:before="60" w:after="60" w:line="200" w:lineRule="exact"/>
              <w:jc w:val="right"/>
              <w:rPr>
                <w:rStyle w:val="ilfuvd"/>
                <w:rFonts w:eastAsiaTheme="majorEastAsia"/>
                <w:noProof/>
                <w:color w:val="000000" w:themeColor="text1"/>
                <w:sz w:val="18"/>
                <w:szCs w:val="18"/>
              </w:rPr>
            </w:pPr>
            <w:r w:rsidRPr="004A4367">
              <w:rPr>
                <w:rStyle w:val="ilfuvd"/>
                <w:rFonts w:eastAsiaTheme="majorEastAsia"/>
                <w:noProof/>
                <w:color w:val="000000" w:themeColor="text1"/>
                <w:sz w:val="18"/>
                <w:szCs w:val="18"/>
              </w:rPr>
              <w:t>3.712</w:t>
            </w:r>
          </w:p>
        </w:tc>
        <w:tc>
          <w:tcPr>
            <w:tcW w:w="99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80" w:type="dxa"/>
              <w:left w:w="80" w:type="dxa"/>
              <w:bottom w:w="80" w:type="dxa"/>
              <w:right w:w="80" w:type="dxa"/>
            </w:tcMar>
            <w:hideMark/>
          </w:tcPr>
          <w:p w14:paraId="0014519B" w14:textId="77777777" w:rsidR="00625704" w:rsidRPr="004A4367" w:rsidRDefault="00625704" w:rsidP="00C06A68">
            <w:pPr>
              <w:pStyle w:val="Body"/>
              <w:spacing w:before="60" w:after="60" w:line="200" w:lineRule="exact"/>
              <w:jc w:val="right"/>
              <w:rPr>
                <w:rStyle w:val="ilfuvd"/>
                <w:rFonts w:eastAsiaTheme="majorEastAsia"/>
                <w:noProof/>
                <w:color w:val="000000" w:themeColor="text1"/>
                <w:sz w:val="18"/>
                <w:szCs w:val="18"/>
              </w:rPr>
            </w:pPr>
            <w:r w:rsidRPr="004A4367">
              <w:rPr>
                <w:rStyle w:val="ilfuvd"/>
                <w:rFonts w:eastAsiaTheme="majorEastAsia"/>
                <w:noProof/>
                <w:color w:val="000000" w:themeColor="text1"/>
                <w:sz w:val="18"/>
                <w:szCs w:val="18"/>
              </w:rPr>
              <w:t>3.712</w:t>
            </w:r>
          </w:p>
        </w:tc>
        <w:tc>
          <w:tcPr>
            <w:tcW w:w="99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80" w:type="dxa"/>
              <w:left w:w="80" w:type="dxa"/>
              <w:bottom w:w="80" w:type="dxa"/>
              <w:right w:w="80" w:type="dxa"/>
            </w:tcMar>
            <w:hideMark/>
          </w:tcPr>
          <w:p w14:paraId="268B5325" w14:textId="77777777" w:rsidR="00625704" w:rsidRPr="004A4367" w:rsidRDefault="00625704" w:rsidP="00C06A68">
            <w:pPr>
              <w:pStyle w:val="Body"/>
              <w:spacing w:before="60" w:after="60" w:line="200" w:lineRule="exact"/>
              <w:jc w:val="right"/>
              <w:rPr>
                <w:rStyle w:val="ilfuvd"/>
                <w:rFonts w:eastAsiaTheme="majorEastAsia"/>
                <w:noProof/>
                <w:color w:val="000000" w:themeColor="text1"/>
                <w:sz w:val="18"/>
                <w:szCs w:val="18"/>
              </w:rPr>
            </w:pPr>
            <w:r w:rsidRPr="004A4367">
              <w:rPr>
                <w:rStyle w:val="ilfuvd"/>
                <w:rFonts w:eastAsiaTheme="majorEastAsia"/>
                <w:noProof/>
                <w:color w:val="000000" w:themeColor="text1"/>
                <w:sz w:val="18"/>
                <w:szCs w:val="18"/>
              </w:rPr>
              <w:t>11.13</w:t>
            </w:r>
            <w:r w:rsidR="00976CA3">
              <w:rPr>
                <w:rStyle w:val="ilfuvd"/>
                <w:rFonts w:eastAsiaTheme="majorEastAsia"/>
                <w:noProof/>
                <w:color w:val="000000" w:themeColor="text1"/>
                <w:sz w:val="18"/>
                <w:szCs w:val="18"/>
              </w:rPr>
              <w:t>6</w:t>
            </w:r>
          </w:p>
        </w:tc>
      </w:tr>
      <w:tr w:rsidR="00625704" w:rsidRPr="004A4367" w14:paraId="60DF58A4" w14:textId="77777777" w:rsidTr="00C06A68">
        <w:trPr>
          <w:trHeight w:val="435"/>
        </w:trPr>
        <w:tc>
          <w:tcPr>
            <w:tcW w:w="183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80" w:type="dxa"/>
              <w:left w:w="152" w:type="dxa"/>
              <w:bottom w:w="80" w:type="dxa"/>
              <w:right w:w="80" w:type="dxa"/>
            </w:tcMar>
            <w:vAlign w:val="center"/>
            <w:hideMark/>
          </w:tcPr>
          <w:p w14:paraId="342E167B" w14:textId="77777777" w:rsidR="00625704" w:rsidRPr="004A4367" w:rsidRDefault="00625704" w:rsidP="00C06A68">
            <w:pPr>
              <w:pStyle w:val="Body"/>
              <w:spacing w:before="60" w:after="60" w:line="200" w:lineRule="exact"/>
              <w:ind w:left="72"/>
              <w:jc w:val="left"/>
              <w:rPr>
                <w:rFonts w:eastAsiaTheme="majorEastAsia"/>
                <w:noProof/>
                <w:sz w:val="18"/>
                <w:szCs w:val="18"/>
              </w:rPr>
            </w:pPr>
            <w:r w:rsidRPr="004A4367">
              <w:rPr>
                <w:rStyle w:val="ilfuvd"/>
                <w:rFonts w:eastAsiaTheme="majorEastAsia"/>
                <w:noProof/>
                <w:color w:val="000000" w:themeColor="text1"/>
                <w:sz w:val="18"/>
                <w:szCs w:val="18"/>
              </w:rPr>
              <w:t xml:space="preserve">Other administrative expenditure </w:t>
            </w:r>
          </w:p>
        </w:tc>
        <w:tc>
          <w:tcPr>
            <w:tcW w:w="99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80" w:type="dxa"/>
              <w:left w:w="80" w:type="dxa"/>
              <w:bottom w:w="80" w:type="dxa"/>
              <w:right w:w="80" w:type="dxa"/>
            </w:tcMar>
          </w:tcPr>
          <w:p w14:paraId="67213D4E" w14:textId="77777777" w:rsidR="00625704" w:rsidRPr="004A4367" w:rsidRDefault="00625704" w:rsidP="00C06A68">
            <w:pPr>
              <w:pStyle w:val="Body"/>
              <w:spacing w:before="60" w:after="60" w:line="200" w:lineRule="exact"/>
              <w:jc w:val="right"/>
              <w:rPr>
                <w:noProof/>
                <w:color w:val="000000" w:themeColor="text1"/>
                <w:sz w:val="18"/>
                <w:szCs w:val="18"/>
              </w:rPr>
            </w:pPr>
          </w:p>
        </w:tc>
        <w:tc>
          <w:tcPr>
            <w:tcW w:w="99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80" w:type="dxa"/>
              <w:left w:w="80" w:type="dxa"/>
              <w:bottom w:w="80" w:type="dxa"/>
              <w:right w:w="80" w:type="dxa"/>
            </w:tcMar>
          </w:tcPr>
          <w:p w14:paraId="0139C443" w14:textId="77777777" w:rsidR="00625704" w:rsidRPr="004A4367" w:rsidRDefault="00625704" w:rsidP="00C06A68">
            <w:pPr>
              <w:pStyle w:val="Body"/>
              <w:spacing w:before="60" w:after="60" w:line="200" w:lineRule="exact"/>
              <w:jc w:val="right"/>
              <w:rPr>
                <w:noProof/>
                <w:color w:val="000000" w:themeColor="text1"/>
                <w:sz w:val="18"/>
                <w:szCs w:val="18"/>
              </w:rPr>
            </w:pPr>
          </w:p>
        </w:tc>
        <w:tc>
          <w:tcPr>
            <w:tcW w:w="99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80" w:type="dxa"/>
              <w:left w:w="80" w:type="dxa"/>
              <w:bottom w:w="80" w:type="dxa"/>
              <w:right w:w="80" w:type="dxa"/>
            </w:tcMar>
          </w:tcPr>
          <w:p w14:paraId="202AF989" w14:textId="77777777" w:rsidR="00625704" w:rsidRPr="004A4367" w:rsidRDefault="00625704" w:rsidP="00C06A68">
            <w:pPr>
              <w:pStyle w:val="Body"/>
              <w:spacing w:before="60" w:after="60" w:line="200" w:lineRule="exact"/>
              <w:jc w:val="right"/>
              <w:rPr>
                <w:noProof/>
                <w:color w:val="000000" w:themeColor="text1"/>
                <w:sz w:val="18"/>
                <w:szCs w:val="18"/>
              </w:rPr>
            </w:pPr>
          </w:p>
        </w:tc>
        <w:tc>
          <w:tcPr>
            <w:tcW w:w="99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80" w:type="dxa"/>
              <w:left w:w="80" w:type="dxa"/>
              <w:bottom w:w="80" w:type="dxa"/>
              <w:right w:w="80" w:type="dxa"/>
            </w:tcMar>
          </w:tcPr>
          <w:p w14:paraId="2BB3C348" w14:textId="77777777" w:rsidR="00625704" w:rsidRPr="004A4367" w:rsidRDefault="00625704" w:rsidP="00C06A68">
            <w:pPr>
              <w:pStyle w:val="Body"/>
              <w:spacing w:before="60" w:after="60" w:line="200" w:lineRule="exact"/>
              <w:jc w:val="right"/>
              <w:rPr>
                <w:noProof/>
                <w:color w:val="000000" w:themeColor="text1"/>
                <w:sz w:val="18"/>
                <w:szCs w:val="18"/>
              </w:rPr>
            </w:pPr>
          </w:p>
        </w:tc>
        <w:tc>
          <w:tcPr>
            <w:tcW w:w="99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80" w:type="dxa"/>
              <w:left w:w="80" w:type="dxa"/>
              <w:bottom w:w="80" w:type="dxa"/>
              <w:right w:w="80" w:type="dxa"/>
            </w:tcMar>
            <w:hideMark/>
          </w:tcPr>
          <w:p w14:paraId="2A575D37" w14:textId="77777777" w:rsidR="00625704" w:rsidRPr="004A4367" w:rsidRDefault="00625704" w:rsidP="00C06A68">
            <w:pPr>
              <w:pStyle w:val="Body"/>
              <w:spacing w:before="60" w:after="60" w:line="200" w:lineRule="exact"/>
              <w:jc w:val="right"/>
              <w:rPr>
                <w:rStyle w:val="ilfuvd"/>
                <w:rFonts w:eastAsiaTheme="majorEastAsia"/>
                <w:noProof/>
                <w:sz w:val="18"/>
                <w:szCs w:val="18"/>
              </w:rPr>
            </w:pPr>
            <w:r w:rsidRPr="004A4367">
              <w:rPr>
                <w:rStyle w:val="ilfuvd"/>
                <w:rFonts w:eastAsiaTheme="majorEastAsia"/>
                <w:noProof/>
                <w:color w:val="000000" w:themeColor="text1"/>
                <w:sz w:val="18"/>
                <w:szCs w:val="18"/>
              </w:rPr>
              <w:t>0.258</w:t>
            </w:r>
          </w:p>
        </w:tc>
        <w:tc>
          <w:tcPr>
            <w:tcW w:w="99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80" w:type="dxa"/>
              <w:left w:w="80" w:type="dxa"/>
              <w:bottom w:w="80" w:type="dxa"/>
              <w:right w:w="80" w:type="dxa"/>
            </w:tcMar>
            <w:hideMark/>
          </w:tcPr>
          <w:p w14:paraId="749FBDB6" w14:textId="77777777" w:rsidR="00625704" w:rsidRPr="004A4367" w:rsidRDefault="00625704" w:rsidP="00C06A68">
            <w:pPr>
              <w:pStyle w:val="Body"/>
              <w:spacing w:before="60" w:after="60" w:line="200" w:lineRule="exact"/>
              <w:jc w:val="right"/>
              <w:rPr>
                <w:rStyle w:val="ilfuvd"/>
                <w:rFonts w:eastAsiaTheme="majorEastAsia"/>
                <w:noProof/>
                <w:sz w:val="18"/>
                <w:szCs w:val="18"/>
              </w:rPr>
            </w:pPr>
            <w:r w:rsidRPr="004A4367">
              <w:rPr>
                <w:rStyle w:val="ilfuvd"/>
                <w:rFonts w:eastAsiaTheme="majorEastAsia"/>
                <w:noProof/>
                <w:color w:val="000000" w:themeColor="text1"/>
                <w:sz w:val="18"/>
                <w:szCs w:val="18"/>
              </w:rPr>
              <w:t>0.258</w:t>
            </w:r>
          </w:p>
        </w:tc>
        <w:tc>
          <w:tcPr>
            <w:tcW w:w="99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80" w:type="dxa"/>
              <w:left w:w="80" w:type="dxa"/>
              <w:bottom w:w="80" w:type="dxa"/>
              <w:right w:w="80" w:type="dxa"/>
            </w:tcMar>
            <w:hideMark/>
          </w:tcPr>
          <w:p w14:paraId="2F3DF68D" w14:textId="77777777" w:rsidR="00625704" w:rsidRPr="004A4367" w:rsidRDefault="00625704" w:rsidP="00C06A68">
            <w:pPr>
              <w:pStyle w:val="Body"/>
              <w:spacing w:before="60" w:after="60" w:line="200" w:lineRule="exact"/>
              <w:jc w:val="right"/>
              <w:rPr>
                <w:rStyle w:val="ilfuvd"/>
                <w:rFonts w:eastAsiaTheme="majorEastAsia"/>
                <w:noProof/>
                <w:sz w:val="18"/>
                <w:szCs w:val="18"/>
              </w:rPr>
            </w:pPr>
            <w:r w:rsidRPr="004A4367">
              <w:rPr>
                <w:rStyle w:val="ilfuvd"/>
                <w:rFonts w:eastAsiaTheme="majorEastAsia"/>
                <w:noProof/>
                <w:color w:val="000000" w:themeColor="text1"/>
                <w:sz w:val="18"/>
                <w:szCs w:val="18"/>
              </w:rPr>
              <w:t>0.131</w:t>
            </w:r>
          </w:p>
        </w:tc>
        <w:tc>
          <w:tcPr>
            <w:tcW w:w="99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80" w:type="dxa"/>
              <w:left w:w="80" w:type="dxa"/>
              <w:bottom w:w="80" w:type="dxa"/>
              <w:right w:w="80" w:type="dxa"/>
            </w:tcMar>
            <w:hideMark/>
          </w:tcPr>
          <w:p w14:paraId="77285204" w14:textId="77777777" w:rsidR="00625704" w:rsidRPr="004A4367" w:rsidRDefault="00625704" w:rsidP="00C06A68">
            <w:pPr>
              <w:pStyle w:val="Body"/>
              <w:spacing w:before="60" w:after="60" w:line="200" w:lineRule="exact"/>
              <w:jc w:val="right"/>
              <w:rPr>
                <w:rStyle w:val="ilfuvd"/>
                <w:rFonts w:eastAsiaTheme="majorEastAsia"/>
                <w:noProof/>
                <w:color w:val="000000" w:themeColor="text1"/>
                <w:sz w:val="18"/>
                <w:szCs w:val="18"/>
              </w:rPr>
            </w:pPr>
            <w:r w:rsidRPr="004A4367">
              <w:rPr>
                <w:rStyle w:val="ilfuvd"/>
                <w:rFonts w:eastAsiaTheme="majorEastAsia"/>
                <w:noProof/>
                <w:color w:val="000000" w:themeColor="text1"/>
                <w:sz w:val="18"/>
                <w:szCs w:val="18"/>
              </w:rPr>
              <w:t>0.647</w:t>
            </w:r>
          </w:p>
        </w:tc>
      </w:tr>
      <w:tr w:rsidR="00625704" w:rsidRPr="004A4367" w14:paraId="7B44A06D" w14:textId="77777777" w:rsidTr="00C06A68">
        <w:trPr>
          <w:trHeight w:val="568"/>
        </w:trPr>
        <w:tc>
          <w:tcPr>
            <w:tcW w:w="183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CCCCCC"/>
            <w:tcMar>
              <w:top w:w="80" w:type="dxa"/>
              <w:left w:w="80" w:type="dxa"/>
              <w:bottom w:w="80" w:type="dxa"/>
              <w:right w:w="80" w:type="dxa"/>
            </w:tcMar>
            <w:vAlign w:val="center"/>
            <w:hideMark/>
          </w:tcPr>
          <w:p w14:paraId="735868B6" w14:textId="77777777" w:rsidR="00625704" w:rsidRPr="004A4367" w:rsidRDefault="00625704" w:rsidP="00C06A68">
            <w:pPr>
              <w:pStyle w:val="Body"/>
              <w:spacing w:before="60" w:after="60" w:line="200" w:lineRule="exact"/>
              <w:jc w:val="center"/>
              <w:rPr>
                <w:rFonts w:eastAsiaTheme="majorEastAsia"/>
                <w:noProof/>
                <w:sz w:val="18"/>
                <w:szCs w:val="18"/>
              </w:rPr>
            </w:pPr>
            <w:r w:rsidRPr="004A4367">
              <w:rPr>
                <w:rStyle w:val="ilfuvd"/>
                <w:rFonts w:eastAsiaTheme="majorEastAsia"/>
                <w:noProof/>
                <w:color w:val="000000" w:themeColor="text1"/>
                <w:sz w:val="18"/>
                <w:szCs w:val="18"/>
              </w:rPr>
              <w:t>Subtotal HEADING 7</w:t>
            </w:r>
            <w:r w:rsidRPr="004A4367">
              <w:rPr>
                <w:rFonts w:eastAsia="Arial Unicode MS"/>
                <w:noProof/>
                <w:color w:val="000000" w:themeColor="text1"/>
                <w:sz w:val="18"/>
                <w:szCs w:val="18"/>
              </w:rPr>
              <w:br/>
            </w:r>
            <w:r w:rsidRPr="004A4367">
              <w:rPr>
                <w:rStyle w:val="ilfuvd"/>
                <w:rFonts w:eastAsiaTheme="majorEastAsia"/>
                <w:noProof/>
                <w:color w:val="000000" w:themeColor="text1"/>
                <w:sz w:val="18"/>
                <w:szCs w:val="18"/>
              </w:rPr>
              <w:t xml:space="preserve">of the multiannual financial framework </w:t>
            </w:r>
          </w:p>
        </w:tc>
        <w:tc>
          <w:tcPr>
            <w:tcW w:w="99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80" w:type="dxa"/>
              <w:left w:w="80" w:type="dxa"/>
              <w:bottom w:w="80" w:type="dxa"/>
              <w:right w:w="80" w:type="dxa"/>
            </w:tcMar>
          </w:tcPr>
          <w:p w14:paraId="21B605DB" w14:textId="77777777" w:rsidR="00625704" w:rsidRPr="004A4367" w:rsidRDefault="00625704" w:rsidP="00C06A68">
            <w:pPr>
              <w:pStyle w:val="Body"/>
              <w:spacing w:before="60" w:after="60" w:line="200" w:lineRule="exact"/>
              <w:jc w:val="right"/>
              <w:rPr>
                <w:rStyle w:val="ilfuvd"/>
                <w:rFonts w:eastAsiaTheme="majorEastAsia"/>
                <w:noProof/>
                <w:sz w:val="18"/>
                <w:szCs w:val="18"/>
              </w:rPr>
            </w:pPr>
          </w:p>
        </w:tc>
        <w:tc>
          <w:tcPr>
            <w:tcW w:w="99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80" w:type="dxa"/>
              <w:left w:w="80" w:type="dxa"/>
              <w:bottom w:w="80" w:type="dxa"/>
              <w:right w:w="80" w:type="dxa"/>
            </w:tcMar>
          </w:tcPr>
          <w:p w14:paraId="5F0B6039" w14:textId="77777777" w:rsidR="00625704" w:rsidRPr="004A4367" w:rsidRDefault="00625704" w:rsidP="00C06A68">
            <w:pPr>
              <w:pStyle w:val="Body"/>
              <w:spacing w:before="60" w:after="60" w:line="200" w:lineRule="exact"/>
              <w:jc w:val="right"/>
              <w:rPr>
                <w:rStyle w:val="ilfuvd"/>
                <w:rFonts w:eastAsiaTheme="majorEastAsia"/>
                <w:noProof/>
                <w:color w:val="000000" w:themeColor="text1"/>
                <w:sz w:val="18"/>
                <w:szCs w:val="18"/>
              </w:rPr>
            </w:pPr>
          </w:p>
        </w:tc>
        <w:tc>
          <w:tcPr>
            <w:tcW w:w="99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80" w:type="dxa"/>
              <w:left w:w="80" w:type="dxa"/>
              <w:bottom w:w="80" w:type="dxa"/>
              <w:right w:w="80" w:type="dxa"/>
            </w:tcMar>
          </w:tcPr>
          <w:p w14:paraId="5277575A" w14:textId="77777777" w:rsidR="00625704" w:rsidRPr="004A4367" w:rsidRDefault="00625704" w:rsidP="00C06A68">
            <w:pPr>
              <w:pStyle w:val="Body"/>
              <w:spacing w:before="60" w:after="60" w:line="200" w:lineRule="exact"/>
              <w:jc w:val="right"/>
              <w:rPr>
                <w:rStyle w:val="ilfuvd"/>
                <w:rFonts w:eastAsiaTheme="majorEastAsia"/>
                <w:noProof/>
                <w:color w:val="000000" w:themeColor="text1"/>
                <w:sz w:val="18"/>
                <w:szCs w:val="18"/>
              </w:rPr>
            </w:pPr>
          </w:p>
        </w:tc>
        <w:tc>
          <w:tcPr>
            <w:tcW w:w="99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80" w:type="dxa"/>
              <w:left w:w="80" w:type="dxa"/>
              <w:bottom w:w="80" w:type="dxa"/>
              <w:right w:w="80" w:type="dxa"/>
            </w:tcMar>
          </w:tcPr>
          <w:p w14:paraId="475F0012" w14:textId="77777777" w:rsidR="00625704" w:rsidRPr="004A4367" w:rsidRDefault="00625704" w:rsidP="00C06A68">
            <w:pPr>
              <w:pStyle w:val="Body"/>
              <w:spacing w:before="60" w:after="60" w:line="200" w:lineRule="exact"/>
              <w:jc w:val="right"/>
              <w:rPr>
                <w:rStyle w:val="ilfuvd"/>
                <w:rFonts w:eastAsiaTheme="majorEastAsia"/>
                <w:noProof/>
                <w:color w:val="000000" w:themeColor="text1"/>
                <w:sz w:val="18"/>
                <w:szCs w:val="18"/>
              </w:rPr>
            </w:pPr>
          </w:p>
        </w:tc>
        <w:tc>
          <w:tcPr>
            <w:tcW w:w="99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80" w:type="dxa"/>
              <w:left w:w="80" w:type="dxa"/>
              <w:bottom w:w="80" w:type="dxa"/>
              <w:right w:w="80" w:type="dxa"/>
            </w:tcMar>
            <w:hideMark/>
          </w:tcPr>
          <w:p w14:paraId="22928D5B" w14:textId="77777777" w:rsidR="00625704" w:rsidRPr="004A4367" w:rsidRDefault="00625704" w:rsidP="00C06A68">
            <w:pPr>
              <w:pStyle w:val="Body"/>
              <w:spacing w:before="60" w:after="60" w:line="200" w:lineRule="exact"/>
              <w:jc w:val="right"/>
              <w:rPr>
                <w:rStyle w:val="ilfuvd"/>
                <w:rFonts w:eastAsiaTheme="majorEastAsia"/>
                <w:noProof/>
                <w:color w:val="000000" w:themeColor="text1"/>
                <w:sz w:val="18"/>
                <w:szCs w:val="18"/>
              </w:rPr>
            </w:pPr>
            <w:r w:rsidRPr="004A4367">
              <w:rPr>
                <w:rStyle w:val="ilfuvd"/>
                <w:rFonts w:eastAsiaTheme="majorEastAsia"/>
                <w:noProof/>
                <w:color w:val="000000" w:themeColor="text1"/>
                <w:sz w:val="18"/>
                <w:szCs w:val="18"/>
              </w:rPr>
              <w:t>3.970</w:t>
            </w:r>
          </w:p>
        </w:tc>
        <w:tc>
          <w:tcPr>
            <w:tcW w:w="99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80" w:type="dxa"/>
              <w:left w:w="80" w:type="dxa"/>
              <w:bottom w:w="80" w:type="dxa"/>
              <w:right w:w="80" w:type="dxa"/>
            </w:tcMar>
            <w:hideMark/>
          </w:tcPr>
          <w:p w14:paraId="6B45953A" w14:textId="77777777" w:rsidR="00625704" w:rsidRPr="004A4367" w:rsidRDefault="00625704" w:rsidP="00C06A68">
            <w:pPr>
              <w:pStyle w:val="Body"/>
              <w:spacing w:before="60" w:after="60" w:line="200" w:lineRule="exact"/>
              <w:jc w:val="right"/>
              <w:rPr>
                <w:rStyle w:val="ilfuvd"/>
                <w:rFonts w:eastAsiaTheme="majorEastAsia"/>
                <w:noProof/>
                <w:color w:val="000000" w:themeColor="text1"/>
                <w:sz w:val="18"/>
                <w:szCs w:val="18"/>
              </w:rPr>
            </w:pPr>
            <w:r w:rsidRPr="004A4367">
              <w:rPr>
                <w:rStyle w:val="ilfuvd"/>
                <w:rFonts w:eastAsiaTheme="majorEastAsia"/>
                <w:noProof/>
                <w:color w:val="000000" w:themeColor="text1"/>
                <w:sz w:val="18"/>
                <w:szCs w:val="18"/>
              </w:rPr>
              <w:t>3.970</w:t>
            </w:r>
          </w:p>
        </w:tc>
        <w:tc>
          <w:tcPr>
            <w:tcW w:w="99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80" w:type="dxa"/>
              <w:left w:w="80" w:type="dxa"/>
              <w:bottom w:w="80" w:type="dxa"/>
              <w:right w:w="80" w:type="dxa"/>
            </w:tcMar>
            <w:hideMark/>
          </w:tcPr>
          <w:p w14:paraId="677AC29C" w14:textId="77777777" w:rsidR="00625704" w:rsidRPr="004A4367" w:rsidRDefault="00625704" w:rsidP="00C06A68">
            <w:pPr>
              <w:pStyle w:val="Body"/>
              <w:spacing w:before="60" w:after="60" w:line="200" w:lineRule="exact"/>
              <w:jc w:val="right"/>
              <w:rPr>
                <w:rStyle w:val="ilfuvd"/>
                <w:rFonts w:eastAsiaTheme="majorEastAsia"/>
                <w:noProof/>
                <w:color w:val="000000" w:themeColor="text1"/>
                <w:sz w:val="18"/>
                <w:szCs w:val="18"/>
              </w:rPr>
            </w:pPr>
            <w:r w:rsidRPr="004A4367">
              <w:rPr>
                <w:rStyle w:val="ilfuvd"/>
                <w:rFonts w:eastAsiaTheme="majorEastAsia"/>
                <w:noProof/>
                <w:color w:val="000000" w:themeColor="text1"/>
                <w:sz w:val="18"/>
                <w:szCs w:val="18"/>
              </w:rPr>
              <w:t>3.843</w:t>
            </w:r>
          </w:p>
        </w:tc>
        <w:tc>
          <w:tcPr>
            <w:tcW w:w="99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80" w:type="dxa"/>
              <w:left w:w="80" w:type="dxa"/>
              <w:bottom w:w="80" w:type="dxa"/>
              <w:right w:w="80" w:type="dxa"/>
            </w:tcMar>
            <w:hideMark/>
          </w:tcPr>
          <w:p w14:paraId="6B88D447" w14:textId="77777777" w:rsidR="00625704" w:rsidRPr="004A4367" w:rsidRDefault="00625704" w:rsidP="00C06A68">
            <w:pPr>
              <w:pStyle w:val="Body"/>
              <w:spacing w:before="60" w:after="60" w:line="200" w:lineRule="exact"/>
              <w:jc w:val="right"/>
              <w:rPr>
                <w:rStyle w:val="ilfuvd"/>
                <w:rFonts w:eastAsiaTheme="majorEastAsia"/>
                <w:noProof/>
                <w:color w:val="000000" w:themeColor="text1"/>
                <w:sz w:val="18"/>
                <w:szCs w:val="18"/>
              </w:rPr>
            </w:pPr>
            <w:r w:rsidRPr="004A4367">
              <w:rPr>
                <w:rStyle w:val="ilfuvd"/>
                <w:rFonts w:eastAsiaTheme="majorEastAsia"/>
                <w:noProof/>
                <w:color w:val="000000" w:themeColor="text1"/>
                <w:sz w:val="18"/>
                <w:szCs w:val="18"/>
              </w:rPr>
              <w:t>11.78</w:t>
            </w:r>
            <w:r w:rsidR="00976CA3">
              <w:rPr>
                <w:rStyle w:val="ilfuvd"/>
                <w:rFonts w:eastAsiaTheme="majorEastAsia"/>
                <w:noProof/>
                <w:color w:val="000000" w:themeColor="text1"/>
                <w:sz w:val="18"/>
                <w:szCs w:val="18"/>
              </w:rPr>
              <w:t>3</w:t>
            </w:r>
          </w:p>
        </w:tc>
      </w:tr>
    </w:tbl>
    <w:p w14:paraId="12CB6086" w14:textId="77777777" w:rsidR="00625704" w:rsidRPr="004A4367" w:rsidRDefault="00625704" w:rsidP="00625704">
      <w:pPr>
        <w:pStyle w:val="Body"/>
        <w:widowControl w:val="0"/>
        <w:rPr>
          <w:noProof/>
          <w:color w:val="000000" w:themeColor="text1"/>
          <w:sz w:val="18"/>
          <w:szCs w:val="18"/>
        </w:rPr>
      </w:pPr>
    </w:p>
    <w:p w14:paraId="1F42AFF3" w14:textId="77777777" w:rsidR="00625704" w:rsidRPr="004A4367" w:rsidRDefault="00625704" w:rsidP="00625704">
      <w:pPr>
        <w:pStyle w:val="Body"/>
        <w:spacing w:line="200" w:lineRule="exact"/>
        <w:rPr>
          <w:noProof/>
          <w:color w:val="000000" w:themeColor="text1"/>
          <w:sz w:val="18"/>
          <w:szCs w:val="18"/>
        </w:rPr>
      </w:pPr>
    </w:p>
    <w:tbl>
      <w:tblPr>
        <w:tblW w:w="9870" w:type="dxa"/>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shd w:val="clear" w:color="auto" w:fill="CED7E7"/>
        <w:tblLayout w:type="fixed"/>
        <w:tblLook w:val="04A0" w:firstRow="1" w:lastRow="0" w:firstColumn="1" w:lastColumn="0" w:noHBand="0" w:noVBand="1"/>
      </w:tblPr>
      <w:tblGrid>
        <w:gridCol w:w="1839"/>
        <w:gridCol w:w="1003"/>
        <w:gridCol w:w="1004"/>
        <w:gridCol w:w="1004"/>
        <w:gridCol w:w="1004"/>
        <w:gridCol w:w="1004"/>
        <w:gridCol w:w="1004"/>
        <w:gridCol w:w="1004"/>
        <w:gridCol w:w="1004"/>
      </w:tblGrid>
      <w:tr w:rsidR="00625704" w:rsidRPr="004A4367" w14:paraId="45BE51DF" w14:textId="77777777" w:rsidTr="00C06A68">
        <w:trPr>
          <w:trHeight w:val="849"/>
        </w:trPr>
        <w:tc>
          <w:tcPr>
            <w:tcW w:w="183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CCCCCC"/>
            <w:tcMar>
              <w:top w:w="80" w:type="dxa"/>
              <w:left w:w="80" w:type="dxa"/>
              <w:bottom w:w="80" w:type="dxa"/>
              <w:right w:w="80" w:type="dxa"/>
            </w:tcMar>
            <w:vAlign w:val="center"/>
            <w:hideMark/>
          </w:tcPr>
          <w:p w14:paraId="5C64CAC0" w14:textId="77777777" w:rsidR="00625704" w:rsidRPr="004A4367" w:rsidRDefault="00625704" w:rsidP="00C06A68">
            <w:pPr>
              <w:pStyle w:val="Body"/>
              <w:spacing w:before="60" w:after="60" w:line="200" w:lineRule="exact"/>
              <w:jc w:val="center"/>
              <w:rPr>
                <w:noProof/>
                <w:color w:val="000000" w:themeColor="text1"/>
                <w:sz w:val="18"/>
                <w:szCs w:val="18"/>
              </w:rPr>
            </w:pPr>
            <w:r w:rsidRPr="004A4367">
              <w:rPr>
                <w:rStyle w:val="ilfuvd"/>
                <w:rFonts w:eastAsiaTheme="majorEastAsia"/>
                <w:noProof/>
                <w:color w:val="000000" w:themeColor="text1"/>
                <w:sz w:val="18"/>
                <w:szCs w:val="18"/>
              </w:rPr>
              <w:t>Outside HEADING 7</w:t>
            </w:r>
            <w:r w:rsidRPr="004A4367">
              <w:rPr>
                <w:noProof/>
                <w:color w:val="000000" w:themeColor="text1"/>
                <w:sz w:val="18"/>
                <w:szCs w:val="18"/>
              </w:rPr>
              <w:br/>
            </w:r>
            <w:r w:rsidRPr="004A4367">
              <w:rPr>
                <w:rStyle w:val="ilfuvd"/>
                <w:rFonts w:eastAsiaTheme="majorEastAsia"/>
                <w:noProof/>
                <w:color w:val="000000" w:themeColor="text1"/>
                <w:sz w:val="18"/>
                <w:szCs w:val="18"/>
              </w:rPr>
              <w:t xml:space="preserve">of the multiannual financial framework </w:t>
            </w:r>
          </w:p>
        </w:tc>
        <w:tc>
          <w:tcPr>
            <w:tcW w:w="100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80" w:type="dxa"/>
              <w:left w:w="80" w:type="dxa"/>
              <w:bottom w:w="80" w:type="dxa"/>
              <w:right w:w="80" w:type="dxa"/>
            </w:tcMar>
            <w:vAlign w:val="center"/>
          </w:tcPr>
          <w:p w14:paraId="21C320E9" w14:textId="77777777" w:rsidR="00625704" w:rsidRPr="004A4367" w:rsidRDefault="00625704" w:rsidP="00C06A68">
            <w:pPr>
              <w:spacing w:line="276" w:lineRule="auto"/>
              <w:rPr>
                <w:noProof/>
                <w:color w:val="000000" w:themeColor="text1"/>
                <w:sz w:val="18"/>
                <w:szCs w:val="18"/>
              </w:rPr>
            </w:pPr>
          </w:p>
        </w:tc>
        <w:tc>
          <w:tcPr>
            <w:tcW w:w="100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80" w:type="dxa"/>
              <w:left w:w="80" w:type="dxa"/>
              <w:bottom w:w="80" w:type="dxa"/>
              <w:right w:w="80" w:type="dxa"/>
            </w:tcMar>
            <w:vAlign w:val="center"/>
          </w:tcPr>
          <w:p w14:paraId="55D25978" w14:textId="77777777" w:rsidR="00625704" w:rsidRPr="004A4367" w:rsidRDefault="00625704" w:rsidP="00C06A68">
            <w:pPr>
              <w:spacing w:line="276" w:lineRule="auto"/>
              <w:rPr>
                <w:noProof/>
                <w:color w:val="000000" w:themeColor="text1"/>
                <w:sz w:val="18"/>
                <w:szCs w:val="18"/>
              </w:rPr>
            </w:pPr>
          </w:p>
        </w:tc>
        <w:tc>
          <w:tcPr>
            <w:tcW w:w="100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80" w:type="dxa"/>
              <w:left w:w="80" w:type="dxa"/>
              <w:bottom w:w="80" w:type="dxa"/>
              <w:right w:w="80" w:type="dxa"/>
            </w:tcMar>
            <w:vAlign w:val="center"/>
          </w:tcPr>
          <w:p w14:paraId="01BF2DBC" w14:textId="77777777" w:rsidR="00625704" w:rsidRPr="004A4367" w:rsidRDefault="00625704" w:rsidP="00C06A68">
            <w:pPr>
              <w:spacing w:line="276" w:lineRule="auto"/>
              <w:rPr>
                <w:noProof/>
                <w:color w:val="000000" w:themeColor="text1"/>
                <w:sz w:val="18"/>
                <w:szCs w:val="18"/>
              </w:rPr>
            </w:pPr>
          </w:p>
        </w:tc>
        <w:tc>
          <w:tcPr>
            <w:tcW w:w="100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80" w:type="dxa"/>
              <w:left w:w="80" w:type="dxa"/>
              <w:bottom w:w="80" w:type="dxa"/>
              <w:right w:w="80" w:type="dxa"/>
            </w:tcMar>
            <w:vAlign w:val="center"/>
          </w:tcPr>
          <w:p w14:paraId="1E4A304F" w14:textId="77777777" w:rsidR="00625704" w:rsidRPr="004A4367" w:rsidRDefault="00625704" w:rsidP="00C06A68">
            <w:pPr>
              <w:spacing w:line="276" w:lineRule="auto"/>
              <w:rPr>
                <w:noProof/>
                <w:color w:val="000000" w:themeColor="text1"/>
                <w:sz w:val="18"/>
                <w:szCs w:val="18"/>
              </w:rPr>
            </w:pPr>
          </w:p>
        </w:tc>
        <w:tc>
          <w:tcPr>
            <w:tcW w:w="100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80" w:type="dxa"/>
              <w:left w:w="80" w:type="dxa"/>
              <w:bottom w:w="80" w:type="dxa"/>
              <w:right w:w="80" w:type="dxa"/>
            </w:tcMar>
            <w:vAlign w:val="center"/>
          </w:tcPr>
          <w:p w14:paraId="1F2C0438" w14:textId="77777777" w:rsidR="00625704" w:rsidRPr="004A4367" w:rsidRDefault="00625704" w:rsidP="00C06A68">
            <w:pPr>
              <w:spacing w:line="276" w:lineRule="auto"/>
              <w:rPr>
                <w:noProof/>
                <w:color w:val="000000" w:themeColor="text1"/>
                <w:sz w:val="18"/>
                <w:szCs w:val="18"/>
              </w:rPr>
            </w:pPr>
          </w:p>
        </w:tc>
        <w:tc>
          <w:tcPr>
            <w:tcW w:w="100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80" w:type="dxa"/>
              <w:left w:w="80" w:type="dxa"/>
              <w:bottom w:w="80" w:type="dxa"/>
              <w:right w:w="80" w:type="dxa"/>
            </w:tcMar>
            <w:vAlign w:val="center"/>
          </w:tcPr>
          <w:p w14:paraId="76AAA7B1" w14:textId="77777777" w:rsidR="00625704" w:rsidRPr="004A4367" w:rsidRDefault="00625704" w:rsidP="00C06A68">
            <w:pPr>
              <w:spacing w:line="276" w:lineRule="auto"/>
              <w:rPr>
                <w:noProof/>
                <w:color w:val="000000" w:themeColor="text1"/>
                <w:sz w:val="18"/>
                <w:szCs w:val="18"/>
              </w:rPr>
            </w:pPr>
          </w:p>
        </w:tc>
        <w:tc>
          <w:tcPr>
            <w:tcW w:w="100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80" w:type="dxa"/>
              <w:left w:w="80" w:type="dxa"/>
              <w:bottom w:w="80" w:type="dxa"/>
              <w:right w:w="80" w:type="dxa"/>
            </w:tcMar>
            <w:vAlign w:val="center"/>
          </w:tcPr>
          <w:p w14:paraId="0BF018DB" w14:textId="77777777" w:rsidR="00625704" w:rsidRPr="004A4367" w:rsidRDefault="00625704" w:rsidP="00C06A68">
            <w:pPr>
              <w:spacing w:line="276" w:lineRule="auto"/>
              <w:rPr>
                <w:noProof/>
                <w:color w:val="000000" w:themeColor="text1"/>
                <w:sz w:val="18"/>
                <w:szCs w:val="18"/>
              </w:rPr>
            </w:pPr>
          </w:p>
        </w:tc>
        <w:tc>
          <w:tcPr>
            <w:tcW w:w="100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80" w:type="dxa"/>
              <w:left w:w="80" w:type="dxa"/>
              <w:bottom w:w="80" w:type="dxa"/>
              <w:right w:w="80" w:type="dxa"/>
            </w:tcMar>
            <w:vAlign w:val="center"/>
          </w:tcPr>
          <w:p w14:paraId="14F63E3C" w14:textId="77777777" w:rsidR="00625704" w:rsidRPr="004A4367" w:rsidRDefault="00625704" w:rsidP="00C06A68">
            <w:pPr>
              <w:spacing w:line="276" w:lineRule="auto"/>
              <w:rPr>
                <w:noProof/>
                <w:color w:val="000000" w:themeColor="text1"/>
                <w:sz w:val="18"/>
                <w:szCs w:val="18"/>
              </w:rPr>
            </w:pPr>
          </w:p>
        </w:tc>
      </w:tr>
      <w:tr w:rsidR="00625704" w:rsidRPr="004A4367" w14:paraId="3DE3D5BA" w14:textId="77777777" w:rsidTr="00C06A68">
        <w:trPr>
          <w:trHeight w:val="420"/>
        </w:trPr>
        <w:tc>
          <w:tcPr>
            <w:tcW w:w="183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80" w:type="dxa"/>
              <w:left w:w="152" w:type="dxa"/>
              <w:bottom w:w="80" w:type="dxa"/>
              <w:right w:w="80" w:type="dxa"/>
            </w:tcMar>
            <w:vAlign w:val="center"/>
            <w:hideMark/>
          </w:tcPr>
          <w:p w14:paraId="3157BC31" w14:textId="77777777" w:rsidR="00625704" w:rsidRPr="004A4367" w:rsidRDefault="00625704" w:rsidP="00C06A68">
            <w:pPr>
              <w:pStyle w:val="Body"/>
              <w:spacing w:before="60" w:after="60" w:line="200" w:lineRule="exact"/>
              <w:ind w:left="72"/>
              <w:jc w:val="left"/>
              <w:rPr>
                <w:noProof/>
                <w:color w:val="000000" w:themeColor="text1"/>
                <w:sz w:val="18"/>
                <w:szCs w:val="18"/>
              </w:rPr>
            </w:pPr>
            <w:r w:rsidRPr="004A4367">
              <w:rPr>
                <w:rStyle w:val="ilfuvd"/>
                <w:rFonts w:eastAsiaTheme="majorEastAsia"/>
                <w:noProof/>
                <w:color w:val="000000" w:themeColor="text1"/>
                <w:sz w:val="18"/>
                <w:szCs w:val="18"/>
              </w:rPr>
              <w:t xml:space="preserve">Human resources </w:t>
            </w:r>
          </w:p>
        </w:tc>
        <w:tc>
          <w:tcPr>
            <w:tcW w:w="100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80" w:type="dxa"/>
              <w:left w:w="80" w:type="dxa"/>
              <w:bottom w:w="80" w:type="dxa"/>
              <w:right w:w="80" w:type="dxa"/>
            </w:tcMar>
            <w:vAlign w:val="center"/>
          </w:tcPr>
          <w:p w14:paraId="0DDB7806" w14:textId="77777777" w:rsidR="00625704" w:rsidRPr="004A4367" w:rsidRDefault="00625704" w:rsidP="00C06A68">
            <w:pPr>
              <w:spacing w:line="276" w:lineRule="auto"/>
              <w:rPr>
                <w:noProof/>
                <w:color w:val="000000" w:themeColor="text1"/>
                <w:sz w:val="18"/>
                <w:szCs w:val="18"/>
              </w:rPr>
            </w:pPr>
          </w:p>
        </w:tc>
        <w:tc>
          <w:tcPr>
            <w:tcW w:w="100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80" w:type="dxa"/>
              <w:left w:w="80" w:type="dxa"/>
              <w:bottom w:w="80" w:type="dxa"/>
              <w:right w:w="80" w:type="dxa"/>
            </w:tcMar>
            <w:vAlign w:val="center"/>
          </w:tcPr>
          <w:p w14:paraId="379837F3" w14:textId="77777777" w:rsidR="00625704" w:rsidRPr="004A4367" w:rsidRDefault="00625704" w:rsidP="00C06A68">
            <w:pPr>
              <w:spacing w:line="276" w:lineRule="auto"/>
              <w:rPr>
                <w:noProof/>
                <w:color w:val="000000" w:themeColor="text1"/>
                <w:sz w:val="18"/>
                <w:szCs w:val="18"/>
              </w:rPr>
            </w:pPr>
          </w:p>
        </w:tc>
        <w:tc>
          <w:tcPr>
            <w:tcW w:w="100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80" w:type="dxa"/>
              <w:left w:w="80" w:type="dxa"/>
              <w:bottom w:w="80" w:type="dxa"/>
              <w:right w:w="80" w:type="dxa"/>
            </w:tcMar>
            <w:vAlign w:val="center"/>
          </w:tcPr>
          <w:p w14:paraId="65A740D6" w14:textId="77777777" w:rsidR="00625704" w:rsidRPr="004A4367" w:rsidRDefault="00625704" w:rsidP="00C06A68">
            <w:pPr>
              <w:spacing w:line="276" w:lineRule="auto"/>
              <w:rPr>
                <w:noProof/>
                <w:color w:val="000000" w:themeColor="text1"/>
                <w:sz w:val="18"/>
                <w:szCs w:val="18"/>
              </w:rPr>
            </w:pPr>
          </w:p>
        </w:tc>
        <w:tc>
          <w:tcPr>
            <w:tcW w:w="100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80" w:type="dxa"/>
              <w:left w:w="80" w:type="dxa"/>
              <w:bottom w:w="80" w:type="dxa"/>
              <w:right w:w="80" w:type="dxa"/>
            </w:tcMar>
            <w:vAlign w:val="center"/>
          </w:tcPr>
          <w:p w14:paraId="5C6F5098" w14:textId="77777777" w:rsidR="00625704" w:rsidRPr="004A4367" w:rsidRDefault="00625704" w:rsidP="00C06A68">
            <w:pPr>
              <w:spacing w:line="276" w:lineRule="auto"/>
              <w:rPr>
                <w:noProof/>
                <w:color w:val="000000" w:themeColor="text1"/>
                <w:sz w:val="18"/>
                <w:szCs w:val="18"/>
              </w:rPr>
            </w:pPr>
          </w:p>
        </w:tc>
        <w:tc>
          <w:tcPr>
            <w:tcW w:w="100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80" w:type="dxa"/>
              <w:left w:w="80" w:type="dxa"/>
              <w:bottom w:w="80" w:type="dxa"/>
              <w:right w:w="80" w:type="dxa"/>
            </w:tcMar>
          </w:tcPr>
          <w:p w14:paraId="3573C4EA" w14:textId="77777777" w:rsidR="00625704" w:rsidRPr="004A4367" w:rsidRDefault="00625704" w:rsidP="00C06A68">
            <w:pPr>
              <w:pStyle w:val="Body"/>
              <w:spacing w:before="60" w:after="60" w:line="200" w:lineRule="exact"/>
              <w:jc w:val="right"/>
              <w:rPr>
                <w:rStyle w:val="ilfuvd"/>
                <w:rFonts w:eastAsiaTheme="majorEastAsia"/>
                <w:noProof/>
                <w:sz w:val="18"/>
                <w:szCs w:val="18"/>
              </w:rPr>
            </w:pPr>
            <w:r w:rsidRPr="004A4367">
              <w:rPr>
                <w:rStyle w:val="ilfuvd"/>
                <w:rFonts w:eastAsiaTheme="majorEastAsia"/>
                <w:noProof/>
                <w:color w:val="000000" w:themeColor="text1"/>
                <w:sz w:val="18"/>
                <w:szCs w:val="18"/>
              </w:rPr>
              <w:t>3.552</w:t>
            </w:r>
          </w:p>
        </w:tc>
        <w:tc>
          <w:tcPr>
            <w:tcW w:w="100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80" w:type="dxa"/>
              <w:left w:w="80" w:type="dxa"/>
              <w:bottom w:w="80" w:type="dxa"/>
              <w:right w:w="80" w:type="dxa"/>
            </w:tcMar>
          </w:tcPr>
          <w:p w14:paraId="35561BDA" w14:textId="77777777" w:rsidR="00625704" w:rsidRPr="004A4367" w:rsidRDefault="00625704" w:rsidP="00C06A68">
            <w:pPr>
              <w:pStyle w:val="Body"/>
              <w:spacing w:before="60" w:after="60" w:line="200" w:lineRule="exact"/>
              <w:jc w:val="right"/>
              <w:rPr>
                <w:rStyle w:val="ilfuvd"/>
                <w:rFonts w:eastAsiaTheme="majorEastAsia"/>
                <w:noProof/>
                <w:sz w:val="18"/>
                <w:szCs w:val="18"/>
              </w:rPr>
            </w:pPr>
            <w:r w:rsidRPr="004A4367">
              <w:rPr>
                <w:rStyle w:val="ilfuvd"/>
                <w:rFonts w:eastAsiaTheme="majorEastAsia"/>
                <w:noProof/>
                <w:color w:val="000000" w:themeColor="text1"/>
                <w:sz w:val="18"/>
                <w:szCs w:val="18"/>
              </w:rPr>
              <w:t>3.552</w:t>
            </w:r>
          </w:p>
        </w:tc>
        <w:tc>
          <w:tcPr>
            <w:tcW w:w="100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80" w:type="dxa"/>
              <w:left w:w="80" w:type="dxa"/>
              <w:bottom w:w="80" w:type="dxa"/>
              <w:right w:w="80" w:type="dxa"/>
            </w:tcMar>
          </w:tcPr>
          <w:p w14:paraId="437741AD" w14:textId="77777777" w:rsidR="00625704" w:rsidRPr="004A4367" w:rsidRDefault="00625704" w:rsidP="00C06A68">
            <w:pPr>
              <w:pStyle w:val="Body"/>
              <w:spacing w:before="60" w:after="60" w:line="200" w:lineRule="exact"/>
              <w:jc w:val="right"/>
              <w:rPr>
                <w:rStyle w:val="ilfuvd"/>
                <w:rFonts w:eastAsiaTheme="majorEastAsia"/>
                <w:noProof/>
                <w:sz w:val="18"/>
                <w:szCs w:val="18"/>
              </w:rPr>
            </w:pPr>
            <w:r w:rsidRPr="004A4367">
              <w:rPr>
                <w:rStyle w:val="ilfuvd"/>
                <w:rFonts w:eastAsiaTheme="majorEastAsia"/>
                <w:noProof/>
                <w:color w:val="000000" w:themeColor="text1"/>
                <w:sz w:val="18"/>
                <w:szCs w:val="18"/>
              </w:rPr>
              <w:t>3.552</w:t>
            </w:r>
          </w:p>
        </w:tc>
        <w:tc>
          <w:tcPr>
            <w:tcW w:w="100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80" w:type="dxa"/>
              <w:left w:w="80" w:type="dxa"/>
              <w:bottom w:w="80" w:type="dxa"/>
              <w:right w:w="80" w:type="dxa"/>
            </w:tcMar>
            <w:vAlign w:val="center"/>
          </w:tcPr>
          <w:p w14:paraId="511F6EA0" w14:textId="77777777" w:rsidR="00625704" w:rsidRPr="004A4367" w:rsidRDefault="00625704" w:rsidP="00C06A68">
            <w:pPr>
              <w:spacing w:line="276" w:lineRule="auto"/>
              <w:jc w:val="center"/>
              <w:rPr>
                <w:noProof/>
                <w:color w:val="000000" w:themeColor="text1"/>
                <w:sz w:val="18"/>
                <w:szCs w:val="18"/>
              </w:rPr>
            </w:pPr>
            <w:r w:rsidRPr="004A4367">
              <w:rPr>
                <w:rStyle w:val="ilfuvd"/>
                <w:rFonts w:eastAsiaTheme="majorEastAsia"/>
                <w:noProof/>
                <w:color w:val="000000" w:themeColor="text1"/>
                <w:sz w:val="18"/>
                <w:szCs w:val="18"/>
              </w:rPr>
              <w:t>10.65</w:t>
            </w:r>
            <w:r w:rsidR="00976CA3">
              <w:rPr>
                <w:rStyle w:val="ilfuvd"/>
                <w:rFonts w:eastAsiaTheme="majorEastAsia"/>
                <w:noProof/>
                <w:color w:val="000000" w:themeColor="text1"/>
                <w:sz w:val="18"/>
                <w:szCs w:val="18"/>
              </w:rPr>
              <w:t>6</w:t>
            </w:r>
          </w:p>
        </w:tc>
      </w:tr>
      <w:tr w:rsidR="00625704" w:rsidRPr="004A4367" w14:paraId="7DEC2C1B" w14:textId="77777777" w:rsidTr="00C06A68">
        <w:trPr>
          <w:trHeight w:val="790"/>
        </w:trPr>
        <w:tc>
          <w:tcPr>
            <w:tcW w:w="183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80" w:type="dxa"/>
              <w:left w:w="152" w:type="dxa"/>
              <w:bottom w:w="80" w:type="dxa"/>
              <w:right w:w="80" w:type="dxa"/>
            </w:tcMar>
            <w:vAlign w:val="center"/>
            <w:hideMark/>
          </w:tcPr>
          <w:p w14:paraId="688B2619" w14:textId="77777777" w:rsidR="00625704" w:rsidRPr="004A4367" w:rsidRDefault="00625704" w:rsidP="00C06A68">
            <w:pPr>
              <w:pStyle w:val="Body"/>
              <w:spacing w:before="60" w:after="60" w:line="200" w:lineRule="exact"/>
              <w:ind w:left="72"/>
              <w:jc w:val="left"/>
              <w:rPr>
                <w:noProof/>
                <w:color w:val="000000" w:themeColor="text1"/>
                <w:sz w:val="18"/>
                <w:szCs w:val="18"/>
              </w:rPr>
            </w:pPr>
            <w:r w:rsidRPr="004A4367">
              <w:rPr>
                <w:rStyle w:val="ilfuvd"/>
                <w:rFonts w:eastAsiaTheme="majorEastAsia"/>
                <w:noProof/>
                <w:color w:val="000000" w:themeColor="text1"/>
                <w:sz w:val="18"/>
                <w:szCs w:val="18"/>
              </w:rPr>
              <w:t xml:space="preserve">Other expenditure </w:t>
            </w:r>
            <w:r w:rsidRPr="004A4367">
              <w:rPr>
                <w:rFonts w:eastAsia="Arial Unicode MS"/>
                <w:noProof/>
                <w:color w:val="000000" w:themeColor="text1"/>
                <w:sz w:val="18"/>
                <w:szCs w:val="18"/>
              </w:rPr>
              <w:br/>
            </w:r>
            <w:r w:rsidRPr="004A4367">
              <w:rPr>
                <w:rStyle w:val="ilfuvd"/>
                <w:rFonts w:eastAsiaTheme="majorEastAsia"/>
                <w:noProof/>
                <w:color w:val="000000" w:themeColor="text1"/>
                <w:sz w:val="18"/>
                <w:szCs w:val="18"/>
              </w:rPr>
              <w:t>of an administrative nature (former BA lines)</w:t>
            </w:r>
          </w:p>
        </w:tc>
        <w:tc>
          <w:tcPr>
            <w:tcW w:w="100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80" w:type="dxa"/>
              <w:left w:w="80" w:type="dxa"/>
              <w:bottom w:w="80" w:type="dxa"/>
              <w:right w:w="80" w:type="dxa"/>
            </w:tcMar>
            <w:vAlign w:val="center"/>
          </w:tcPr>
          <w:p w14:paraId="3D416BA4" w14:textId="77777777" w:rsidR="00625704" w:rsidRPr="004A4367" w:rsidRDefault="00625704" w:rsidP="00C06A68">
            <w:pPr>
              <w:pStyle w:val="Body"/>
              <w:spacing w:before="20" w:after="20" w:line="276" w:lineRule="auto"/>
              <w:jc w:val="right"/>
              <w:rPr>
                <w:rStyle w:val="ilfuvd"/>
                <w:rFonts w:eastAsiaTheme="majorEastAsia"/>
                <w:noProof/>
                <w:sz w:val="18"/>
                <w:szCs w:val="18"/>
              </w:rPr>
            </w:pPr>
          </w:p>
        </w:tc>
        <w:tc>
          <w:tcPr>
            <w:tcW w:w="100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80" w:type="dxa"/>
              <w:left w:w="80" w:type="dxa"/>
              <w:bottom w:w="80" w:type="dxa"/>
              <w:right w:w="80" w:type="dxa"/>
            </w:tcMar>
            <w:vAlign w:val="center"/>
          </w:tcPr>
          <w:p w14:paraId="11CB5543" w14:textId="77777777" w:rsidR="00625704" w:rsidRPr="004A4367" w:rsidRDefault="00625704" w:rsidP="00C06A68">
            <w:pPr>
              <w:pStyle w:val="Body"/>
              <w:spacing w:before="20" w:after="20" w:line="276" w:lineRule="auto"/>
              <w:jc w:val="right"/>
              <w:rPr>
                <w:rStyle w:val="ilfuvd"/>
                <w:rFonts w:eastAsiaTheme="majorEastAsia"/>
                <w:noProof/>
                <w:color w:val="000000" w:themeColor="text1"/>
                <w:sz w:val="18"/>
                <w:szCs w:val="18"/>
              </w:rPr>
            </w:pPr>
          </w:p>
        </w:tc>
        <w:tc>
          <w:tcPr>
            <w:tcW w:w="100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80" w:type="dxa"/>
              <w:left w:w="80" w:type="dxa"/>
              <w:bottom w:w="80" w:type="dxa"/>
              <w:right w:w="80" w:type="dxa"/>
            </w:tcMar>
            <w:vAlign w:val="center"/>
          </w:tcPr>
          <w:p w14:paraId="4092A748" w14:textId="77777777" w:rsidR="00625704" w:rsidRPr="004A4367" w:rsidRDefault="00625704" w:rsidP="00C06A68">
            <w:pPr>
              <w:pStyle w:val="Body"/>
              <w:spacing w:before="20" w:after="20" w:line="276" w:lineRule="auto"/>
              <w:jc w:val="center"/>
              <w:rPr>
                <w:rStyle w:val="ilfuvd"/>
                <w:rFonts w:eastAsiaTheme="majorEastAsia"/>
                <w:noProof/>
                <w:color w:val="000000" w:themeColor="text1"/>
                <w:sz w:val="18"/>
                <w:szCs w:val="18"/>
              </w:rPr>
            </w:pPr>
          </w:p>
        </w:tc>
        <w:tc>
          <w:tcPr>
            <w:tcW w:w="100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80" w:type="dxa"/>
              <w:left w:w="80" w:type="dxa"/>
              <w:bottom w:w="80" w:type="dxa"/>
              <w:right w:w="80" w:type="dxa"/>
            </w:tcMar>
            <w:vAlign w:val="center"/>
          </w:tcPr>
          <w:p w14:paraId="55285AFC" w14:textId="77777777" w:rsidR="00625704" w:rsidRPr="004A4367" w:rsidRDefault="00625704" w:rsidP="00C06A68">
            <w:pPr>
              <w:pStyle w:val="Body"/>
              <w:spacing w:before="20" w:after="20" w:line="276" w:lineRule="auto"/>
              <w:jc w:val="center"/>
              <w:rPr>
                <w:rStyle w:val="ilfuvd"/>
                <w:rFonts w:eastAsiaTheme="majorEastAsia"/>
                <w:noProof/>
                <w:color w:val="000000" w:themeColor="text1"/>
                <w:sz w:val="18"/>
                <w:szCs w:val="18"/>
              </w:rPr>
            </w:pPr>
          </w:p>
        </w:tc>
        <w:tc>
          <w:tcPr>
            <w:tcW w:w="100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80" w:type="dxa"/>
              <w:left w:w="80" w:type="dxa"/>
              <w:bottom w:w="80" w:type="dxa"/>
              <w:right w:w="80" w:type="dxa"/>
            </w:tcMar>
            <w:vAlign w:val="center"/>
          </w:tcPr>
          <w:p w14:paraId="0837499F" w14:textId="77777777" w:rsidR="00625704" w:rsidRPr="004A4367" w:rsidRDefault="00625704" w:rsidP="00C06A68">
            <w:pPr>
              <w:pStyle w:val="Body"/>
              <w:spacing w:before="20" w:after="20" w:line="276" w:lineRule="auto"/>
              <w:jc w:val="center"/>
              <w:rPr>
                <w:rStyle w:val="ilfuvd"/>
                <w:rFonts w:eastAsiaTheme="majorEastAsia"/>
                <w:noProof/>
                <w:color w:val="000000" w:themeColor="text1"/>
                <w:sz w:val="18"/>
                <w:szCs w:val="18"/>
              </w:rPr>
            </w:pPr>
          </w:p>
        </w:tc>
        <w:tc>
          <w:tcPr>
            <w:tcW w:w="100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80" w:type="dxa"/>
              <w:left w:w="80" w:type="dxa"/>
              <w:bottom w:w="80" w:type="dxa"/>
              <w:right w:w="80" w:type="dxa"/>
            </w:tcMar>
            <w:vAlign w:val="center"/>
          </w:tcPr>
          <w:p w14:paraId="4C100498" w14:textId="77777777" w:rsidR="00625704" w:rsidRPr="004A4367" w:rsidRDefault="00625704" w:rsidP="00C06A68">
            <w:pPr>
              <w:pStyle w:val="Body"/>
              <w:spacing w:before="20" w:after="20" w:line="276" w:lineRule="auto"/>
              <w:jc w:val="center"/>
              <w:rPr>
                <w:rStyle w:val="ilfuvd"/>
                <w:rFonts w:eastAsiaTheme="majorEastAsia"/>
                <w:noProof/>
                <w:color w:val="000000" w:themeColor="text1"/>
                <w:sz w:val="18"/>
                <w:szCs w:val="18"/>
              </w:rPr>
            </w:pPr>
          </w:p>
        </w:tc>
        <w:tc>
          <w:tcPr>
            <w:tcW w:w="100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80" w:type="dxa"/>
              <w:left w:w="80" w:type="dxa"/>
              <w:bottom w:w="80" w:type="dxa"/>
              <w:right w:w="80" w:type="dxa"/>
            </w:tcMar>
            <w:vAlign w:val="center"/>
          </w:tcPr>
          <w:p w14:paraId="1D8D1F07" w14:textId="77777777" w:rsidR="00625704" w:rsidRPr="004A4367" w:rsidRDefault="00625704" w:rsidP="00C06A68">
            <w:pPr>
              <w:pStyle w:val="Body"/>
              <w:spacing w:before="20" w:after="20" w:line="276" w:lineRule="auto"/>
              <w:jc w:val="center"/>
              <w:rPr>
                <w:rStyle w:val="ilfuvd"/>
                <w:rFonts w:eastAsiaTheme="majorEastAsia"/>
                <w:noProof/>
                <w:color w:val="000000" w:themeColor="text1"/>
                <w:sz w:val="18"/>
                <w:szCs w:val="18"/>
              </w:rPr>
            </w:pPr>
          </w:p>
        </w:tc>
        <w:tc>
          <w:tcPr>
            <w:tcW w:w="100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80" w:type="dxa"/>
              <w:left w:w="80" w:type="dxa"/>
              <w:bottom w:w="80" w:type="dxa"/>
              <w:right w:w="80" w:type="dxa"/>
            </w:tcMar>
            <w:vAlign w:val="center"/>
          </w:tcPr>
          <w:p w14:paraId="49EC00EC" w14:textId="77777777" w:rsidR="00625704" w:rsidRPr="004A4367" w:rsidRDefault="00625704" w:rsidP="00C06A68">
            <w:pPr>
              <w:spacing w:line="276" w:lineRule="auto"/>
              <w:jc w:val="center"/>
              <w:rPr>
                <w:b/>
                <w:noProof/>
                <w:sz w:val="18"/>
                <w:szCs w:val="18"/>
              </w:rPr>
            </w:pPr>
          </w:p>
        </w:tc>
      </w:tr>
      <w:tr w:rsidR="00625704" w:rsidRPr="004A4367" w14:paraId="077D01BB" w14:textId="77777777" w:rsidTr="00C06A68">
        <w:trPr>
          <w:trHeight w:val="790"/>
        </w:trPr>
        <w:tc>
          <w:tcPr>
            <w:tcW w:w="183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CCCCCC"/>
            <w:tcMar>
              <w:top w:w="80" w:type="dxa"/>
              <w:left w:w="80" w:type="dxa"/>
              <w:bottom w:w="80" w:type="dxa"/>
              <w:right w:w="80" w:type="dxa"/>
            </w:tcMar>
            <w:vAlign w:val="center"/>
            <w:hideMark/>
          </w:tcPr>
          <w:p w14:paraId="686507DC" w14:textId="77777777" w:rsidR="00625704" w:rsidRPr="004A4367" w:rsidRDefault="00625704" w:rsidP="00C06A68">
            <w:pPr>
              <w:pStyle w:val="Body"/>
              <w:spacing w:before="60" w:after="60" w:line="200" w:lineRule="exact"/>
              <w:jc w:val="center"/>
              <w:rPr>
                <w:noProof/>
                <w:color w:val="000000" w:themeColor="text1"/>
                <w:sz w:val="18"/>
                <w:szCs w:val="18"/>
              </w:rPr>
            </w:pPr>
            <w:r w:rsidRPr="004A4367">
              <w:rPr>
                <w:rStyle w:val="ilfuvd"/>
                <w:rFonts w:eastAsiaTheme="majorEastAsia"/>
                <w:noProof/>
                <w:color w:val="000000" w:themeColor="text1"/>
                <w:sz w:val="18"/>
                <w:szCs w:val="18"/>
              </w:rPr>
              <w:t xml:space="preserve">Subtotal </w:t>
            </w:r>
            <w:r w:rsidRPr="004A4367">
              <w:rPr>
                <w:rFonts w:eastAsia="Arial Unicode MS"/>
                <w:noProof/>
                <w:color w:val="000000" w:themeColor="text1"/>
                <w:sz w:val="18"/>
                <w:szCs w:val="18"/>
              </w:rPr>
              <w:br/>
            </w:r>
            <w:r w:rsidRPr="004A4367">
              <w:rPr>
                <w:rStyle w:val="ilfuvd"/>
                <w:rFonts w:eastAsiaTheme="majorEastAsia"/>
                <w:noProof/>
                <w:color w:val="000000" w:themeColor="text1"/>
                <w:sz w:val="18"/>
                <w:szCs w:val="18"/>
              </w:rPr>
              <w:t>outside HEADING 7</w:t>
            </w:r>
            <w:r w:rsidRPr="004A4367">
              <w:rPr>
                <w:rFonts w:eastAsia="Arial Unicode MS"/>
                <w:noProof/>
                <w:color w:val="000000" w:themeColor="text1"/>
                <w:sz w:val="18"/>
                <w:szCs w:val="18"/>
              </w:rPr>
              <w:br/>
            </w:r>
            <w:r w:rsidRPr="004A4367">
              <w:rPr>
                <w:rStyle w:val="ilfuvd"/>
                <w:rFonts w:eastAsiaTheme="majorEastAsia"/>
                <w:noProof/>
                <w:color w:val="000000" w:themeColor="text1"/>
                <w:sz w:val="18"/>
                <w:szCs w:val="18"/>
              </w:rPr>
              <w:t xml:space="preserve">of the multiannual financial framework </w:t>
            </w:r>
          </w:p>
        </w:tc>
        <w:tc>
          <w:tcPr>
            <w:tcW w:w="100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80" w:type="dxa"/>
              <w:left w:w="80" w:type="dxa"/>
              <w:bottom w:w="80" w:type="dxa"/>
              <w:right w:w="80" w:type="dxa"/>
            </w:tcMar>
            <w:vAlign w:val="center"/>
          </w:tcPr>
          <w:p w14:paraId="06EB6D19" w14:textId="77777777" w:rsidR="00625704" w:rsidRPr="004A4367" w:rsidRDefault="00625704" w:rsidP="00C06A68">
            <w:pPr>
              <w:spacing w:line="276" w:lineRule="auto"/>
              <w:rPr>
                <w:noProof/>
                <w:color w:val="000000" w:themeColor="text1"/>
                <w:sz w:val="18"/>
                <w:szCs w:val="18"/>
              </w:rPr>
            </w:pPr>
          </w:p>
        </w:tc>
        <w:tc>
          <w:tcPr>
            <w:tcW w:w="100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80" w:type="dxa"/>
              <w:left w:w="80" w:type="dxa"/>
              <w:bottom w:w="80" w:type="dxa"/>
              <w:right w:w="80" w:type="dxa"/>
            </w:tcMar>
            <w:vAlign w:val="center"/>
          </w:tcPr>
          <w:p w14:paraId="10C51A52" w14:textId="77777777" w:rsidR="00625704" w:rsidRPr="004A4367" w:rsidRDefault="00625704" w:rsidP="00C06A68">
            <w:pPr>
              <w:spacing w:line="276" w:lineRule="auto"/>
              <w:rPr>
                <w:noProof/>
                <w:color w:val="000000" w:themeColor="text1"/>
                <w:sz w:val="18"/>
                <w:szCs w:val="18"/>
              </w:rPr>
            </w:pPr>
          </w:p>
        </w:tc>
        <w:tc>
          <w:tcPr>
            <w:tcW w:w="100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80" w:type="dxa"/>
              <w:left w:w="80" w:type="dxa"/>
              <w:bottom w:w="80" w:type="dxa"/>
              <w:right w:w="80" w:type="dxa"/>
            </w:tcMar>
            <w:vAlign w:val="center"/>
          </w:tcPr>
          <w:p w14:paraId="748F8524" w14:textId="77777777" w:rsidR="00625704" w:rsidRPr="004A4367" w:rsidRDefault="00625704" w:rsidP="00C06A68">
            <w:pPr>
              <w:spacing w:line="276" w:lineRule="auto"/>
              <w:jc w:val="center"/>
              <w:rPr>
                <w:noProof/>
                <w:color w:val="000000" w:themeColor="text1"/>
                <w:sz w:val="18"/>
                <w:szCs w:val="18"/>
              </w:rPr>
            </w:pPr>
          </w:p>
        </w:tc>
        <w:tc>
          <w:tcPr>
            <w:tcW w:w="100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80" w:type="dxa"/>
              <w:left w:w="80" w:type="dxa"/>
              <w:bottom w:w="80" w:type="dxa"/>
              <w:right w:w="80" w:type="dxa"/>
            </w:tcMar>
            <w:vAlign w:val="center"/>
          </w:tcPr>
          <w:p w14:paraId="40F3AF9D" w14:textId="77777777" w:rsidR="00625704" w:rsidRPr="004A4367" w:rsidRDefault="00625704" w:rsidP="00C06A68">
            <w:pPr>
              <w:spacing w:line="276" w:lineRule="auto"/>
              <w:jc w:val="center"/>
              <w:rPr>
                <w:noProof/>
                <w:color w:val="000000" w:themeColor="text1"/>
                <w:sz w:val="18"/>
                <w:szCs w:val="18"/>
              </w:rPr>
            </w:pPr>
          </w:p>
        </w:tc>
        <w:tc>
          <w:tcPr>
            <w:tcW w:w="100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80" w:type="dxa"/>
              <w:left w:w="80" w:type="dxa"/>
              <w:bottom w:w="80" w:type="dxa"/>
              <w:right w:w="80" w:type="dxa"/>
            </w:tcMar>
            <w:hideMark/>
          </w:tcPr>
          <w:p w14:paraId="5FA4E57D" w14:textId="77777777" w:rsidR="00625704" w:rsidRPr="004A4367" w:rsidRDefault="00625704" w:rsidP="00C06A68">
            <w:pPr>
              <w:spacing w:line="276" w:lineRule="auto"/>
              <w:jc w:val="center"/>
              <w:rPr>
                <w:noProof/>
                <w:color w:val="000000" w:themeColor="text1"/>
                <w:sz w:val="18"/>
                <w:szCs w:val="18"/>
              </w:rPr>
            </w:pPr>
            <w:r w:rsidRPr="004A4367">
              <w:rPr>
                <w:rStyle w:val="ilfuvd"/>
                <w:rFonts w:eastAsiaTheme="majorEastAsia"/>
                <w:noProof/>
                <w:color w:val="000000" w:themeColor="text1"/>
                <w:sz w:val="18"/>
                <w:szCs w:val="18"/>
              </w:rPr>
              <w:t>3.552</w:t>
            </w:r>
          </w:p>
        </w:tc>
        <w:tc>
          <w:tcPr>
            <w:tcW w:w="100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80" w:type="dxa"/>
              <w:left w:w="80" w:type="dxa"/>
              <w:bottom w:w="80" w:type="dxa"/>
              <w:right w:w="80" w:type="dxa"/>
            </w:tcMar>
            <w:hideMark/>
          </w:tcPr>
          <w:p w14:paraId="5404C2E0" w14:textId="77777777" w:rsidR="00625704" w:rsidRPr="004A4367" w:rsidRDefault="00625704" w:rsidP="00C06A68">
            <w:pPr>
              <w:spacing w:line="276" w:lineRule="auto"/>
              <w:jc w:val="center"/>
              <w:rPr>
                <w:noProof/>
                <w:color w:val="000000" w:themeColor="text1"/>
                <w:sz w:val="18"/>
                <w:szCs w:val="18"/>
              </w:rPr>
            </w:pPr>
            <w:r w:rsidRPr="004A4367">
              <w:rPr>
                <w:rStyle w:val="ilfuvd"/>
                <w:rFonts w:eastAsiaTheme="majorEastAsia"/>
                <w:noProof/>
                <w:color w:val="000000" w:themeColor="text1"/>
                <w:sz w:val="18"/>
                <w:szCs w:val="18"/>
              </w:rPr>
              <w:t>3.552</w:t>
            </w:r>
          </w:p>
        </w:tc>
        <w:tc>
          <w:tcPr>
            <w:tcW w:w="100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80" w:type="dxa"/>
              <w:left w:w="80" w:type="dxa"/>
              <w:bottom w:w="80" w:type="dxa"/>
              <w:right w:w="80" w:type="dxa"/>
            </w:tcMar>
            <w:hideMark/>
          </w:tcPr>
          <w:p w14:paraId="55B4FCBE" w14:textId="77777777" w:rsidR="00625704" w:rsidRPr="004A4367" w:rsidRDefault="00625704" w:rsidP="00C06A68">
            <w:pPr>
              <w:spacing w:line="276" w:lineRule="auto"/>
              <w:jc w:val="center"/>
              <w:rPr>
                <w:noProof/>
                <w:color w:val="000000" w:themeColor="text1"/>
                <w:sz w:val="18"/>
                <w:szCs w:val="18"/>
              </w:rPr>
            </w:pPr>
            <w:r w:rsidRPr="004A4367">
              <w:rPr>
                <w:rStyle w:val="ilfuvd"/>
                <w:rFonts w:eastAsiaTheme="majorEastAsia"/>
                <w:noProof/>
                <w:color w:val="000000" w:themeColor="text1"/>
                <w:sz w:val="18"/>
                <w:szCs w:val="18"/>
              </w:rPr>
              <w:t>3.552</w:t>
            </w:r>
          </w:p>
        </w:tc>
        <w:tc>
          <w:tcPr>
            <w:tcW w:w="100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80" w:type="dxa"/>
              <w:left w:w="80" w:type="dxa"/>
              <w:bottom w:w="80" w:type="dxa"/>
              <w:right w:w="80" w:type="dxa"/>
            </w:tcMar>
            <w:vAlign w:val="center"/>
            <w:hideMark/>
          </w:tcPr>
          <w:p w14:paraId="1B50D80C" w14:textId="77777777" w:rsidR="00625704" w:rsidRPr="004A4367" w:rsidRDefault="00625704" w:rsidP="00C06A68">
            <w:pPr>
              <w:spacing w:line="276" w:lineRule="auto"/>
              <w:jc w:val="center"/>
              <w:rPr>
                <w:noProof/>
                <w:color w:val="000000" w:themeColor="text1"/>
                <w:sz w:val="18"/>
                <w:szCs w:val="18"/>
              </w:rPr>
            </w:pPr>
            <w:r w:rsidRPr="004A4367">
              <w:rPr>
                <w:rStyle w:val="ilfuvd"/>
                <w:rFonts w:eastAsiaTheme="majorEastAsia"/>
                <w:noProof/>
                <w:color w:val="000000" w:themeColor="text1"/>
                <w:sz w:val="18"/>
                <w:szCs w:val="18"/>
              </w:rPr>
              <w:t>10.65</w:t>
            </w:r>
            <w:r w:rsidR="00976CA3">
              <w:rPr>
                <w:rStyle w:val="ilfuvd"/>
                <w:rFonts w:eastAsiaTheme="majorEastAsia"/>
                <w:noProof/>
                <w:color w:val="000000" w:themeColor="text1"/>
                <w:sz w:val="18"/>
                <w:szCs w:val="18"/>
              </w:rPr>
              <w:t>6</w:t>
            </w:r>
          </w:p>
        </w:tc>
      </w:tr>
    </w:tbl>
    <w:p w14:paraId="61B80D57" w14:textId="77777777" w:rsidR="00625704" w:rsidRDefault="00625704" w:rsidP="00625704">
      <w:pPr>
        <w:pStyle w:val="Body"/>
        <w:widowControl w:val="0"/>
        <w:rPr>
          <w:noProof/>
          <w:color w:val="000000" w:themeColor="text1"/>
          <w:sz w:val="16"/>
          <w:szCs w:val="16"/>
        </w:rPr>
      </w:pPr>
    </w:p>
    <w:p w14:paraId="6CE4BB76" w14:textId="77777777" w:rsidR="00625704" w:rsidRPr="003A769F" w:rsidRDefault="00625704" w:rsidP="00625704">
      <w:pPr>
        <w:spacing w:line="200" w:lineRule="exact"/>
        <w:rPr>
          <w:noProof/>
          <w:sz w:val="16"/>
          <w:szCs w:val="16"/>
          <w:lang w:val="en-IE"/>
        </w:rPr>
      </w:pPr>
    </w:p>
    <w:tbl>
      <w:tblPr>
        <w:tblW w:w="10872" w:type="dxa"/>
        <w:tblInd w:w="-612" w:type="dxa"/>
        <w:tblLayout w:type="fixed"/>
        <w:tblLook w:val="01E0" w:firstRow="1" w:lastRow="1" w:firstColumn="1" w:lastColumn="1" w:noHBand="0" w:noVBand="0"/>
      </w:tblPr>
      <w:tblGrid>
        <w:gridCol w:w="1980"/>
        <w:gridCol w:w="602"/>
        <w:gridCol w:w="1559"/>
        <w:gridCol w:w="1080"/>
        <w:gridCol w:w="1331"/>
        <w:gridCol w:w="1080"/>
        <w:gridCol w:w="1080"/>
        <w:gridCol w:w="1080"/>
        <w:gridCol w:w="1080"/>
      </w:tblGrid>
      <w:tr w:rsidR="006F7BFA" w14:paraId="50EDEC57" w14:textId="77777777" w:rsidTr="00FA026A">
        <w:trPr>
          <w:trHeight w:val="585"/>
        </w:trPr>
        <w:tc>
          <w:tcPr>
            <w:tcW w:w="1980" w:type="dxa"/>
            <w:tcBorders>
              <w:top w:val="single" w:sz="12" w:space="0" w:color="auto"/>
              <w:left w:val="single" w:sz="12" w:space="0" w:color="auto"/>
              <w:bottom w:val="single" w:sz="12" w:space="0" w:color="auto"/>
              <w:right w:val="single" w:sz="2" w:space="0" w:color="auto"/>
            </w:tcBorders>
            <w:vAlign w:val="center"/>
          </w:tcPr>
          <w:p w14:paraId="1DF89D8C" w14:textId="77777777" w:rsidR="00625704" w:rsidRDefault="00625704" w:rsidP="00C06A68">
            <w:pPr>
              <w:spacing w:before="60" w:after="60" w:line="200" w:lineRule="exact"/>
              <w:jc w:val="center"/>
              <w:rPr>
                <w:noProof/>
                <w:sz w:val="16"/>
                <w:szCs w:val="16"/>
              </w:rPr>
            </w:pPr>
            <w:r>
              <w:rPr>
                <w:b/>
                <w:noProof/>
                <w:sz w:val="16"/>
              </w:rPr>
              <w:t>TOTAL</w:t>
            </w:r>
          </w:p>
        </w:tc>
        <w:tc>
          <w:tcPr>
            <w:tcW w:w="602" w:type="dxa"/>
            <w:tcBorders>
              <w:top w:val="single" w:sz="12" w:space="0" w:color="auto"/>
              <w:left w:val="single" w:sz="2" w:space="0" w:color="auto"/>
              <w:bottom w:val="single" w:sz="12" w:space="0" w:color="auto"/>
              <w:right w:val="single" w:sz="2" w:space="0" w:color="auto"/>
            </w:tcBorders>
            <w:vAlign w:val="center"/>
          </w:tcPr>
          <w:p w14:paraId="65C0CB1D" w14:textId="77777777" w:rsidR="00625704" w:rsidRDefault="00625704" w:rsidP="00C06A68">
            <w:pPr>
              <w:spacing w:before="60" w:after="60" w:line="200" w:lineRule="exact"/>
              <w:jc w:val="right"/>
              <w:rPr>
                <w:b/>
                <w:noProof/>
                <w:sz w:val="16"/>
                <w:szCs w:val="16"/>
              </w:rPr>
            </w:pPr>
          </w:p>
        </w:tc>
        <w:tc>
          <w:tcPr>
            <w:tcW w:w="1559" w:type="dxa"/>
            <w:tcBorders>
              <w:top w:val="single" w:sz="12" w:space="0" w:color="auto"/>
              <w:left w:val="single" w:sz="2" w:space="0" w:color="auto"/>
              <w:bottom w:val="single" w:sz="12" w:space="0" w:color="auto"/>
              <w:right w:val="single" w:sz="2" w:space="0" w:color="auto"/>
            </w:tcBorders>
            <w:vAlign w:val="center"/>
          </w:tcPr>
          <w:p w14:paraId="303D0DC6" w14:textId="77777777" w:rsidR="00625704" w:rsidRDefault="00625704" w:rsidP="00C06A68">
            <w:pPr>
              <w:spacing w:before="60" w:after="60" w:line="200" w:lineRule="exact"/>
              <w:jc w:val="right"/>
              <w:rPr>
                <w:b/>
                <w:noProof/>
                <w:sz w:val="16"/>
                <w:szCs w:val="16"/>
              </w:rPr>
            </w:pPr>
          </w:p>
        </w:tc>
        <w:tc>
          <w:tcPr>
            <w:tcW w:w="1080" w:type="dxa"/>
            <w:tcBorders>
              <w:top w:val="single" w:sz="12" w:space="0" w:color="auto"/>
              <w:left w:val="single" w:sz="2" w:space="0" w:color="auto"/>
              <w:bottom w:val="single" w:sz="12" w:space="0" w:color="auto"/>
              <w:right w:val="single" w:sz="2" w:space="0" w:color="auto"/>
            </w:tcBorders>
            <w:vAlign w:val="center"/>
          </w:tcPr>
          <w:p w14:paraId="31463089" w14:textId="77777777" w:rsidR="00625704" w:rsidRDefault="00625704" w:rsidP="00C06A68">
            <w:pPr>
              <w:spacing w:before="60" w:after="60" w:line="200" w:lineRule="exact"/>
              <w:jc w:val="right"/>
              <w:rPr>
                <w:b/>
                <w:noProof/>
                <w:sz w:val="16"/>
                <w:szCs w:val="16"/>
              </w:rPr>
            </w:pPr>
          </w:p>
        </w:tc>
        <w:tc>
          <w:tcPr>
            <w:tcW w:w="1331" w:type="dxa"/>
            <w:tcBorders>
              <w:top w:val="single" w:sz="12" w:space="0" w:color="auto"/>
              <w:left w:val="single" w:sz="2" w:space="0" w:color="auto"/>
              <w:bottom w:val="single" w:sz="12" w:space="0" w:color="auto"/>
              <w:right w:val="single" w:sz="2" w:space="0" w:color="auto"/>
            </w:tcBorders>
            <w:vAlign w:val="center"/>
          </w:tcPr>
          <w:p w14:paraId="6CC0B5CF" w14:textId="77777777" w:rsidR="00625704" w:rsidRDefault="00625704" w:rsidP="00C06A68">
            <w:pPr>
              <w:spacing w:before="60" w:after="60" w:line="200" w:lineRule="exact"/>
              <w:jc w:val="right"/>
              <w:rPr>
                <w:b/>
                <w:noProof/>
                <w:sz w:val="16"/>
                <w:szCs w:val="16"/>
              </w:rPr>
            </w:pPr>
          </w:p>
        </w:tc>
        <w:tc>
          <w:tcPr>
            <w:tcW w:w="1080" w:type="dxa"/>
            <w:tcBorders>
              <w:top w:val="single" w:sz="12" w:space="0" w:color="auto"/>
              <w:left w:val="single" w:sz="2" w:space="0" w:color="auto"/>
              <w:bottom w:val="single" w:sz="12" w:space="0" w:color="auto"/>
              <w:right w:val="single" w:sz="2" w:space="0" w:color="auto"/>
            </w:tcBorders>
            <w:vAlign w:val="center"/>
          </w:tcPr>
          <w:p w14:paraId="380BAF53" w14:textId="77777777" w:rsidR="00625704" w:rsidRDefault="00625704" w:rsidP="00C06A68">
            <w:pPr>
              <w:spacing w:before="60" w:after="60" w:line="200" w:lineRule="exact"/>
              <w:jc w:val="right"/>
              <w:rPr>
                <w:b/>
                <w:noProof/>
                <w:sz w:val="16"/>
                <w:szCs w:val="16"/>
              </w:rPr>
            </w:pPr>
            <w:r>
              <w:rPr>
                <w:b/>
                <w:noProof/>
                <w:sz w:val="16"/>
                <w:szCs w:val="16"/>
              </w:rPr>
              <w:t>7.5</w:t>
            </w:r>
            <w:r w:rsidR="008347D0">
              <w:rPr>
                <w:b/>
                <w:noProof/>
                <w:sz w:val="16"/>
                <w:szCs w:val="16"/>
              </w:rPr>
              <w:t>22</w:t>
            </w:r>
          </w:p>
        </w:tc>
        <w:tc>
          <w:tcPr>
            <w:tcW w:w="1080" w:type="dxa"/>
            <w:tcBorders>
              <w:top w:val="single" w:sz="12" w:space="0" w:color="auto"/>
              <w:left w:val="single" w:sz="2" w:space="0" w:color="auto"/>
              <w:bottom w:val="single" w:sz="12" w:space="0" w:color="auto"/>
              <w:right w:val="single" w:sz="2" w:space="0" w:color="auto"/>
            </w:tcBorders>
            <w:vAlign w:val="center"/>
          </w:tcPr>
          <w:p w14:paraId="3351D700" w14:textId="77777777" w:rsidR="00625704" w:rsidRDefault="00625704" w:rsidP="00C06A68">
            <w:pPr>
              <w:spacing w:before="60" w:after="60" w:line="200" w:lineRule="exact"/>
              <w:jc w:val="right"/>
              <w:rPr>
                <w:b/>
                <w:noProof/>
                <w:sz w:val="16"/>
                <w:szCs w:val="16"/>
              </w:rPr>
            </w:pPr>
            <w:r>
              <w:rPr>
                <w:b/>
                <w:noProof/>
                <w:sz w:val="16"/>
                <w:szCs w:val="16"/>
              </w:rPr>
              <w:t>7.5</w:t>
            </w:r>
            <w:r w:rsidR="008347D0">
              <w:rPr>
                <w:b/>
                <w:noProof/>
                <w:sz w:val="16"/>
                <w:szCs w:val="16"/>
              </w:rPr>
              <w:t>22</w:t>
            </w:r>
          </w:p>
        </w:tc>
        <w:tc>
          <w:tcPr>
            <w:tcW w:w="1080" w:type="dxa"/>
            <w:tcBorders>
              <w:top w:val="single" w:sz="12" w:space="0" w:color="auto"/>
              <w:left w:val="single" w:sz="2" w:space="0" w:color="auto"/>
              <w:bottom w:val="single" w:sz="12" w:space="0" w:color="auto"/>
              <w:right w:val="single" w:sz="2" w:space="0" w:color="auto"/>
            </w:tcBorders>
            <w:vAlign w:val="center"/>
          </w:tcPr>
          <w:p w14:paraId="65B1D84A" w14:textId="77777777" w:rsidR="00625704" w:rsidRDefault="00625704" w:rsidP="00C06A68">
            <w:pPr>
              <w:spacing w:before="60" w:after="60" w:line="200" w:lineRule="exact"/>
              <w:jc w:val="right"/>
              <w:rPr>
                <w:b/>
                <w:noProof/>
                <w:sz w:val="16"/>
                <w:szCs w:val="16"/>
              </w:rPr>
            </w:pPr>
            <w:r>
              <w:rPr>
                <w:b/>
                <w:noProof/>
                <w:sz w:val="16"/>
                <w:szCs w:val="16"/>
              </w:rPr>
              <w:t>7.39</w:t>
            </w:r>
            <w:r w:rsidR="008347D0">
              <w:rPr>
                <w:b/>
                <w:noProof/>
                <w:sz w:val="16"/>
                <w:szCs w:val="16"/>
              </w:rPr>
              <w:t>5</w:t>
            </w:r>
          </w:p>
        </w:tc>
        <w:tc>
          <w:tcPr>
            <w:tcW w:w="1080" w:type="dxa"/>
            <w:tcBorders>
              <w:top w:val="single" w:sz="12" w:space="0" w:color="auto"/>
              <w:left w:val="single" w:sz="2" w:space="0" w:color="auto"/>
              <w:bottom w:val="single" w:sz="12" w:space="0" w:color="auto"/>
              <w:right w:val="single" w:sz="12" w:space="0" w:color="auto"/>
            </w:tcBorders>
            <w:vAlign w:val="center"/>
          </w:tcPr>
          <w:p w14:paraId="72C37F0C" w14:textId="77777777" w:rsidR="00625704" w:rsidRDefault="00625704" w:rsidP="00C06A68">
            <w:pPr>
              <w:spacing w:before="60" w:after="60" w:line="200" w:lineRule="exact"/>
              <w:jc w:val="right"/>
              <w:rPr>
                <w:b/>
                <w:noProof/>
                <w:sz w:val="16"/>
                <w:szCs w:val="16"/>
              </w:rPr>
            </w:pPr>
            <w:r>
              <w:rPr>
                <w:b/>
                <w:noProof/>
                <w:sz w:val="16"/>
                <w:szCs w:val="16"/>
              </w:rPr>
              <w:t>22.4</w:t>
            </w:r>
            <w:r w:rsidR="008347D0">
              <w:rPr>
                <w:b/>
                <w:noProof/>
                <w:sz w:val="16"/>
                <w:szCs w:val="16"/>
              </w:rPr>
              <w:t>39</w:t>
            </w:r>
          </w:p>
        </w:tc>
      </w:tr>
    </w:tbl>
    <w:p w14:paraId="52909E8B" w14:textId="77777777" w:rsidR="00625704" w:rsidRPr="003A769F" w:rsidRDefault="00625704" w:rsidP="00625704">
      <w:pPr>
        <w:rPr>
          <w:noProof/>
          <w:sz w:val="18"/>
          <w:lang w:val="en-IE"/>
        </w:rPr>
      </w:pPr>
      <w:r w:rsidRPr="00A80D98">
        <w:rPr>
          <w:noProof/>
          <w:sz w:val="18"/>
          <w:lang w:val="en-IE"/>
        </w:rPr>
        <w:t>The appropriations required for human resources and other expenditure of an administrative nature will be met by appropriations from the DG that are already assigned to management of the action and/or have been redeployed within the DG, together if necessary with any additional allocation which may be granted to the managing DG under the annual allocation procedure and in the light of budgetary constraints.</w:t>
      </w:r>
    </w:p>
    <w:p w14:paraId="111F2BA4" w14:textId="77777777" w:rsidR="00625704" w:rsidRPr="003A769F" w:rsidRDefault="00625704" w:rsidP="00625704">
      <w:pPr>
        <w:rPr>
          <w:noProof/>
          <w:sz w:val="18"/>
          <w:lang w:val="en-IE"/>
        </w:rPr>
        <w:sectPr w:rsidR="00625704" w:rsidRPr="003A769F" w:rsidSect="00E82958">
          <w:headerReference w:type="default" r:id="rId22"/>
          <w:footerReference w:type="default" r:id="rId23"/>
          <w:pgSz w:w="11907" w:h="16840"/>
          <w:pgMar w:top="1134" w:right="1418" w:bottom="1134" w:left="1418" w:header="709" w:footer="709" w:gutter="0"/>
          <w:cols w:space="708"/>
          <w:docGrid w:linePitch="360"/>
        </w:sectPr>
      </w:pPr>
    </w:p>
    <w:p w14:paraId="73D9F0B1" w14:textId="77777777" w:rsidR="00625704" w:rsidRDefault="00625704" w:rsidP="00625704">
      <w:pPr>
        <w:pStyle w:val="ManualHeading4"/>
        <w:rPr>
          <w:bCs/>
          <w:noProof/>
          <w:szCs w:val="24"/>
        </w:rPr>
      </w:pPr>
      <w:bookmarkStart w:id="71" w:name="_Toc82C9CE6E4E1F470F8F09B4938A67F539"/>
      <w:r w:rsidRPr="0021790A">
        <w:rPr>
          <w:noProof/>
        </w:rPr>
        <w:t>3.2.3.1.</w:t>
      </w:r>
      <w:r w:rsidRPr="0021790A">
        <w:rPr>
          <w:noProof/>
        </w:rPr>
        <w:tab/>
      </w:r>
      <w:r>
        <w:rPr>
          <w:noProof/>
        </w:rPr>
        <w:t xml:space="preserve">Estimated requirements of human resources </w:t>
      </w:r>
      <w:bookmarkEnd w:id="71"/>
    </w:p>
    <w:p w14:paraId="0AF3A666" w14:textId="77777777" w:rsidR="00625704" w:rsidRDefault="00625704" w:rsidP="00625704">
      <w:pPr>
        <w:pStyle w:val="ListDash1"/>
        <w:rPr>
          <w:noProof/>
        </w:rPr>
      </w:pPr>
      <w:r>
        <w:rPr>
          <w:rFonts w:ascii="Wingdings" w:eastAsia="Wingdings" w:hAnsi="Wingdings" w:cs="Wingdings"/>
          <w:noProof/>
        </w:rPr>
        <w:t></w:t>
      </w:r>
      <w:r>
        <w:rPr>
          <w:noProof/>
        </w:rPr>
        <w:tab/>
        <w:t xml:space="preserve">The proposal/initiative does not require the use of human resources. </w:t>
      </w:r>
    </w:p>
    <w:p w14:paraId="40434057" w14:textId="77777777" w:rsidR="00625704" w:rsidRDefault="00625704" w:rsidP="00625704">
      <w:pPr>
        <w:pStyle w:val="ListDash1"/>
        <w:rPr>
          <w:noProof/>
        </w:rPr>
      </w:pPr>
      <w:r>
        <w:rPr>
          <w:rFonts w:ascii="Wingdings" w:eastAsia="Wingdings" w:hAnsi="Wingdings" w:cs="Wingdings"/>
          <w:noProof/>
          <w:color w:val="000000" w:themeColor="text1"/>
        </w:rPr>
        <w:sym w:font="Wingdings" w:char="F0FE"/>
      </w:r>
      <w:r>
        <w:rPr>
          <w:noProof/>
        </w:rPr>
        <w:tab/>
        <w:t>The proposal/initiative requires the use of human resources, as explained below:</w:t>
      </w:r>
    </w:p>
    <w:p w14:paraId="6F0826AA" w14:textId="77777777" w:rsidR="00625704" w:rsidRPr="003A769F" w:rsidRDefault="00625704" w:rsidP="00625704">
      <w:pPr>
        <w:spacing w:after="60"/>
        <w:jc w:val="right"/>
        <w:rPr>
          <w:i/>
          <w:noProof/>
          <w:sz w:val="20"/>
          <w:lang w:val="en-IE"/>
        </w:rPr>
      </w:pPr>
      <w:r w:rsidRPr="003A769F">
        <w:rPr>
          <w:i/>
          <w:noProof/>
          <w:sz w:val="20"/>
          <w:lang w:val="en-IE"/>
        </w:rPr>
        <w:t>Estimate to be expressed in full time equivalent units</w:t>
      </w:r>
    </w:p>
    <w:tbl>
      <w:tblPr>
        <w:tblW w:w="988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5"/>
        <w:gridCol w:w="2376"/>
        <w:gridCol w:w="2378"/>
        <w:gridCol w:w="731"/>
        <w:gridCol w:w="731"/>
        <w:gridCol w:w="731"/>
        <w:gridCol w:w="731"/>
        <w:gridCol w:w="731"/>
        <w:gridCol w:w="731"/>
        <w:gridCol w:w="731"/>
      </w:tblGrid>
      <w:tr w:rsidR="00625704" w:rsidRPr="003A769F" w14:paraId="45DCDC1E" w14:textId="77777777" w:rsidTr="00C06A68">
        <w:trPr>
          <w:gridBefore w:val="1"/>
          <w:wBefore w:w="15" w:type="dxa"/>
          <w:trHeight w:val="289"/>
          <w:jc w:val="center"/>
        </w:trPr>
        <w:tc>
          <w:tcPr>
            <w:tcW w:w="4754" w:type="dxa"/>
            <w:gridSpan w:val="2"/>
            <w:shd w:val="clear" w:color="auto" w:fill="auto"/>
          </w:tcPr>
          <w:p w14:paraId="26C03887" w14:textId="77777777" w:rsidR="00625704" w:rsidRDefault="00625704" w:rsidP="00C06A68">
            <w:pPr>
              <w:pStyle w:val="Text1"/>
              <w:spacing w:before="40" w:after="40"/>
              <w:ind w:left="0"/>
              <w:jc w:val="center"/>
              <w:rPr>
                <w:i/>
                <w:noProof/>
                <w:sz w:val="16"/>
                <w:szCs w:val="16"/>
              </w:rPr>
            </w:pPr>
          </w:p>
        </w:tc>
        <w:tc>
          <w:tcPr>
            <w:tcW w:w="731" w:type="dxa"/>
            <w:shd w:val="clear" w:color="auto" w:fill="auto"/>
            <w:vAlign w:val="center"/>
          </w:tcPr>
          <w:p w14:paraId="374554C2" w14:textId="77777777" w:rsidR="00625704" w:rsidRDefault="00625704" w:rsidP="00C06A68">
            <w:pPr>
              <w:spacing w:before="20" w:after="20"/>
              <w:jc w:val="center"/>
              <w:rPr>
                <w:noProof/>
                <w:sz w:val="16"/>
                <w:szCs w:val="16"/>
              </w:rPr>
            </w:pPr>
            <w:r>
              <w:rPr>
                <w:noProof/>
                <w:sz w:val="16"/>
              </w:rPr>
              <w:t>Year</w:t>
            </w:r>
            <w:r>
              <w:rPr>
                <w:noProof/>
                <w:sz w:val="22"/>
              </w:rPr>
              <w:br/>
            </w:r>
            <w:r>
              <w:rPr>
                <w:b/>
                <w:noProof/>
                <w:sz w:val="16"/>
              </w:rPr>
              <w:t>2025</w:t>
            </w:r>
          </w:p>
        </w:tc>
        <w:tc>
          <w:tcPr>
            <w:tcW w:w="731" w:type="dxa"/>
            <w:shd w:val="clear" w:color="auto" w:fill="auto"/>
            <w:vAlign w:val="center"/>
          </w:tcPr>
          <w:p w14:paraId="79D1556A" w14:textId="77777777" w:rsidR="00625704" w:rsidRDefault="00625704" w:rsidP="00C06A68">
            <w:pPr>
              <w:spacing w:before="20" w:after="20"/>
              <w:jc w:val="center"/>
              <w:rPr>
                <w:noProof/>
                <w:sz w:val="16"/>
                <w:szCs w:val="16"/>
              </w:rPr>
            </w:pPr>
            <w:r>
              <w:rPr>
                <w:noProof/>
                <w:sz w:val="16"/>
              </w:rPr>
              <w:t>Year</w:t>
            </w:r>
            <w:r>
              <w:rPr>
                <w:noProof/>
                <w:sz w:val="22"/>
              </w:rPr>
              <w:br/>
            </w:r>
            <w:r>
              <w:rPr>
                <w:b/>
                <w:noProof/>
                <w:sz w:val="16"/>
              </w:rPr>
              <w:t>2026</w:t>
            </w:r>
          </w:p>
        </w:tc>
        <w:tc>
          <w:tcPr>
            <w:tcW w:w="731" w:type="dxa"/>
            <w:shd w:val="clear" w:color="auto" w:fill="auto"/>
            <w:vAlign w:val="center"/>
          </w:tcPr>
          <w:p w14:paraId="6EC6B386" w14:textId="77777777" w:rsidR="00625704" w:rsidRDefault="00625704" w:rsidP="00C06A68">
            <w:pPr>
              <w:spacing w:before="20" w:after="20"/>
              <w:jc w:val="center"/>
              <w:rPr>
                <w:noProof/>
                <w:sz w:val="16"/>
                <w:szCs w:val="16"/>
              </w:rPr>
            </w:pPr>
            <w:r>
              <w:rPr>
                <w:noProof/>
                <w:sz w:val="16"/>
                <w:szCs w:val="16"/>
              </w:rPr>
              <w:t xml:space="preserve">Year </w:t>
            </w:r>
            <w:r>
              <w:rPr>
                <w:b/>
                <w:noProof/>
                <w:sz w:val="16"/>
                <w:szCs w:val="16"/>
              </w:rPr>
              <w:t>2027</w:t>
            </w:r>
          </w:p>
        </w:tc>
        <w:tc>
          <w:tcPr>
            <w:tcW w:w="731" w:type="dxa"/>
            <w:shd w:val="clear" w:color="auto" w:fill="auto"/>
            <w:vAlign w:val="center"/>
          </w:tcPr>
          <w:p w14:paraId="57E20ACC" w14:textId="77777777" w:rsidR="00625704" w:rsidRDefault="00625704" w:rsidP="00C06A68">
            <w:pPr>
              <w:spacing w:before="20" w:after="20"/>
              <w:jc w:val="center"/>
              <w:rPr>
                <w:noProof/>
                <w:sz w:val="16"/>
                <w:szCs w:val="16"/>
              </w:rPr>
            </w:pPr>
            <w:r>
              <w:rPr>
                <w:noProof/>
                <w:sz w:val="16"/>
                <w:szCs w:val="16"/>
              </w:rPr>
              <w:t xml:space="preserve">Year </w:t>
            </w:r>
            <w:r>
              <w:rPr>
                <w:b/>
                <w:noProof/>
                <w:sz w:val="16"/>
                <w:szCs w:val="16"/>
              </w:rPr>
              <w:t>N+3</w:t>
            </w:r>
          </w:p>
        </w:tc>
        <w:tc>
          <w:tcPr>
            <w:tcW w:w="2193" w:type="dxa"/>
            <w:gridSpan w:val="3"/>
            <w:shd w:val="clear" w:color="auto" w:fill="auto"/>
            <w:vAlign w:val="center"/>
          </w:tcPr>
          <w:p w14:paraId="15C51C56" w14:textId="77777777" w:rsidR="00625704" w:rsidRPr="003A769F" w:rsidRDefault="00625704" w:rsidP="00C06A68">
            <w:pPr>
              <w:jc w:val="center"/>
              <w:rPr>
                <w:b/>
                <w:noProof/>
                <w:sz w:val="16"/>
                <w:szCs w:val="16"/>
                <w:lang w:val="en-IE"/>
              </w:rPr>
            </w:pPr>
            <w:r w:rsidRPr="003A769F">
              <w:rPr>
                <w:noProof/>
                <w:sz w:val="16"/>
                <w:lang w:val="en-IE"/>
              </w:rPr>
              <w:t>Enter as many years as necessary to show the duration of the impact (see point 1.6)</w:t>
            </w:r>
          </w:p>
        </w:tc>
      </w:tr>
      <w:tr w:rsidR="00625704" w:rsidRPr="003A769F" w14:paraId="12718048" w14:textId="77777777" w:rsidTr="00C06A68">
        <w:trPr>
          <w:gridBefore w:val="1"/>
          <w:wBefore w:w="15" w:type="dxa"/>
          <w:trHeight w:val="289"/>
          <w:jc w:val="center"/>
        </w:trPr>
        <w:tc>
          <w:tcPr>
            <w:tcW w:w="9871" w:type="dxa"/>
            <w:gridSpan w:val="9"/>
            <w:shd w:val="clear" w:color="auto" w:fill="auto"/>
          </w:tcPr>
          <w:p w14:paraId="44F552AD" w14:textId="77777777" w:rsidR="00625704" w:rsidRPr="003A769F" w:rsidRDefault="00625704" w:rsidP="00C06A68">
            <w:pPr>
              <w:jc w:val="left"/>
              <w:rPr>
                <w:noProof/>
                <w:sz w:val="16"/>
                <w:szCs w:val="16"/>
                <w:lang w:val="en-IE"/>
              </w:rPr>
            </w:pPr>
            <w:r>
              <w:rPr>
                <w:rFonts w:ascii="Wingdings" w:eastAsia="Wingdings" w:hAnsi="Wingdings" w:cs="Wingdings"/>
                <w:b/>
                <w:noProof/>
                <w:sz w:val="16"/>
              </w:rPr>
              <w:t>□</w:t>
            </w:r>
            <w:r w:rsidRPr="003A769F">
              <w:rPr>
                <w:b/>
                <w:noProof/>
                <w:sz w:val="16"/>
                <w:lang w:val="en-IE"/>
              </w:rPr>
              <w:t xml:space="preserve"> Establishment plan posts (officials and temporary staff)</w:t>
            </w:r>
          </w:p>
        </w:tc>
      </w:tr>
      <w:tr w:rsidR="00625704" w:rsidRPr="003A769F" w14:paraId="388F6248" w14:textId="77777777" w:rsidTr="00C06A68">
        <w:trPr>
          <w:gridBefore w:val="1"/>
          <w:wBefore w:w="15" w:type="dxa"/>
          <w:trHeight w:val="289"/>
          <w:jc w:val="center"/>
        </w:trPr>
        <w:tc>
          <w:tcPr>
            <w:tcW w:w="4754" w:type="dxa"/>
            <w:gridSpan w:val="2"/>
            <w:shd w:val="clear" w:color="auto" w:fill="auto"/>
            <w:vAlign w:val="center"/>
          </w:tcPr>
          <w:p w14:paraId="2752FDEF" w14:textId="77777777" w:rsidR="00625704" w:rsidRPr="00DB369B" w:rsidRDefault="00625704" w:rsidP="00C06A68">
            <w:pPr>
              <w:pStyle w:val="Text1"/>
              <w:spacing w:beforeLines="20" w:before="48" w:afterLines="20" w:after="48"/>
              <w:ind w:left="134"/>
              <w:jc w:val="left"/>
              <w:rPr>
                <w:b/>
                <w:noProof/>
                <w:sz w:val="16"/>
                <w:szCs w:val="16"/>
              </w:rPr>
            </w:pPr>
            <w:r w:rsidRPr="00401F20">
              <w:rPr>
                <w:noProof/>
                <w:sz w:val="16"/>
              </w:rPr>
              <w:t>20 01 02 01</w:t>
            </w:r>
            <w:r w:rsidRPr="00DB369B">
              <w:rPr>
                <w:rFonts w:ascii="Arial Narrow" w:hAnsi="Arial Narrow"/>
                <w:noProof/>
                <w:color w:val="000000"/>
                <w:sz w:val="20"/>
                <w:szCs w:val="20"/>
              </w:rPr>
              <w:t xml:space="preserve"> </w:t>
            </w:r>
            <w:r w:rsidRPr="00DB369B">
              <w:rPr>
                <w:noProof/>
                <w:sz w:val="16"/>
              </w:rPr>
              <w:t>(Headquarters and Commission’s Representation Offices)</w:t>
            </w:r>
          </w:p>
        </w:tc>
        <w:tc>
          <w:tcPr>
            <w:tcW w:w="731" w:type="dxa"/>
            <w:shd w:val="clear" w:color="auto" w:fill="auto"/>
            <w:vAlign w:val="center"/>
          </w:tcPr>
          <w:p w14:paraId="35E48102" w14:textId="77777777" w:rsidR="00625704" w:rsidRPr="003A769F" w:rsidRDefault="00625704" w:rsidP="00C06A68">
            <w:pPr>
              <w:spacing w:beforeLines="20" w:before="48" w:afterLines="20" w:after="48"/>
              <w:jc w:val="center"/>
              <w:rPr>
                <w:noProof/>
                <w:sz w:val="16"/>
                <w:szCs w:val="16"/>
                <w:lang w:val="en-IE"/>
              </w:rPr>
            </w:pPr>
            <w:r>
              <w:rPr>
                <w:noProof/>
                <w:sz w:val="16"/>
                <w:szCs w:val="16"/>
                <w:lang w:val="en-IE"/>
              </w:rPr>
              <w:t>19</w:t>
            </w:r>
          </w:p>
        </w:tc>
        <w:tc>
          <w:tcPr>
            <w:tcW w:w="731" w:type="dxa"/>
            <w:shd w:val="clear" w:color="auto" w:fill="auto"/>
            <w:vAlign w:val="center"/>
          </w:tcPr>
          <w:p w14:paraId="1A35F2A2" w14:textId="77777777" w:rsidR="00625704" w:rsidRPr="003A769F" w:rsidRDefault="00625704" w:rsidP="00C06A68">
            <w:pPr>
              <w:spacing w:beforeLines="20" w:before="48" w:afterLines="20" w:after="48"/>
              <w:jc w:val="center"/>
              <w:rPr>
                <w:noProof/>
                <w:sz w:val="16"/>
                <w:szCs w:val="16"/>
                <w:lang w:val="en-IE"/>
              </w:rPr>
            </w:pPr>
            <w:r>
              <w:rPr>
                <w:noProof/>
                <w:sz w:val="16"/>
                <w:szCs w:val="16"/>
                <w:lang w:val="en-IE"/>
              </w:rPr>
              <w:t>19</w:t>
            </w:r>
          </w:p>
        </w:tc>
        <w:tc>
          <w:tcPr>
            <w:tcW w:w="731" w:type="dxa"/>
            <w:shd w:val="clear" w:color="auto" w:fill="auto"/>
            <w:vAlign w:val="center"/>
          </w:tcPr>
          <w:p w14:paraId="22AA0094" w14:textId="77777777" w:rsidR="00625704" w:rsidRPr="003A769F" w:rsidRDefault="00625704" w:rsidP="00C06A68">
            <w:pPr>
              <w:spacing w:beforeLines="20" w:before="48" w:afterLines="20" w:after="48"/>
              <w:jc w:val="center"/>
              <w:rPr>
                <w:noProof/>
                <w:sz w:val="16"/>
                <w:szCs w:val="16"/>
                <w:lang w:val="en-IE"/>
              </w:rPr>
            </w:pPr>
            <w:r>
              <w:rPr>
                <w:noProof/>
                <w:sz w:val="16"/>
                <w:szCs w:val="16"/>
                <w:lang w:val="en-IE"/>
              </w:rPr>
              <w:t>19</w:t>
            </w:r>
          </w:p>
        </w:tc>
        <w:tc>
          <w:tcPr>
            <w:tcW w:w="731" w:type="dxa"/>
            <w:shd w:val="clear" w:color="auto" w:fill="auto"/>
            <w:vAlign w:val="center"/>
          </w:tcPr>
          <w:p w14:paraId="6EE4EB6E" w14:textId="77777777" w:rsidR="00625704" w:rsidRPr="003A769F" w:rsidRDefault="00625704" w:rsidP="00C06A68">
            <w:pPr>
              <w:spacing w:beforeLines="20" w:before="48" w:afterLines="20" w:after="48"/>
              <w:jc w:val="center"/>
              <w:rPr>
                <w:noProof/>
                <w:sz w:val="16"/>
                <w:szCs w:val="16"/>
                <w:lang w:val="en-IE"/>
              </w:rPr>
            </w:pPr>
          </w:p>
        </w:tc>
        <w:tc>
          <w:tcPr>
            <w:tcW w:w="731" w:type="dxa"/>
            <w:shd w:val="clear" w:color="auto" w:fill="auto"/>
            <w:vAlign w:val="center"/>
          </w:tcPr>
          <w:p w14:paraId="5F28C79B" w14:textId="77777777" w:rsidR="00625704" w:rsidRPr="003A769F" w:rsidRDefault="00625704" w:rsidP="00C06A68">
            <w:pPr>
              <w:spacing w:beforeLines="20" w:before="48" w:afterLines="20" w:after="48"/>
              <w:jc w:val="center"/>
              <w:rPr>
                <w:noProof/>
                <w:sz w:val="16"/>
                <w:szCs w:val="16"/>
                <w:lang w:val="en-IE"/>
              </w:rPr>
            </w:pPr>
          </w:p>
        </w:tc>
        <w:tc>
          <w:tcPr>
            <w:tcW w:w="731" w:type="dxa"/>
            <w:shd w:val="clear" w:color="auto" w:fill="auto"/>
            <w:vAlign w:val="center"/>
          </w:tcPr>
          <w:p w14:paraId="3A7E6DD6" w14:textId="77777777" w:rsidR="00625704" w:rsidRPr="003A769F" w:rsidRDefault="00625704" w:rsidP="00C06A68">
            <w:pPr>
              <w:spacing w:beforeLines="20" w:before="48" w:afterLines="20" w:after="48"/>
              <w:jc w:val="center"/>
              <w:rPr>
                <w:noProof/>
                <w:sz w:val="16"/>
                <w:szCs w:val="16"/>
                <w:lang w:val="en-IE"/>
              </w:rPr>
            </w:pPr>
          </w:p>
        </w:tc>
        <w:tc>
          <w:tcPr>
            <w:tcW w:w="731" w:type="dxa"/>
            <w:shd w:val="clear" w:color="auto" w:fill="auto"/>
            <w:vAlign w:val="center"/>
          </w:tcPr>
          <w:p w14:paraId="1F486D22" w14:textId="77777777" w:rsidR="00625704" w:rsidRPr="003A769F" w:rsidRDefault="00625704" w:rsidP="00C06A68">
            <w:pPr>
              <w:spacing w:beforeLines="20" w:before="48" w:afterLines="20" w:after="48"/>
              <w:jc w:val="center"/>
              <w:rPr>
                <w:noProof/>
                <w:sz w:val="16"/>
                <w:szCs w:val="16"/>
                <w:lang w:val="en-IE"/>
              </w:rPr>
            </w:pPr>
          </w:p>
        </w:tc>
      </w:tr>
      <w:tr w:rsidR="00625704" w14:paraId="0E71049E" w14:textId="77777777" w:rsidTr="00C06A68">
        <w:trPr>
          <w:gridBefore w:val="1"/>
          <w:wBefore w:w="15" w:type="dxa"/>
          <w:trHeight w:val="289"/>
          <w:jc w:val="center"/>
        </w:trPr>
        <w:tc>
          <w:tcPr>
            <w:tcW w:w="4754" w:type="dxa"/>
            <w:gridSpan w:val="2"/>
            <w:shd w:val="clear" w:color="auto" w:fill="auto"/>
            <w:vAlign w:val="center"/>
          </w:tcPr>
          <w:p w14:paraId="6FBA2F15" w14:textId="77777777" w:rsidR="00625704" w:rsidRPr="00DB369B" w:rsidRDefault="00625704" w:rsidP="00C06A68">
            <w:pPr>
              <w:pStyle w:val="Text1"/>
              <w:spacing w:beforeLines="20" w:before="48" w:afterLines="20" w:after="48"/>
              <w:ind w:left="134"/>
              <w:jc w:val="left"/>
              <w:rPr>
                <w:noProof/>
                <w:sz w:val="16"/>
              </w:rPr>
            </w:pPr>
            <w:r w:rsidRPr="00401F20">
              <w:rPr>
                <w:noProof/>
                <w:sz w:val="16"/>
              </w:rPr>
              <w:t xml:space="preserve">20 01 02 03 </w:t>
            </w:r>
            <w:r w:rsidRPr="00DB369B">
              <w:rPr>
                <w:noProof/>
                <w:sz w:val="16"/>
              </w:rPr>
              <w:t>(Delegations)</w:t>
            </w:r>
          </w:p>
        </w:tc>
        <w:tc>
          <w:tcPr>
            <w:tcW w:w="731" w:type="dxa"/>
            <w:shd w:val="clear" w:color="auto" w:fill="auto"/>
            <w:vAlign w:val="center"/>
          </w:tcPr>
          <w:p w14:paraId="54AD2B0B" w14:textId="77777777" w:rsidR="00625704" w:rsidRDefault="00625704" w:rsidP="00C06A68">
            <w:pPr>
              <w:spacing w:beforeLines="20" w:before="48" w:afterLines="20" w:after="48"/>
              <w:jc w:val="center"/>
              <w:rPr>
                <w:noProof/>
                <w:sz w:val="16"/>
                <w:szCs w:val="16"/>
              </w:rPr>
            </w:pPr>
            <w:r>
              <w:rPr>
                <w:noProof/>
                <w:sz w:val="16"/>
                <w:szCs w:val="16"/>
              </w:rPr>
              <w:t>1</w:t>
            </w:r>
          </w:p>
        </w:tc>
        <w:tc>
          <w:tcPr>
            <w:tcW w:w="731" w:type="dxa"/>
            <w:shd w:val="clear" w:color="auto" w:fill="auto"/>
            <w:vAlign w:val="center"/>
          </w:tcPr>
          <w:p w14:paraId="12592CED" w14:textId="77777777" w:rsidR="00625704" w:rsidRDefault="00625704" w:rsidP="00C06A68">
            <w:pPr>
              <w:spacing w:beforeLines="20" w:before="48" w:afterLines="20" w:after="48"/>
              <w:jc w:val="center"/>
              <w:rPr>
                <w:noProof/>
                <w:sz w:val="16"/>
                <w:szCs w:val="16"/>
              </w:rPr>
            </w:pPr>
            <w:r>
              <w:rPr>
                <w:noProof/>
                <w:sz w:val="16"/>
                <w:szCs w:val="16"/>
              </w:rPr>
              <w:t>1</w:t>
            </w:r>
          </w:p>
        </w:tc>
        <w:tc>
          <w:tcPr>
            <w:tcW w:w="731" w:type="dxa"/>
            <w:shd w:val="clear" w:color="auto" w:fill="auto"/>
            <w:vAlign w:val="center"/>
          </w:tcPr>
          <w:p w14:paraId="021D311B" w14:textId="77777777" w:rsidR="00625704" w:rsidRDefault="00625704" w:rsidP="00C06A68">
            <w:pPr>
              <w:spacing w:beforeLines="20" w:before="48" w:afterLines="20" w:after="48"/>
              <w:jc w:val="center"/>
              <w:rPr>
                <w:noProof/>
                <w:sz w:val="16"/>
                <w:szCs w:val="16"/>
              </w:rPr>
            </w:pPr>
            <w:r>
              <w:rPr>
                <w:noProof/>
                <w:sz w:val="16"/>
                <w:szCs w:val="16"/>
              </w:rPr>
              <w:t>1</w:t>
            </w:r>
          </w:p>
        </w:tc>
        <w:tc>
          <w:tcPr>
            <w:tcW w:w="731" w:type="dxa"/>
            <w:shd w:val="clear" w:color="auto" w:fill="auto"/>
            <w:vAlign w:val="center"/>
          </w:tcPr>
          <w:p w14:paraId="34F18458" w14:textId="77777777" w:rsidR="00625704" w:rsidRDefault="00625704" w:rsidP="00C06A68">
            <w:pPr>
              <w:spacing w:beforeLines="20" w:before="48" w:afterLines="20" w:after="48"/>
              <w:jc w:val="center"/>
              <w:rPr>
                <w:noProof/>
                <w:sz w:val="16"/>
                <w:szCs w:val="16"/>
              </w:rPr>
            </w:pPr>
          </w:p>
        </w:tc>
        <w:tc>
          <w:tcPr>
            <w:tcW w:w="731" w:type="dxa"/>
            <w:shd w:val="clear" w:color="auto" w:fill="auto"/>
            <w:vAlign w:val="center"/>
          </w:tcPr>
          <w:p w14:paraId="306EEBE7" w14:textId="77777777" w:rsidR="00625704" w:rsidRDefault="00625704" w:rsidP="00C06A68">
            <w:pPr>
              <w:spacing w:beforeLines="20" w:before="48" w:afterLines="20" w:after="48"/>
              <w:jc w:val="center"/>
              <w:rPr>
                <w:noProof/>
                <w:sz w:val="16"/>
                <w:szCs w:val="16"/>
              </w:rPr>
            </w:pPr>
          </w:p>
        </w:tc>
        <w:tc>
          <w:tcPr>
            <w:tcW w:w="731" w:type="dxa"/>
            <w:shd w:val="clear" w:color="auto" w:fill="auto"/>
            <w:vAlign w:val="center"/>
          </w:tcPr>
          <w:p w14:paraId="2A5CD5C9" w14:textId="77777777" w:rsidR="00625704" w:rsidRDefault="00625704" w:rsidP="00C06A68">
            <w:pPr>
              <w:spacing w:beforeLines="20" w:before="48" w:afterLines="20" w:after="48"/>
              <w:jc w:val="center"/>
              <w:rPr>
                <w:noProof/>
                <w:sz w:val="16"/>
                <w:szCs w:val="16"/>
              </w:rPr>
            </w:pPr>
          </w:p>
        </w:tc>
        <w:tc>
          <w:tcPr>
            <w:tcW w:w="731" w:type="dxa"/>
            <w:shd w:val="clear" w:color="auto" w:fill="auto"/>
            <w:vAlign w:val="center"/>
          </w:tcPr>
          <w:p w14:paraId="468243D4" w14:textId="77777777" w:rsidR="00625704" w:rsidRDefault="00625704" w:rsidP="00C06A68">
            <w:pPr>
              <w:spacing w:beforeLines="20" w:before="48" w:afterLines="20" w:after="48"/>
              <w:jc w:val="center"/>
              <w:rPr>
                <w:noProof/>
                <w:sz w:val="16"/>
                <w:szCs w:val="16"/>
              </w:rPr>
            </w:pPr>
          </w:p>
        </w:tc>
      </w:tr>
      <w:tr w:rsidR="00625704" w14:paraId="1D0DC245" w14:textId="77777777" w:rsidTr="00C06A68">
        <w:trPr>
          <w:gridBefore w:val="1"/>
          <w:wBefore w:w="15" w:type="dxa"/>
          <w:trHeight w:val="289"/>
          <w:jc w:val="center"/>
        </w:trPr>
        <w:tc>
          <w:tcPr>
            <w:tcW w:w="4754" w:type="dxa"/>
            <w:gridSpan w:val="2"/>
            <w:shd w:val="clear" w:color="auto" w:fill="auto"/>
            <w:vAlign w:val="center"/>
          </w:tcPr>
          <w:p w14:paraId="20CAEAC1" w14:textId="77777777" w:rsidR="00625704" w:rsidRPr="00DB369B" w:rsidRDefault="00625704" w:rsidP="00C06A68">
            <w:pPr>
              <w:pStyle w:val="Text1"/>
              <w:spacing w:beforeLines="20" w:before="48" w:afterLines="20" w:after="48"/>
              <w:ind w:left="134"/>
              <w:jc w:val="left"/>
              <w:rPr>
                <w:noProof/>
                <w:sz w:val="16"/>
                <w:szCs w:val="16"/>
              </w:rPr>
            </w:pPr>
            <w:r w:rsidRPr="00401F20">
              <w:rPr>
                <w:noProof/>
                <w:sz w:val="16"/>
              </w:rPr>
              <w:t>01 01 01 01</w:t>
            </w:r>
            <w:r w:rsidRPr="00DB369B">
              <w:rPr>
                <w:rFonts w:ascii="Arial Narrow" w:hAnsi="Arial Narrow"/>
                <w:noProof/>
                <w:color w:val="000000"/>
                <w:sz w:val="20"/>
                <w:szCs w:val="20"/>
              </w:rPr>
              <w:t xml:space="preserve"> </w:t>
            </w:r>
            <w:r w:rsidRPr="00DB369B">
              <w:rPr>
                <w:noProof/>
                <w:sz w:val="16"/>
              </w:rPr>
              <w:t xml:space="preserve"> (Indirect research)</w:t>
            </w:r>
          </w:p>
        </w:tc>
        <w:tc>
          <w:tcPr>
            <w:tcW w:w="731" w:type="dxa"/>
            <w:shd w:val="clear" w:color="auto" w:fill="auto"/>
            <w:vAlign w:val="center"/>
          </w:tcPr>
          <w:p w14:paraId="239CC149" w14:textId="77777777" w:rsidR="00625704" w:rsidRDefault="00625704" w:rsidP="00C06A68">
            <w:pPr>
              <w:spacing w:beforeLines="20" w:before="48" w:afterLines="20" w:after="48"/>
              <w:jc w:val="center"/>
              <w:rPr>
                <w:noProof/>
                <w:sz w:val="16"/>
                <w:szCs w:val="16"/>
              </w:rPr>
            </w:pPr>
          </w:p>
        </w:tc>
        <w:tc>
          <w:tcPr>
            <w:tcW w:w="731" w:type="dxa"/>
            <w:shd w:val="clear" w:color="auto" w:fill="auto"/>
            <w:vAlign w:val="center"/>
          </w:tcPr>
          <w:p w14:paraId="4FAFD8D2" w14:textId="77777777" w:rsidR="00625704" w:rsidRDefault="00625704" w:rsidP="00C06A68">
            <w:pPr>
              <w:spacing w:beforeLines="20" w:before="48" w:afterLines="20" w:after="48"/>
              <w:jc w:val="center"/>
              <w:rPr>
                <w:noProof/>
                <w:sz w:val="16"/>
                <w:szCs w:val="16"/>
              </w:rPr>
            </w:pPr>
          </w:p>
        </w:tc>
        <w:tc>
          <w:tcPr>
            <w:tcW w:w="731" w:type="dxa"/>
            <w:shd w:val="clear" w:color="auto" w:fill="auto"/>
            <w:vAlign w:val="center"/>
          </w:tcPr>
          <w:p w14:paraId="281DDF2F" w14:textId="77777777" w:rsidR="00625704" w:rsidRDefault="00625704" w:rsidP="00C06A68">
            <w:pPr>
              <w:spacing w:beforeLines="20" w:before="48" w:afterLines="20" w:after="48"/>
              <w:jc w:val="center"/>
              <w:rPr>
                <w:noProof/>
                <w:sz w:val="16"/>
                <w:szCs w:val="16"/>
              </w:rPr>
            </w:pPr>
          </w:p>
        </w:tc>
        <w:tc>
          <w:tcPr>
            <w:tcW w:w="731" w:type="dxa"/>
            <w:shd w:val="clear" w:color="auto" w:fill="auto"/>
            <w:vAlign w:val="center"/>
          </w:tcPr>
          <w:p w14:paraId="1D07E152" w14:textId="77777777" w:rsidR="00625704" w:rsidRDefault="00625704" w:rsidP="00C06A68">
            <w:pPr>
              <w:spacing w:beforeLines="20" w:before="48" w:afterLines="20" w:after="48"/>
              <w:jc w:val="center"/>
              <w:rPr>
                <w:noProof/>
                <w:sz w:val="16"/>
                <w:szCs w:val="16"/>
              </w:rPr>
            </w:pPr>
          </w:p>
        </w:tc>
        <w:tc>
          <w:tcPr>
            <w:tcW w:w="731" w:type="dxa"/>
            <w:shd w:val="clear" w:color="auto" w:fill="auto"/>
            <w:vAlign w:val="center"/>
          </w:tcPr>
          <w:p w14:paraId="525BD90F" w14:textId="77777777" w:rsidR="00625704" w:rsidRDefault="00625704" w:rsidP="00C06A68">
            <w:pPr>
              <w:spacing w:beforeLines="20" w:before="48" w:afterLines="20" w:after="48"/>
              <w:jc w:val="center"/>
              <w:rPr>
                <w:noProof/>
                <w:sz w:val="16"/>
                <w:szCs w:val="16"/>
              </w:rPr>
            </w:pPr>
          </w:p>
        </w:tc>
        <w:tc>
          <w:tcPr>
            <w:tcW w:w="731" w:type="dxa"/>
            <w:shd w:val="clear" w:color="auto" w:fill="auto"/>
            <w:vAlign w:val="center"/>
          </w:tcPr>
          <w:p w14:paraId="28A2FF39" w14:textId="77777777" w:rsidR="00625704" w:rsidRDefault="00625704" w:rsidP="00C06A68">
            <w:pPr>
              <w:spacing w:beforeLines="20" w:before="48" w:afterLines="20" w:after="48"/>
              <w:jc w:val="center"/>
              <w:rPr>
                <w:noProof/>
                <w:sz w:val="16"/>
                <w:szCs w:val="16"/>
              </w:rPr>
            </w:pPr>
          </w:p>
        </w:tc>
        <w:tc>
          <w:tcPr>
            <w:tcW w:w="731" w:type="dxa"/>
            <w:shd w:val="clear" w:color="auto" w:fill="auto"/>
            <w:vAlign w:val="center"/>
          </w:tcPr>
          <w:p w14:paraId="10260155" w14:textId="77777777" w:rsidR="00625704" w:rsidRDefault="00625704" w:rsidP="00C06A68">
            <w:pPr>
              <w:spacing w:beforeLines="20" w:before="48" w:afterLines="20" w:after="48"/>
              <w:jc w:val="center"/>
              <w:rPr>
                <w:noProof/>
                <w:sz w:val="16"/>
                <w:szCs w:val="16"/>
              </w:rPr>
            </w:pPr>
          </w:p>
        </w:tc>
      </w:tr>
      <w:tr w:rsidR="00625704" w14:paraId="75790C27" w14:textId="77777777" w:rsidTr="00C06A68">
        <w:trPr>
          <w:gridBefore w:val="1"/>
          <w:wBefore w:w="15" w:type="dxa"/>
          <w:trHeight w:val="289"/>
          <w:jc w:val="center"/>
        </w:trPr>
        <w:tc>
          <w:tcPr>
            <w:tcW w:w="4754" w:type="dxa"/>
            <w:gridSpan w:val="2"/>
            <w:shd w:val="clear" w:color="auto" w:fill="auto"/>
            <w:vAlign w:val="center"/>
          </w:tcPr>
          <w:p w14:paraId="33E280DF" w14:textId="77777777" w:rsidR="00625704" w:rsidRDefault="00625704" w:rsidP="00C06A68">
            <w:pPr>
              <w:pStyle w:val="Text1"/>
              <w:spacing w:beforeLines="20" w:before="48" w:afterLines="20" w:after="48"/>
              <w:ind w:left="134"/>
              <w:jc w:val="left"/>
              <w:rPr>
                <w:noProof/>
                <w:sz w:val="16"/>
                <w:szCs w:val="16"/>
              </w:rPr>
            </w:pPr>
            <w:r w:rsidRPr="004843C4">
              <w:rPr>
                <w:noProof/>
                <w:sz w:val="16"/>
              </w:rPr>
              <w:t xml:space="preserve"> 01 0</w:t>
            </w:r>
            <w:r w:rsidRPr="00401F20">
              <w:rPr>
                <w:noProof/>
                <w:sz w:val="16"/>
              </w:rPr>
              <w:t>1</w:t>
            </w:r>
            <w:r w:rsidRPr="004843C4">
              <w:rPr>
                <w:noProof/>
                <w:sz w:val="16"/>
              </w:rPr>
              <w:t xml:space="preserve"> 01</w:t>
            </w:r>
            <w:r w:rsidRPr="00401F20">
              <w:rPr>
                <w:noProof/>
                <w:sz w:val="16"/>
              </w:rPr>
              <w:t xml:space="preserve"> </w:t>
            </w:r>
            <w:r w:rsidRPr="004843C4">
              <w:rPr>
                <w:noProof/>
                <w:sz w:val="16"/>
              </w:rPr>
              <w:t>11 (Direct research)</w:t>
            </w:r>
          </w:p>
        </w:tc>
        <w:tc>
          <w:tcPr>
            <w:tcW w:w="731" w:type="dxa"/>
            <w:shd w:val="clear" w:color="auto" w:fill="auto"/>
            <w:vAlign w:val="center"/>
          </w:tcPr>
          <w:p w14:paraId="1376C082" w14:textId="77777777" w:rsidR="00625704" w:rsidRDefault="00625704" w:rsidP="00C06A68">
            <w:pPr>
              <w:spacing w:beforeLines="20" w:before="48" w:afterLines="20" w:after="48"/>
              <w:jc w:val="center"/>
              <w:rPr>
                <w:noProof/>
                <w:sz w:val="16"/>
                <w:szCs w:val="16"/>
              </w:rPr>
            </w:pPr>
          </w:p>
        </w:tc>
        <w:tc>
          <w:tcPr>
            <w:tcW w:w="731" w:type="dxa"/>
            <w:shd w:val="clear" w:color="auto" w:fill="auto"/>
            <w:vAlign w:val="center"/>
          </w:tcPr>
          <w:p w14:paraId="4DC3F85E" w14:textId="77777777" w:rsidR="00625704" w:rsidRDefault="00625704" w:rsidP="00C06A68">
            <w:pPr>
              <w:spacing w:beforeLines="20" w:before="48" w:afterLines="20" w:after="48"/>
              <w:jc w:val="center"/>
              <w:rPr>
                <w:noProof/>
                <w:sz w:val="16"/>
                <w:szCs w:val="16"/>
              </w:rPr>
            </w:pPr>
          </w:p>
        </w:tc>
        <w:tc>
          <w:tcPr>
            <w:tcW w:w="731" w:type="dxa"/>
            <w:shd w:val="clear" w:color="auto" w:fill="auto"/>
            <w:vAlign w:val="center"/>
          </w:tcPr>
          <w:p w14:paraId="721C1060" w14:textId="77777777" w:rsidR="00625704" w:rsidRDefault="00625704" w:rsidP="00C06A68">
            <w:pPr>
              <w:spacing w:beforeLines="20" w:before="48" w:afterLines="20" w:after="48"/>
              <w:jc w:val="center"/>
              <w:rPr>
                <w:noProof/>
                <w:sz w:val="16"/>
                <w:szCs w:val="16"/>
              </w:rPr>
            </w:pPr>
          </w:p>
        </w:tc>
        <w:tc>
          <w:tcPr>
            <w:tcW w:w="731" w:type="dxa"/>
            <w:shd w:val="clear" w:color="auto" w:fill="auto"/>
            <w:vAlign w:val="center"/>
          </w:tcPr>
          <w:p w14:paraId="39AD3819" w14:textId="77777777" w:rsidR="00625704" w:rsidRDefault="00625704" w:rsidP="00C06A68">
            <w:pPr>
              <w:spacing w:beforeLines="20" w:before="48" w:afterLines="20" w:after="48"/>
              <w:jc w:val="center"/>
              <w:rPr>
                <w:noProof/>
                <w:sz w:val="16"/>
                <w:szCs w:val="16"/>
              </w:rPr>
            </w:pPr>
          </w:p>
        </w:tc>
        <w:tc>
          <w:tcPr>
            <w:tcW w:w="731" w:type="dxa"/>
            <w:shd w:val="clear" w:color="auto" w:fill="auto"/>
            <w:vAlign w:val="center"/>
          </w:tcPr>
          <w:p w14:paraId="454DEF6C" w14:textId="77777777" w:rsidR="00625704" w:rsidRDefault="00625704" w:rsidP="00C06A68">
            <w:pPr>
              <w:spacing w:beforeLines="20" w:before="48" w:afterLines="20" w:after="48"/>
              <w:jc w:val="center"/>
              <w:rPr>
                <w:noProof/>
                <w:sz w:val="16"/>
                <w:szCs w:val="16"/>
              </w:rPr>
            </w:pPr>
          </w:p>
        </w:tc>
        <w:tc>
          <w:tcPr>
            <w:tcW w:w="731" w:type="dxa"/>
            <w:shd w:val="clear" w:color="auto" w:fill="auto"/>
            <w:vAlign w:val="center"/>
          </w:tcPr>
          <w:p w14:paraId="59E6E1FE" w14:textId="77777777" w:rsidR="00625704" w:rsidRDefault="00625704" w:rsidP="00C06A68">
            <w:pPr>
              <w:spacing w:beforeLines="20" w:before="48" w:afterLines="20" w:after="48"/>
              <w:jc w:val="center"/>
              <w:rPr>
                <w:noProof/>
                <w:sz w:val="16"/>
                <w:szCs w:val="16"/>
              </w:rPr>
            </w:pPr>
          </w:p>
        </w:tc>
        <w:tc>
          <w:tcPr>
            <w:tcW w:w="731" w:type="dxa"/>
            <w:shd w:val="clear" w:color="auto" w:fill="auto"/>
            <w:vAlign w:val="center"/>
          </w:tcPr>
          <w:p w14:paraId="0978AC5C" w14:textId="77777777" w:rsidR="00625704" w:rsidRDefault="00625704" w:rsidP="00C06A68">
            <w:pPr>
              <w:spacing w:beforeLines="20" w:before="48" w:afterLines="20" w:after="48"/>
              <w:jc w:val="center"/>
              <w:rPr>
                <w:noProof/>
                <w:sz w:val="16"/>
                <w:szCs w:val="16"/>
              </w:rPr>
            </w:pPr>
          </w:p>
        </w:tc>
      </w:tr>
      <w:tr w:rsidR="00625704" w14:paraId="3D126016" w14:textId="77777777" w:rsidTr="00C06A68">
        <w:trPr>
          <w:gridBefore w:val="1"/>
          <w:wBefore w:w="15" w:type="dxa"/>
          <w:trHeight w:val="289"/>
          <w:jc w:val="center"/>
        </w:trPr>
        <w:tc>
          <w:tcPr>
            <w:tcW w:w="4754" w:type="dxa"/>
            <w:gridSpan w:val="2"/>
            <w:shd w:val="clear" w:color="auto" w:fill="auto"/>
            <w:vAlign w:val="center"/>
          </w:tcPr>
          <w:p w14:paraId="3FD41FFD" w14:textId="77777777" w:rsidR="00625704" w:rsidRPr="004843C4" w:rsidRDefault="00625704" w:rsidP="00C06A68">
            <w:pPr>
              <w:pStyle w:val="Text1"/>
              <w:spacing w:beforeLines="20" w:before="48" w:afterLines="20" w:after="48"/>
              <w:ind w:left="134"/>
              <w:jc w:val="left"/>
              <w:rPr>
                <w:noProof/>
                <w:sz w:val="16"/>
              </w:rPr>
            </w:pPr>
            <w:r w:rsidRPr="00401F20">
              <w:rPr>
                <w:noProof/>
                <w:sz w:val="16"/>
              </w:rPr>
              <w:t>Other budget lines (specify)</w:t>
            </w:r>
          </w:p>
        </w:tc>
        <w:tc>
          <w:tcPr>
            <w:tcW w:w="731" w:type="dxa"/>
            <w:shd w:val="clear" w:color="auto" w:fill="auto"/>
            <w:vAlign w:val="center"/>
          </w:tcPr>
          <w:p w14:paraId="47DC156F" w14:textId="77777777" w:rsidR="00625704" w:rsidRDefault="00625704" w:rsidP="00C06A68">
            <w:pPr>
              <w:spacing w:beforeLines="20" w:before="48" w:afterLines="20" w:after="48"/>
              <w:jc w:val="center"/>
              <w:rPr>
                <w:noProof/>
                <w:sz w:val="16"/>
                <w:szCs w:val="16"/>
              </w:rPr>
            </w:pPr>
          </w:p>
        </w:tc>
        <w:tc>
          <w:tcPr>
            <w:tcW w:w="731" w:type="dxa"/>
            <w:shd w:val="clear" w:color="auto" w:fill="auto"/>
            <w:vAlign w:val="center"/>
          </w:tcPr>
          <w:p w14:paraId="612F2C13" w14:textId="77777777" w:rsidR="00625704" w:rsidRDefault="00625704" w:rsidP="00C06A68">
            <w:pPr>
              <w:spacing w:beforeLines="20" w:before="48" w:afterLines="20" w:after="48"/>
              <w:jc w:val="center"/>
              <w:rPr>
                <w:noProof/>
                <w:sz w:val="16"/>
                <w:szCs w:val="16"/>
              </w:rPr>
            </w:pPr>
          </w:p>
        </w:tc>
        <w:tc>
          <w:tcPr>
            <w:tcW w:w="731" w:type="dxa"/>
            <w:shd w:val="clear" w:color="auto" w:fill="auto"/>
            <w:vAlign w:val="center"/>
          </w:tcPr>
          <w:p w14:paraId="69BAAC31" w14:textId="77777777" w:rsidR="00625704" w:rsidRDefault="00625704" w:rsidP="00C06A68">
            <w:pPr>
              <w:spacing w:beforeLines="20" w:before="48" w:afterLines="20" w:after="48"/>
              <w:jc w:val="center"/>
              <w:rPr>
                <w:noProof/>
                <w:sz w:val="16"/>
                <w:szCs w:val="16"/>
              </w:rPr>
            </w:pPr>
          </w:p>
        </w:tc>
        <w:tc>
          <w:tcPr>
            <w:tcW w:w="731" w:type="dxa"/>
            <w:shd w:val="clear" w:color="auto" w:fill="auto"/>
            <w:vAlign w:val="center"/>
          </w:tcPr>
          <w:p w14:paraId="396CC518" w14:textId="77777777" w:rsidR="00625704" w:rsidRDefault="00625704" w:rsidP="00C06A68">
            <w:pPr>
              <w:spacing w:beforeLines="20" w:before="48" w:afterLines="20" w:after="48"/>
              <w:jc w:val="center"/>
              <w:rPr>
                <w:noProof/>
                <w:sz w:val="16"/>
                <w:szCs w:val="16"/>
              </w:rPr>
            </w:pPr>
          </w:p>
        </w:tc>
        <w:tc>
          <w:tcPr>
            <w:tcW w:w="731" w:type="dxa"/>
            <w:shd w:val="clear" w:color="auto" w:fill="auto"/>
            <w:vAlign w:val="center"/>
          </w:tcPr>
          <w:p w14:paraId="1CD1F5C6" w14:textId="77777777" w:rsidR="00625704" w:rsidRDefault="00625704" w:rsidP="00C06A68">
            <w:pPr>
              <w:spacing w:beforeLines="20" w:before="48" w:afterLines="20" w:after="48"/>
              <w:jc w:val="center"/>
              <w:rPr>
                <w:noProof/>
                <w:sz w:val="16"/>
                <w:szCs w:val="16"/>
              </w:rPr>
            </w:pPr>
          </w:p>
        </w:tc>
        <w:tc>
          <w:tcPr>
            <w:tcW w:w="731" w:type="dxa"/>
            <w:shd w:val="clear" w:color="auto" w:fill="auto"/>
            <w:vAlign w:val="center"/>
          </w:tcPr>
          <w:p w14:paraId="3DCE6E6B" w14:textId="77777777" w:rsidR="00625704" w:rsidRDefault="00625704" w:rsidP="00C06A68">
            <w:pPr>
              <w:spacing w:beforeLines="20" w:before="48" w:afterLines="20" w:after="48"/>
              <w:jc w:val="center"/>
              <w:rPr>
                <w:noProof/>
                <w:sz w:val="16"/>
                <w:szCs w:val="16"/>
              </w:rPr>
            </w:pPr>
          </w:p>
        </w:tc>
        <w:tc>
          <w:tcPr>
            <w:tcW w:w="731" w:type="dxa"/>
            <w:shd w:val="clear" w:color="auto" w:fill="auto"/>
            <w:vAlign w:val="center"/>
          </w:tcPr>
          <w:p w14:paraId="336ECF45" w14:textId="77777777" w:rsidR="00625704" w:rsidRDefault="00625704" w:rsidP="00C06A68">
            <w:pPr>
              <w:spacing w:beforeLines="20" w:before="48" w:afterLines="20" w:after="48"/>
              <w:jc w:val="center"/>
              <w:rPr>
                <w:noProof/>
                <w:sz w:val="16"/>
                <w:szCs w:val="16"/>
              </w:rPr>
            </w:pPr>
          </w:p>
        </w:tc>
      </w:tr>
      <w:tr w:rsidR="00625704" w:rsidRPr="003A769F" w14:paraId="759A74CA" w14:textId="77777777" w:rsidTr="00C06A68">
        <w:trPr>
          <w:trHeight w:val="248"/>
          <w:jc w:val="center"/>
        </w:trPr>
        <w:tc>
          <w:tcPr>
            <w:tcW w:w="9886" w:type="dxa"/>
            <w:gridSpan w:val="10"/>
            <w:shd w:val="clear" w:color="auto" w:fill="auto"/>
            <w:vAlign w:val="center"/>
          </w:tcPr>
          <w:p w14:paraId="04FCF38D" w14:textId="77777777" w:rsidR="00625704" w:rsidRDefault="00625704" w:rsidP="00C06A68">
            <w:pPr>
              <w:pStyle w:val="Text1"/>
              <w:spacing w:before="60" w:after="60"/>
              <w:ind w:left="0"/>
              <w:jc w:val="left"/>
              <w:rPr>
                <w:b/>
                <w:noProof/>
                <w:sz w:val="16"/>
                <w:szCs w:val="16"/>
              </w:rPr>
            </w:pPr>
            <w:r>
              <w:rPr>
                <w:rFonts w:ascii="Wingdings" w:eastAsia="Wingdings" w:hAnsi="Wingdings" w:cs="Wingdings"/>
                <w:b/>
                <w:noProof/>
                <w:sz w:val="16"/>
              </w:rPr>
              <w:t>□</w:t>
            </w:r>
            <w:r>
              <w:rPr>
                <w:b/>
                <w:noProof/>
                <w:sz w:val="16"/>
              </w:rPr>
              <w:t xml:space="preserve"> External staff (in Full Time Equivalent unit: FTE)</w:t>
            </w:r>
            <w:r>
              <w:rPr>
                <w:rStyle w:val="FootnoteReference"/>
                <w:b/>
                <w:noProof/>
                <w:sz w:val="16"/>
              </w:rPr>
              <w:footnoteReference w:id="17"/>
            </w:r>
          </w:p>
          <w:p w14:paraId="77182D9A" w14:textId="77777777" w:rsidR="00625704" w:rsidRDefault="00625704" w:rsidP="00C06A68">
            <w:pPr>
              <w:pStyle w:val="Text1"/>
              <w:spacing w:before="0" w:after="0"/>
              <w:ind w:left="0"/>
              <w:jc w:val="left"/>
              <w:rPr>
                <w:noProof/>
                <w:sz w:val="16"/>
                <w:szCs w:val="16"/>
              </w:rPr>
            </w:pPr>
          </w:p>
        </w:tc>
      </w:tr>
      <w:tr w:rsidR="00625704" w:rsidRPr="003A769F" w14:paraId="7B763B84" w14:textId="77777777" w:rsidTr="00C06A68">
        <w:trPr>
          <w:gridBefore w:val="1"/>
          <w:wBefore w:w="15" w:type="dxa"/>
          <w:trHeight w:val="289"/>
          <w:jc w:val="center"/>
        </w:trPr>
        <w:tc>
          <w:tcPr>
            <w:tcW w:w="4754" w:type="dxa"/>
            <w:gridSpan w:val="2"/>
            <w:shd w:val="clear" w:color="auto" w:fill="auto"/>
            <w:vAlign w:val="center"/>
          </w:tcPr>
          <w:p w14:paraId="417F4F5C" w14:textId="77777777" w:rsidR="00625704" w:rsidRPr="00DB369B" w:rsidRDefault="00625704" w:rsidP="00C06A68">
            <w:pPr>
              <w:pStyle w:val="Text1"/>
              <w:spacing w:beforeLines="20" w:before="48" w:afterLines="20" w:after="48"/>
              <w:ind w:left="136"/>
              <w:jc w:val="left"/>
              <w:rPr>
                <w:b/>
                <w:noProof/>
                <w:sz w:val="16"/>
                <w:szCs w:val="16"/>
              </w:rPr>
            </w:pPr>
            <w:r w:rsidRPr="00401F20">
              <w:rPr>
                <w:noProof/>
                <w:sz w:val="16"/>
              </w:rPr>
              <w:t>20 02 01</w:t>
            </w:r>
            <w:r w:rsidRPr="00DB369B">
              <w:rPr>
                <w:rFonts w:ascii="Arial Narrow" w:hAnsi="Arial Narrow"/>
                <w:noProof/>
                <w:color w:val="000000"/>
                <w:sz w:val="20"/>
                <w:szCs w:val="20"/>
              </w:rPr>
              <w:t xml:space="preserve"> </w:t>
            </w:r>
            <w:r w:rsidRPr="00DB369B">
              <w:rPr>
                <w:noProof/>
                <w:sz w:val="16"/>
              </w:rPr>
              <w:t>(AC, END, INT from the ‘global envelope’)</w:t>
            </w:r>
          </w:p>
        </w:tc>
        <w:tc>
          <w:tcPr>
            <w:tcW w:w="731" w:type="dxa"/>
            <w:shd w:val="clear" w:color="auto" w:fill="auto"/>
            <w:vAlign w:val="center"/>
          </w:tcPr>
          <w:p w14:paraId="4C145E81" w14:textId="77777777" w:rsidR="00625704" w:rsidRPr="003A769F" w:rsidRDefault="00625704" w:rsidP="00C06A68">
            <w:pPr>
              <w:spacing w:beforeLines="20" w:before="48" w:afterLines="20" w:after="48"/>
              <w:jc w:val="center"/>
              <w:rPr>
                <w:noProof/>
                <w:sz w:val="16"/>
                <w:szCs w:val="16"/>
                <w:lang w:val="en-IE"/>
              </w:rPr>
            </w:pPr>
          </w:p>
        </w:tc>
        <w:tc>
          <w:tcPr>
            <w:tcW w:w="731" w:type="dxa"/>
            <w:shd w:val="clear" w:color="auto" w:fill="auto"/>
            <w:vAlign w:val="center"/>
          </w:tcPr>
          <w:p w14:paraId="447A4BC9" w14:textId="77777777" w:rsidR="00625704" w:rsidRPr="003A769F" w:rsidRDefault="00625704" w:rsidP="00C06A68">
            <w:pPr>
              <w:spacing w:beforeLines="20" w:before="48" w:afterLines="20" w:after="48"/>
              <w:jc w:val="center"/>
              <w:rPr>
                <w:noProof/>
                <w:sz w:val="16"/>
                <w:szCs w:val="16"/>
                <w:lang w:val="en-IE"/>
              </w:rPr>
            </w:pPr>
          </w:p>
        </w:tc>
        <w:tc>
          <w:tcPr>
            <w:tcW w:w="731" w:type="dxa"/>
            <w:shd w:val="clear" w:color="auto" w:fill="auto"/>
            <w:vAlign w:val="center"/>
          </w:tcPr>
          <w:p w14:paraId="22BA3E74" w14:textId="77777777" w:rsidR="00625704" w:rsidRPr="003A769F" w:rsidRDefault="00625704" w:rsidP="00C06A68">
            <w:pPr>
              <w:spacing w:beforeLines="20" w:before="48" w:afterLines="20" w:after="48"/>
              <w:jc w:val="center"/>
              <w:rPr>
                <w:noProof/>
                <w:sz w:val="16"/>
                <w:szCs w:val="16"/>
                <w:lang w:val="en-IE"/>
              </w:rPr>
            </w:pPr>
          </w:p>
        </w:tc>
        <w:tc>
          <w:tcPr>
            <w:tcW w:w="731" w:type="dxa"/>
            <w:shd w:val="clear" w:color="auto" w:fill="auto"/>
            <w:vAlign w:val="center"/>
          </w:tcPr>
          <w:p w14:paraId="5DFAB936" w14:textId="77777777" w:rsidR="00625704" w:rsidRPr="003A769F" w:rsidRDefault="00625704" w:rsidP="00C06A68">
            <w:pPr>
              <w:spacing w:beforeLines="20" w:before="48" w:afterLines="20" w:after="48"/>
              <w:jc w:val="center"/>
              <w:rPr>
                <w:noProof/>
                <w:sz w:val="16"/>
                <w:szCs w:val="16"/>
                <w:lang w:val="en-IE"/>
              </w:rPr>
            </w:pPr>
          </w:p>
        </w:tc>
        <w:tc>
          <w:tcPr>
            <w:tcW w:w="731" w:type="dxa"/>
            <w:shd w:val="clear" w:color="auto" w:fill="auto"/>
            <w:vAlign w:val="center"/>
          </w:tcPr>
          <w:p w14:paraId="76A03AFC" w14:textId="77777777" w:rsidR="00625704" w:rsidRPr="003A769F" w:rsidRDefault="00625704" w:rsidP="00C06A68">
            <w:pPr>
              <w:spacing w:beforeLines="20" w:before="48" w:afterLines="20" w:after="48"/>
              <w:jc w:val="center"/>
              <w:rPr>
                <w:noProof/>
                <w:sz w:val="16"/>
                <w:szCs w:val="16"/>
                <w:lang w:val="en-IE"/>
              </w:rPr>
            </w:pPr>
          </w:p>
        </w:tc>
        <w:tc>
          <w:tcPr>
            <w:tcW w:w="731" w:type="dxa"/>
            <w:shd w:val="clear" w:color="auto" w:fill="auto"/>
            <w:vAlign w:val="center"/>
          </w:tcPr>
          <w:p w14:paraId="7C03C4BD" w14:textId="77777777" w:rsidR="00625704" w:rsidRPr="003A769F" w:rsidRDefault="00625704" w:rsidP="00C06A68">
            <w:pPr>
              <w:spacing w:beforeLines="20" w:before="48" w:afterLines="20" w:after="48"/>
              <w:jc w:val="center"/>
              <w:rPr>
                <w:noProof/>
                <w:sz w:val="16"/>
                <w:szCs w:val="16"/>
                <w:lang w:val="en-IE"/>
              </w:rPr>
            </w:pPr>
          </w:p>
        </w:tc>
        <w:tc>
          <w:tcPr>
            <w:tcW w:w="731" w:type="dxa"/>
            <w:shd w:val="clear" w:color="auto" w:fill="auto"/>
            <w:vAlign w:val="center"/>
          </w:tcPr>
          <w:p w14:paraId="379F75C8" w14:textId="77777777" w:rsidR="00625704" w:rsidRPr="003A769F" w:rsidRDefault="00625704" w:rsidP="00C06A68">
            <w:pPr>
              <w:spacing w:beforeLines="20" w:before="48" w:afterLines="20" w:after="48"/>
              <w:jc w:val="center"/>
              <w:rPr>
                <w:noProof/>
                <w:sz w:val="16"/>
                <w:szCs w:val="16"/>
                <w:lang w:val="en-IE"/>
              </w:rPr>
            </w:pPr>
          </w:p>
        </w:tc>
      </w:tr>
      <w:tr w:rsidR="00625704" w:rsidRPr="003A769F" w14:paraId="4B2F7FAE" w14:textId="77777777" w:rsidTr="00C06A68">
        <w:trPr>
          <w:gridBefore w:val="1"/>
          <w:wBefore w:w="15" w:type="dxa"/>
          <w:trHeight w:val="289"/>
          <w:jc w:val="center"/>
        </w:trPr>
        <w:tc>
          <w:tcPr>
            <w:tcW w:w="4754" w:type="dxa"/>
            <w:gridSpan w:val="2"/>
            <w:shd w:val="clear" w:color="auto" w:fill="auto"/>
            <w:vAlign w:val="center"/>
          </w:tcPr>
          <w:p w14:paraId="01D62A32" w14:textId="77777777" w:rsidR="00625704" w:rsidRPr="00DB369B" w:rsidRDefault="00625704" w:rsidP="00C06A68">
            <w:pPr>
              <w:pStyle w:val="Text1"/>
              <w:spacing w:beforeLines="20" w:before="48" w:afterLines="20" w:after="48"/>
              <w:ind w:left="136"/>
              <w:jc w:val="left"/>
              <w:rPr>
                <w:noProof/>
                <w:sz w:val="16"/>
              </w:rPr>
            </w:pPr>
            <w:r w:rsidRPr="00401F20">
              <w:rPr>
                <w:noProof/>
                <w:sz w:val="16"/>
              </w:rPr>
              <w:t xml:space="preserve">20 02 03 </w:t>
            </w:r>
            <w:r w:rsidRPr="00DB369B">
              <w:rPr>
                <w:noProof/>
                <w:sz w:val="16"/>
              </w:rPr>
              <w:t>(AC, AL, END, INT and JPD in the delegations)</w:t>
            </w:r>
          </w:p>
        </w:tc>
        <w:tc>
          <w:tcPr>
            <w:tcW w:w="731" w:type="dxa"/>
            <w:shd w:val="clear" w:color="auto" w:fill="auto"/>
            <w:vAlign w:val="center"/>
          </w:tcPr>
          <w:p w14:paraId="101D81BB" w14:textId="77777777" w:rsidR="00625704" w:rsidRPr="003A769F" w:rsidRDefault="00625704" w:rsidP="00C06A68">
            <w:pPr>
              <w:spacing w:beforeLines="20" w:before="48" w:afterLines="20" w:after="48"/>
              <w:jc w:val="center"/>
              <w:rPr>
                <w:noProof/>
                <w:sz w:val="16"/>
                <w:szCs w:val="16"/>
                <w:lang w:val="en-IE"/>
              </w:rPr>
            </w:pPr>
          </w:p>
        </w:tc>
        <w:tc>
          <w:tcPr>
            <w:tcW w:w="731" w:type="dxa"/>
            <w:shd w:val="clear" w:color="auto" w:fill="auto"/>
            <w:vAlign w:val="center"/>
          </w:tcPr>
          <w:p w14:paraId="570693F0" w14:textId="77777777" w:rsidR="00625704" w:rsidRPr="003A769F" w:rsidRDefault="00625704" w:rsidP="00C06A68">
            <w:pPr>
              <w:spacing w:beforeLines="20" w:before="48" w:afterLines="20" w:after="48"/>
              <w:jc w:val="center"/>
              <w:rPr>
                <w:noProof/>
                <w:sz w:val="16"/>
                <w:szCs w:val="16"/>
                <w:lang w:val="en-IE"/>
              </w:rPr>
            </w:pPr>
          </w:p>
        </w:tc>
        <w:tc>
          <w:tcPr>
            <w:tcW w:w="731" w:type="dxa"/>
            <w:shd w:val="clear" w:color="auto" w:fill="auto"/>
            <w:vAlign w:val="center"/>
          </w:tcPr>
          <w:p w14:paraId="32664717" w14:textId="77777777" w:rsidR="00625704" w:rsidRPr="003A769F" w:rsidRDefault="00625704" w:rsidP="00C06A68">
            <w:pPr>
              <w:spacing w:beforeLines="20" w:before="48" w:afterLines="20" w:after="48"/>
              <w:jc w:val="center"/>
              <w:rPr>
                <w:noProof/>
                <w:sz w:val="16"/>
                <w:szCs w:val="16"/>
                <w:lang w:val="en-IE"/>
              </w:rPr>
            </w:pPr>
          </w:p>
        </w:tc>
        <w:tc>
          <w:tcPr>
            <w:tcW w:w="731" w:type="dxa"/>
            <w:shd w:val="clear" w:color="auto" w:fill="auto"/>
            <w:vAlign w:val="center"/>
          </w:tcPr>
          <w:p w14:paraId="18C1FC39" w14:textId="77777777" w:rsidR="00625704" w:rsidRPr="003A769F" w:rsidRDefault="00625704" w:rsidP="00C06A68">
            <w:pPr>
              <w:spacing w:beforeLines="20" w:before="48" w:afterLines="20" w:after="48"/>
              <w:jc w:val="center"/>
              <w:rPr>
                <w:noProof/>
                <w:sz w:val="16"/>
                <w:szCs w:val="16"/>
                <w:lang w:val="en-IE"/>
              </w:rPr>
            </w:pPr>
          </w:p>
        </w:tc>
        <w:tc>
          <w:tcPr>
            <w:tcW w:w="731" w:type="dxa"/>
            <w:shd w:val="clear" w:color="auto" w:fill="auto"/>
            <w:vAlign w:val="center"/>
          </w:tcPr>
          <w:p w14:paraId="64F5D964" w14:textId="77777777" w:rsidR="00625704" w:rsidRPr="003A769F" w:rsidRDefault="00625704" w:rsidP="00C06A68">
            <w:pPr>
              <w:spacing w:beforeLines="20" w:before="48" w:afterLines="20" w:after="48"/>
              <w:jc w:val="center"/>
              <w:rPr>
                <w:noProof/>
                <w:sz w:val="16"/>
                <w:szCs w:val="16"/>
                <w:lang w:val="en-IE"/>
              </w:rPr>
            </w:pPr>
          </w:p>
        </w:tc>
        <w:tc>
          <w:tcPr>
            <w:tcW w:w="731" w:type="dxa"/>
            <w:shd w:val="clear" w:color="auto" w:fill="auto"/>
            <w:vAlign w:val="center"/>
          </w:tcPr>
          <w:p w14:paraId="46A1C47E" w14:textId="77777777" w:rsidR="00625704" w:rsidRPr="003A769F" w:rsidRDefault="00625704" w:rsidP="00C06A68">
            <w:pPr>
              <w:spacing w:beforeLines="20" w:before="48" w:afterLines="20" w:after="48"/>
              <w:jc w:val="center"/>
              <w:rPr>
                <w:noProof/>
                <w:sz w:val="16"/>
                <w:szCs w:val="16"/>
                <w:lang w:val="en-IE"/>
              </w:rPr>
            </w:pPr>
          </w:p>
        </w:tc>
        <w:tc>
          <w:tcPr>
            <w:tcW w:w="731" w:type="dxa"/>
            <w:shd w:val="clear" w:color="auto" w:fill="auto"/>
            <w:vAlign w:val="center"/>
          </w:tcPr>
          <w:p w14:paraId="46FBF695" w14:textId="77777777" w:rsidR="00625704" w:rsidRPr="003A769F" w:rsidRDefault="00625704" w:rsidP="00C06A68">
            <w:pPr>
              <w:spacing w:beforeLines="20" w:before="48" w:afterLines="20" w:after="48"/>
              <w:jc w:val="center"/>
              <w:rPr>
                <w:noProof/>
                <w:sz w:val="16"/>
                <w:szCs w:val="16"/>
                <w:lang w:val="en-IE"/>
              </w:rPr>
            </w:pPr>
          </w:p>
        </w:tc>
      </w:tr>
      <w:tr w:rsidR="00625704" w:rsidRPr="00401F20" w14:paraId="453F8763" w14:textId="77777777" w:rsidTr="00C06A68">
        <w:trPr>
          <w:gridBefore w:val="1"/>
          <w:wBefore w:w="15" w:type="dxa"/>
          <w:trHeight w:val="289"/>
          <w:jc w:val="center"/>
        </w:trPr>
        <w:tc>
          <w:tcPr>
            <w:tcW w:w="2376" w:type="dxa"/>
            <w:vMerge w:val="restart"/>
            <w:shd w:val="clear" w:color="auto" w:fill="auto"/>
            <w:vAlign w:val="center"/>
          </w:tcPr>
          <w:p w14:paraId="78420FF9" w14:textId="77777777" w:rsidR="00625704" w:rsidRPr="004843C4" w:rsidRDefault="00625704" w:rsidP="00C06A68">
            <w:pPr>
              <w:pStyle w:val="Text1"/>
              <w:spacing w:beforeLines="20" w:before="48" w:afterLines="20" w:after="48"/>
              <w:ind w:left="136"/>
              <w:jc w:val="left"/>
              <w:rPr>
                <w:b/>
                <w:noProof/>
                <w:sz w:val="16"/>
                <w:szCs w:val="16"/>
              </w:rPr>
            </w:pPr>
            <w:r w:rsidRPr="000D4479">
              <w:rPr>
                <w:bCs/>
                <w:noProof/>
                <w:sz w:val="16"/>
                <w:szCs w:val="16"/>
              </w:rPr>
              <w:t>13 0</w:t>
            </w:r>
            <w:r w:rsidRPr="004843C4">
              <w:rPr>
                <w:noProof/>
                <w:sz w:val="16"/>
                <w:szCs w:val="16"/>
              </w:rPr>
              <w:t xml:space="preserve">1  </w:t>
            </w:r>
            <w:r>
              <w:rPr>
                <w:noProof/>
                <w:sz w:val="16"/>
                <w:szCs w:val="16"/>
              </w:rPr>
              <w:t>Support expenditure for the European Defence Industry Programme</w:t>
            </w:r>
            <w:r w:rsidRPr="00401F20">
              <w:rPr>
                <w:b/>
                <w:noProof/>
                <w:sz w:val="16"/>
                <w:szCs w:val="16"/>
              </w:rPr>
              <w:t xml:space="preserve"> </w:t>
            </w:r>
            <w:r w:rsidRPr="004843C4">
              <w:rPr>
                <w:b/>
                <w:i/>
                <w:noProof/>
                <w:sz w:val="16"/>
              </w:rPr>
              <w:t xml:space="preserve"> </w:t>
            </w:r>
            <w:r w:rsidRPr="004843C4">
              <w:rPr>
                <w:rStyle w:val="FootnoteReference"/>
                <w:b/>
                <w:i/>
                <w:noProof/>
                <w:sz w:val="16"/>
              </w:rPr>
              <w:footnoteReference w:id="18"/>
            </w:r>
          </w:p>
          <w:p w14:paraId="196BB487" w14:textId="77777777" w:rsidR="00625704" w:rsidRPr="004843C4" w:rsidRDefault="00625704" w:rsidP="00C06A68">
            <w:pPr>
              <w:pStyle w:val="Text1"/>
              <w:spacing w:beforeLines="20" w:before="48" w:afterLines="20" w:after="48"/>
              <w:ind w:left="136"/>
              <w:jc w:val="left"/>
              <w:rPr>
                <w:b/>
                <w:noProof/>
                <w:sz w:val="16"/>
                <w:szCs w:val="16"/>
              </w:rPr>
            </w:pPr>
          </w:p>
        </w:tc>
        <w:tc>
          <w:tcPr>
            <w:tcW w:w="2378" w:type="dxa"/>
            <w:shd w:val="clear" w:color="auto" w:fill="auto"/>
            <w:vAlign w:val="center"/>
          </w:tcPr>
          <w:p w14:paraId="53F95644" w14:textId="77777777" w:rsidR="00625704" w:rsidRPr="00401F20" w:rsidRDefault="00625704" w:rsidP="00C06A68">
            <w:pPr>
              <w:pStyle w:val="Text1"/>
              <w:spacing w:beforeLines="20" w:before="48" w:afterLines="20" w:after="48"/>
              <w:ind w:left="136"/>
              <w:jc w:val="left"/>
              <w:rPr>
                <w:b/>
                <w:noProof/>
                <w:sz w:val="16"/>
                <w:szCs w:val="16"/>
              </w:rPr>
            </w:pPr>
            <w:r w:rsidRPr="00401F20">
              <w:rPr>
                <w:noProof/>
                <w:sz w:val="16"/>
              </w:rPr>
              <w:t>- at Headquarters</w:t>
            </w:r>
          </w:p>
          <w:p w14:paraId="1F6F4386" w14:textId="77777777" w:rsidR="00625704" w:rsidRPr="00401F20" w:rsidRDefault="00625704" w:rsidP="00C06A68">
            <w:pPr>
              <w:pStyle w:val="Text1"/>
              <w:spacing w:beforeLines="20" w:before="48" w:afterLines="20" w:after="48"/>
              <w:ind w:left="136"/>
              <w:jc w:val="left"/>
              <w:rPr>
                <w:b/>
                <w:noProof/>
                <w:sz w:val="16"/>
                <w:szCs w:val="16"/>
              </w:rPr>
            </w:pPr>
          </w:p>
        </w:tc>
        <w:tc>
          <w:tcPr>
            <w:tcW w:w="731" w:type="dxa"/>
            <w:shd w:val="clear" w:color="auto" w:fill="auto"/>
            <w:vAlign w:val="center"/>
          </w:tcPr>
          <w:p w14:paraId="0A7E36D6" w14:textId="77777777" w:rsidR="00625704" w:rsidRPr="00401F20" w:rsidRDefault="00625704" w:rsidP="00C06A68">
            <w:pPr>
              <w:pStyle w:val="Text1"/>
              <w:spacing w:beforeLines="20" w:before="48" w:afterLines="20" w:after="48"/>
              <w:ind w:left="0"/>
              <w:rPr>
                <w:noProof/>
                <w:sz w:val="16"/>
                <w:szCs w:val="16"/>
              </w:rPr>
            </w:pPr>
            <w:r>
              <w:rPr>
                <w:noProof/>
                <w:sz w:val="16"/>
                <w:szCs w:val="16"/>
              </w:rPr>
              <w:t>31</w:t>
            </w:r>
          </w:p>
        </w:tc>
        <w:tc>
          <w:tcPr>
            <w:tcW w:w="731" w:type="dxa"/>
            <w:shd w:val="clear" w:color="auto" w:fill="auto"/>
            <w:vAlign w:val="center"/>
          </w:tcPr>
          <w:p w14:paraId="270A6A57" w14:textId="77777777" w:rsidR="00625704" w:rsidRPr="00401F20" w:rsidRDefault="00625704" w:rsidP="00C06A68">
            <w:pPr>
              <w:spacing w:beforeLines="20" w:before="48" w:afterLines="20" w:after="48"/>
              <w:jc w:val="center"/>
              <w:rPr>
                <w:noProof/>
                <w:sz w:val="16"/>
                <w:szCs w:val="16"/>
              </w:rPr>
            </w:pPr>
            <w:r>
              <w:rPr>
                <w:noProof/>
                <w:sz w:val="16"/>
                <w:szCs w:val="16"/>
              </w:rPr>
              <w:t>31</w:t>
            </w:r>
          </w:p>
        </w:tc>
        <w:tc>
          <w:tcPr>
            <w:tcW w:w="731" w:type="dxa"/>
            <w:shd w:val="clear" w:color="auto" w:fill="auto"/>
            <w:vAlign w:val="center"/>
          </w:tcPr>
          <w:p w14:paraId="559E40BB" w14:textId="77777777" w:rsidR="00625704" w:rsidRPr="00401F20" w:rsidRDefault="00625704" w:rsidP="00C06A68">
            <w:pPr>
              <w:spacing w:beforeLines="20" w:before="48" w:afterLines="20" w:after="48"/>
              <w:jc w:val="center"/>
              <w:rPr>
                <w:noProof/>
                <w:sz w:val="16"/>
                <w:szCs w:val="16"/>
              </w:rPr>
            </w:pPr>
            <w:r>
              <w:rPr>
                <w:noProof/>
                <w:sz w:val="16"/>
                <w:szCs w:val="16"/>
              </w:rPr>
              <w:t>31</w:t>
            </w:r>
          </w:p>
        </w:tc>
        <w:tc>
          <w:tcPr>
            <w:tcW w:w="731" w:type="dxa"/>
            <w:shd w:val="clear" w:color="auto" w:fill="auto"/>
            <w:vAlign w:val="center"/>
          </w:tcPr>
          <w:p w14:paraId="33261775" w14:textId="77777777" w:rsidR="00625704" w:rsidRPr="00401F20" w:rsidRDefault="00625704" w:rsidP="00C06A68">
            <w:pPr>
              <w:spacing w:beforeLines="20" w:before="48" w:afterLines="20" w:after="48"/>
              <w:jc w:val="center"/>
              <w:rPr>
                <w:noProof/>
                <w:sz w:val="16"/>
                <w:szCs w:val="16"/>
              </w:rPr>
            </w:pPr>
          </w:p>
        </w:tc>
        <w:tc>
          <w:tcPr>
            <w:tcW w:w="731" w:type="dxa"/>
            <w:shd w:val="clear" w:color="auto" w:fill="auto"/>
            <w:vAlign w:val="center"/>
          </w:tcPr>
          <w:p w14:paraId="575EAEF5" w14:textId="77777777" w:rsidR="00625704" w:rsidRPr="00401F20" w:rsidRDefault="00625704" w:rsidP="00C06A68">
            <w:pPr>
              <w:spacing w:beforeLines="20" w:before="48" w:afterLines="20" w:after="48"/>
              <w:jc w:val="center"/>
              <w:rPr>
                <w:noProof/>
                <w:sz w:val="16"/>
                <w:szCs w:val="16"/>
              </w:rPr>
            </w:pPr>
          </w:p>
        </w:tc>
        <w:tc>
          <w:tcPr>
            <w:tcW w:w="731" w:type="dxa"/>
            <w:shd w:val="clear" w:color="auto" w:fill="auto"/>
            <w:vAlign w:val="center"/>
          </w:tcPr>
          <w:p w14:paraId="666AC378" w14:textId="77777777" w:rsidR="00625704" w:rsidRPr="00401F20" w:rsidRDefault="00625704" w:rsidP="00C06A68">
            <w:pPr>
              <w:spacing w:beforeLines="20" w:before="48" w:afterLines="20" w:after="48"/>
              <w:jc w:val="center"/>
              <w:rPr>
                <w:noProof/>
                <w:sz w:val="16"/>
                <w:szCs w:val="16"/>
              </w:rPr>
            </w:pPr>
          </w:p>
        </w:tc>
        <w:tc>
          <w:tcPr>
            <w:tcW w:w="731" w:type="dxa"/>
            <w:shd w:val="clear" w:color="auto" w:fill="auto"/>
            <w:vAlign w:val="center"/>
          </w:tcPr>
          <w:p w14:paraId="28D9C3F6" w14:textId="77777777" w:rsidR="00625704" w:rsidRPr="00401F20" w:rsidRDefault="00625704" w:rsidP="00C06A68">
            <w:pPr>
              <w:spacing w:beforeLines="20" w:before="48" w:afterLines="20" w:after="48"/>
              <w:jc w:val="center"/>
              <w:rPr>
                <w:noProof/>
                <w:sz w:val="16"/>
                <w:szCs w:val="16"/>
              </w:rPr>
            </w:pPr>
          </w:p>
        </w:tc>
      </w:tr>
      <w:tr w:rsidR="00625704" w:rsidRPr="00401F20" w14:paraId="692EB3E8" w14:textId="77777777" w:rsidTr="00C06A68">
        <w:trPr>
          <w:gridBefore w:val="1"/>
          <w:wBefore w:w="15" w:type="dxa"/>
          <w:trHeight w:val="289"/>
          <w:jc w:val="center"/>
        </w:trPr>
        <w:tc>
          <w:tcPr>
            <w:tcW w:w="2376" w:type="dxa"/>
            <w:vMerge/>
            <w:shd w:val="clear" w:color="auto" w:fill="auto"/>
            <w:vAlign w:val="center"/>
          </w:tcPr>
          <w:p w14:paraId="3139C4B2" w14:textId="77777777" w:rsidR="00625704" w:rsidRPr="00401F20" w:rsidRDefault="00625704" w:rsidP="00C06A68">
            <w:pPr>
              <w:pStyle w:val="Text1"/>
              <w:spacing w:beforeLines="20" w:before="48" w:afterLines="20" w:after="48"/>
              <w:ind w:left="136"/>
              <w:jc w:val="left"/>
              <w:rPr>
                <w:b/>
                <w:noProof/>
                <w:sz w:val="16"/>
                <w:szCs w:val="16"/>
              </w:rPr>
            </w:pPr>
          </w:p>
        </w:tc>
        <w:tc>
          <w:tcPr>
            <w:tcW w:w="2378" w:type="dxa"/>
            <w:shd w:val="clear" w:color="auto" w:fill="auto"/>
            <w:vAlign w:val="center"/>
          </w:tcPr>
          <w:p w14:paraId="103BB171" w14:textId="77777777" w:rsidR="00625704" w:rsidRPr="00401F20" w:rsidRDefault="00625704" w:rsidP="00C06A68">
            <w:pPr>
              <w:pStyle w:val="Text1"/>
              <w:spacing w:beforeLines="20" w:before="48" w:afterLines="20" w:after="48"/>
              <w:ind w:left="136"/>
              <w:jc w:val="left"/>
              <w:rPr>
                <w:b/>
                <w:noProof/>
                <w:sz w:val="16"/>
                <w:szCs w:val="16"/>
              </w:rPr>
            </w:pPr>
            <w:r w:rsidRPr="00401F20">
              <w:rPr>
                <w:noProof/>
                <w:sz w:val="16"/>
              </w:rPr>
              <w:t xml:space="preserve">- in Delegations </w:t>
            </w:r>
          </w:p>
        </w:tc>
        <w:tc>
          <w:tcPr>
            <w:tcW w:w="731" w:type="dxa"/>
            <w:shd w:val="clear" w:color="auto" w:fill="auto"/>
            <w:vAlign w:val="center"/>
          </w:tcPr>
          <w:p w14:paraId="5D12E82F" w14:textId="77777777" w:rsidR="00625704" w:rsidRPr="00401F20" w:rsidRDefault="00625704" w:rsidP="00C06A68">
            <w:pPr>
              <w:pStyle w:val="Text1"/>
              <w:spacing w:beforeLines="20" w:before="48" w:afterLines="20" w:after="48"/>
              <w:ind w:left="0"/>
              <w:rPr>
                <w:noProof/>
                <w:sz w:val="16"/>
                <w:szCs w:val="16"/>
              </w:rPr>
            </w:pPr>
            <w:r>
              <w:rPr>
                <w:noProof/>
                <w:sz w:val="16"/>
                <w:szCs w:val="16"/>
              </w:rPr>
              <w:t>2</w:t>
            </w:r>
          </w:p>
        </w:tc>
        <w:tc>
          <w:tcPr>
            <w:tcW w:w="731" w:type="dxa"/>
            <w:shd w:val="clear" w:color="auto" w:fill="auto"/>
            <w:vAlign w:val="center"/>
          </w:tcPr>
          <w:p w14:paraId="39622C64" w14:textId="77777777" w:rsidR="00625704" w:rsidRPr="00401F20" w:rsidRDefault="00625704" w:rsidP="00C06A68">
            <w:pPr>
              <w:spacing w:beforeLines="20" w:before="48" w:afterLines="20" w:after="48"/>
              <w:jc w:val="center"/>
              <w:rPr>
                <w:noProof/>
                <w:sz w:val="16"/>
                <w:szCs w:val="16"/>
              </w:rPr>
            </w:pPr>
            <w:r>
              <w:rPr>
                <w:noProof/>
                <w:sz w:val="16"/>
                <w:szCs w:val="16"/>
              </w:rPr>
              <w:t>2</w:t>
            </w:r>
          </w:p>
        </w:tc>
        <w:tc>
          <w:tcPr>
            <w:tcW w:w="731" w:type="dxa"/>
            <w:shd w:val="clear" w:color="auto" w:fill="auto"/>
            <w:vAlign w:val="center"/>
          </w:tcPr>
          <w:p w14:paraId="064DBF97" w14:textId="77777777" w:rsidR="00625704" w:rsidRPr="00401F20" w:rsidRDefault="00625704" w:rsidP="00C06A68">
            <w:pPr>
              <w:spacing w:beforeLines="20" w:before="48" w:afterLines="20" w:after="48"/>
              <w:jc w:val="center"/>
              <w:rPr>
                <w:noProof/>
                <w:sz w:val="16"/>
                <w:szCs w:val="16"/>
              </w:rPr>
            </w:pPr>
            <w:r>
              <w:rPr>
                <w:noProof/>
                <w:sz w:val="16"/>
                <w:szCs w:val="16"/>
              </w:rPr>
              <w:t>2</w:t>
            </w:r>
          </w:p>
        </w:tc>
        <w:tc>
          <w:tcPr>
            <w:tcW w:w="731" w:type="dxa"/>
            <w:shd w:val="clear" w:color="auto" w:fill="auto"/>
            <w:vAlign w:val="center"/>
          </w:tcPr>
          <w:p w14:paraId="6FBBAD5D" w14:textId="77777777" w:rsidR="00625704" w:rsidRPr="00401F20" w:rsidRDefault="00625704" w:rsidP="00C06A68">
            <w:pPr>
              <w:spacing w:beforeLines="20" w:before="48" w:afterLines="20" w:after="48"/>
              <w:jc w:val="center"/>
              <w:rPr>
                <w:noProof/>
                <w:sz w:val="16"/>
                <w:szCs w:val="16"/>
              </w:rPr>
            </w:pPr>
          </w:p>
        </w:tc>
        <w:tc>
          <w:tcPr>
            <w:tcW w:w="731" w:type="dxa"/>
            <w:shd w:val="clear" w:color="auto" w:fill="auto"/>
            <w:vAlign w:val="center"/>
          </w:tcPr>
          <w:p w14:paraId="0DF6BAC1" w14:textId="77777777" w:rsidR="00625704" w:rsidRPr="00401F20" w:rsidRDefault="00625704" w:rsidP="00C06A68">
            <w:pPr>
              <w:spacing w:beforeLines="20" w:before="48" w:afterLines="20" w:after="48"/>
              <w:jc w:val="center"/>
              <w:rPr>
                <w:noProof/>
                <w:sz w:val="16"/>
                <w:szCs w:val="16"/>
              </w:rPr>
            </w:pPr>
          </w:p>
        </w:tc>
        <w:tc>
          <w:tcPr>
            <w:tcW w:w="731" w:type="dxa"/>
            <w:shd w:val="clear" w:color="auto" w:fill="auto"/>
            <w:vAlign w:val="center"/>
          </w:tcPr>
          <w:p w14:paraId="4D673C3A" w14:textId="77777777" w:rsidR="00625704" w:rsidRPr="00401F20" w:rsidRDefault="00625704" w:rsidP="00C06A68">
            <w:pPr>
              <w:spacing w:beforeLines="20" w:before="48" w:afterLines="20" w:after="48"/>
              <w:jc w:val="center"/>
              <w:rPr>
                <w:noProof/>
                <w:sz w:val="16"/>
                <w:szCs w:val="16"/>
              </w:rPr>
            </w:pPr>
          </w:p>
        </w:tc>
        <w:tc>
          <w:tcPr>
            <w:tcW w:w="731" w:type="dxa"/>
            <w:shd w:val="clear" w:color="auto" w:fill="auto"/>
            <w:vAlign w:val="center"/>
          </w:tcPr>
          <w:p w14:paraId="0C7E6D2B" w14:textId="77777777" w:rsidR="00625704" w:rsidRPr="00401F20" w:rsidRDefault="00625704" w:rsidP="00C06A68">
            <w:pPr>
              <w:spacing w:beforeLines="20" w:before="48" w:afterLines="20" w:after="48"/>
              <w:jc w:val="center"/>
              <w:rPr>
                <w:noProof/>
                <w:sz w:val="16"/>
                <w:szCs w:val="16"/>
              </w:rPr>
            </w:pPr>
          </w:p>
        </w:tc>
      </w:tr>
      <w:tr w:rsidR="00625704" w:rsidRPr="003A769F" w14:paraId="04AEDCAF" w14:textId="77777777" w:rsidTr="00C06A68">
        <w:trPr>
          <w:gridBefore w:val="1"/>
          <w:wBefore w:w="15" w:type="dxa"/>
          <w:trHeight w:val="289"/>
          <w:jc w:val="center"/>
        </w:trPr>
        <w:tc>
          <w:tcPr>
            <w:tcW w:w="4754" w:type="dxa"/>
            <w:gridSpan w:val="2"/>
            <w:shd w:val="clear" w:color="auto" w:fill="auto"/>
            <w:vAlign w:val="center"/>
          </w:tcPr>
          <w:p w14:paraId="3FB8A858" w14:textId="77777777" w:rsidR="00625704" w:rsidRPr="004843C4" w:rsidRDefault="00625704" w:rsidP="00C06A68">
            <w:pPr>
              <w:pStyle w:val="Text1"/>
              <w:spacing w:beforeLines="20" w:before="48" w:afterLines="20" w:after="48"/>
              <w:ind w:left="136"/>
              <w:jc w:val="left"/>
              <w:rPr>
                <w:noProof/>
                <w:sz w:val="16"/>
                <w:szCs w:val="16"/>
              </w:rPr>
            </w:pPr>
            <w:r w:rsidRPr="00401F20">
              <w:rPr>
                <w:noProof/>
                <w:sz w:val="16"/>
              </w:rPr>
              <w:t>01 01 01 02</w:t>
            </w:r>
            <w:r w:rsidRPr="004843C4">
              <w:rPr>
                <w:rFonts w:ascii="Arial Narrow" w:hAnsi="Arial Narrow"/>
                <w:noProof/>
                <w:color w:val="000000"/>
                <w:sz w:val="20"/>
                <w:szCs w:val="20"/>
              </w:rPr>
              <w:t xml:space="preserve"> </w:t>
            </w:r>
            <w:r w:rsidRPr="004843C4">
              <w:rPr>
                <w:noProof/>
                <w:sz w:val="16"/>
                <w:szCs w:val="16"/>
              </w:rPr>
              <w:t>(AC, END, INT - Indirect research)</w:t>
            </w:r>
          </w:p>
        </w:tc>
        <w:tc>
          <w:tcPr>
            <w:tcW w:w="731" w:type="dxa"/>
            <w:shd w:val="clear" w:color="auto" w:fill="auto"/>
            <w:vAlign w:val="center"/>
          </w:tcPr>
          <w:p w14:paraId="2A1F0260" w14:textId="77777777" w:rsidR="00625704" w:rsidRPr="003A769F" w:rsidRDefault="00625704" w:rsidP="00C06A68">
            <w:pPr>
              <w:spacing w:beforeLines="20" w:before="48" w:afterLines="20" w:after="48"/>
              <w:jc w:val="center"/>
              <w:rPr>
                <w:noProof/>
                <w:sz w:val="16"/>
                <w:szCs w:val="16"/>
                <w:lang w:val="en-IE"/>
              </w:rPr>
            </w:pPr>
          </w:p>
        </w:tc>
        <w:tc>
          <w:tcPr>
            <w:tcW w:w="731" w:type="dxa"/>
            <w:shd w:val="clear" w:color="auto" w:fill="auto"/>
            <w:vAlign w:val="center"/>
          </w:tcPr>
          <w:p w14:paraId="02AADE84" w14:textId="77777777" w:rsidR="00625704" w:rsidRPr="003A769F" w:rsidRDefault="00625704" w:rsidP="00C06A68">
            <w:pPr>
              <w:spacing w:beforeLines="20" w:before="48" w:afterLines="20" w:after="48"/>
              <w:jc w:val="center"/>
              <w:rPr>
                <w:noProof/>
                <w:sz w:val="16"/>
                <w:szCs w:val="16"/>
                <w:lang w:val="en-IE"/>
              </w:rPr>
            </w:pPr>
          </w:p>
        </w:tc>
        <w:tc>
          <w:tcPr>
            <w:tcW w:w="731" w:type="dxa"/>
            <w:shd w:val="clear" w:color="auto" w:fill="auto"/>
            <w:vAlign w:val="center"/>
          </w:tcPr>
          <w:p w14:paraId="702725EC" w14:textId="77777777" w:rsidR="00625704" w:rsidRPr="003A769F" w:rsidRDefault="00625704" w:rsidP="00C06A68">
            <w:pPr>
              <w:spacing w:beforeLines="20" w:before="48" w:afterLines="20" w:after="48"/>
              <w:jc w:val="center"/>
              <w:rPr>
                <w:noProof/>
                <w:sz w:val="16"/>
                <w:szCs w:val="16"/>
                <w:lang w:val="en-IE"/>
              </w:rPr>
            </w:pPr>
          </w:p>
        </w:tc>
        <w:tc>
          <w:tcPr>
            <w:tcW w:w="731" w:type="dxa"/>
            <w:shd w:val="clear" w:color="auto" w:fill="auto"/>
            <w:vAlign w:val="center"/>
          </w:tcPr>
          <w:p w14:paraId="28E6C2E1" w14:textId="77777777" w:rsidR="00625704" w:rsidRPr="003A769F" w:rsidRDefault="00625704" w:rsidP="00C06A68">
            <w:pPr>
              <w:spacing w:beforeLines="20" w:before="48" w:afterLines="20" w:after="48"/>
              <w:jc w:val="center"/>
              <w:rPr>
                <w:noProof/>
                <w:sz w:val="16"/>
                <w:szCs w:val="16"/>
                <w:lang w:val="en-IE"/>
              </w:rPr>
            </w:pPr>
          </w:p>
        </w:tc>
        <w:tc>
          <w:tcPr>
            <w:tcW w:w="731" w:type="dxa"/>
            <w:shd w:val="clear" w:color="auto" w:fill="auto"/>
            <w:vAlign w:val="center"/>
          </w:tcPr>
          <w:p w14:paraId="37CEEAC2" w14:textId="77777777" w:rsidR="00625704" w:rsidRPr="003A769F" w:rsidRDefault="00625704" w:rsidP="00C06A68">
            <w:pPr>
              <w:spacing w:beforeLines="20" w:before="48" w:afterLines="20" w:after="48"/>
              <w:jc w:val="center"/>
              <w:rPr>
                <w:noProof/>
                <w:sz w:val="16"/>
                <w:szCs w:val="16"/>
                <w:lang w:val="en-IE"/>
              </w:rPr>
            </w:pPr>
          </w:p>
        </w:tc>
        <w:tc>
          <w:tcPr>
            <w:tcW w:w="731" w:type="dxa"/>
            <w:shd w:val="clear" w:color="auto" w:fill="auto"/>
            <w:vAlign w:val="center"/>
          </w:tcPr>
          <w:p w14:paraId="1810F716" w14:textId="77777777" w:rsidR="00625704" w:rsidRPr="003A769F" w:rsidRDefault="00625704" w:rsidP="00C06A68">
            <w:pPr>
              <w:spacing w:beforeLines="20" w:before="48" w:afterLines="20" w:after="48"/>
              <w:jc w:val="center"/>
              <w:rPr>
                <w:noProof/>
                <w:sz w:val="16"/>
                <w:szCs w:val="16"/>
                <w:lang w:val="en-IE"/>
              </w:rPr>
            </w:pPr>
          </w:p>
        </w:tc>
        <w:tc>
          <w:tcPr>
            <w:tcW w:w="731" w:type="dxa"/>
            <w:shd w:val="clear" w:color="auto" w:fill="auto"/>
            <w:vAlign w:val="center"/>
          </w:tcPr>
          <w:p w14:paraId="5DE3BBF7" w14:textId="77777777" w:rsidR="00625704" w:rsidRPr="003A769F" w:rsidRDefault="00625704" w:rsidP="00C06A68">
            <w:pPr>
              <w:spacing w:beforeLines="20" w:before="48" w:afterLines="20" w:after="48"/>
              <w:jc w:val="center"/>
              <w:rPr>
                <w:noProof/>
                <w:sz w:val="16"/>
                <w:szCs w:val="16"/>
                <w:lang w:val="en-IE"/>
              </w:rPr>
            </w:pPr>
          </w:p>
        </w:tc>
      </w:tr>
      <w:tr w:rsidR="00625704" w:rsidRPr="003A769F" w14:paraId="184DA22E" w14:textId="77777777" w:rsidTr="00C06A68">
        <w:trPr>
          <w:gridBefore w:val="1"/>
          <w:wBefore w:w="15" w:type="dxa"/>
          <w:trHeight w:val="289"/>
          <w:jc w:val="center"/>
        </w:trPr>
        <w:tc>
          <w:tcPr>
            <w:tcW w:w="4754" w:type="dxa"/>
            <w:gridSpan w:val="2"/>
            <w:shd w:val="clear" w:color="auto" w:fill="auto"/>
            <w:vAlign w:val="center"/>
          </w:tcPr>
          <w:p w14:paraId="4354D2E8" w14:textId="77777777" w:rsidR="00625704" w:rsidRPr="00401F20" w:rsidRDefault="00625704" w:rsidP="00C06A68">
            <w:pPr>
              <w:pStyle w:val="Text1"/>
              <w:spacing w:beforeLines="20" w:before="48" w:afterLines="20" w:after="48"/>
              <w:ind w:left="136"/>
              <w:jc w:val="left"/>
              <w:rPr>
                <w:noProof/>
                <w:color w:val="FF0000"/>
                <w:sz w:val="16"/>
                <w:szCs w:val="16"/>
              </w:rPr>
            </w:pPr>
            <w:r w:rsidRPr="00401F20">
              <w:rPr>
                <w:noProof/>
                <w:sz w:val="16"/>
              </w:rPr>
              <w:t xml:space="preserve"> 01 01</w:t>
            </w:r>
            <w:r w:rsidRPr="004843C4">
              <w:rPr>
                <w:noProof/>
                <w:sz w:val="16"/>
              </w:rPr>
              <w:t xml:space="preserve"> 0</w:t>
            </w:r>
            <w:r w:rsidRPr="00401F20">
              <w:rPr>
                <w:noProof/>
                <w:sz w:val="16"/>
              </w:rPr>
              <w:t xml:space="preserve">1 </w:t>
            </w:r>
            <w:r w:rsidRPr="004843C4">
              <w:rPr>
                <w:noProof/>
                <w:sz w:val="16"/>
              </w:rPr>
              <w:t>12 (AC, END, INT - Direct research)</w:t>
            </w:r>
          </w:p>
        </w:tc>
        <w:tc>
          <w:tcPr>
            <w:tcW w:w="731" w:type="dxa"/>
            <w:shd w:val="clear" w:color="auto" w:fill="auto"/>
            <w:vAlign w:val="center"/>
          </w:tcPr>
          <w:p w14:paraId="282BE400" w14:textId="77777777" w:rsidR="00625704" w:rsidRPr="003A769F" w:rsidRDefault="00625704" w:rsidP="00C06A68">
            <w:pPr>
              <w:spacing w:beforeLines="20" w:before="48" w:afterLines="20" w:after="48"/>
              <w:jc w:val="center"/>
              <w:rPr>
                <w:noProof/>
                <w:sz w:val="16"/>
                <w:szCs w:val="16"/>
                <w:lang w:val="en-IE"/>
              </w:rPr>
            </w:pPr>
          </w:p>
        </w:tc>
        <w:tc>
          <w:tcPr>
            <w:tcW w:w="731" w:type="dxa"/>
            <w:shd w:val="clear" w:color="auto" w:fill="auto"/>
            <w:vAlign w:val="center"/>
          </w:tcPr>
          <w:p w14:paraId="36D6A60C" w14:textId="77777777" w:rsidR="00625704" w:rsidRPr="003A769F" w:rsidRDefault="00625704" w:rsidP="00C06A68">
            <w:pPr>
              <w:spacing w:beforeLines="20" w:before="48" w:afterLines="20" w:after="48"/>
              <w:jc w:val="center"/>
              <w:rPr>
                <w:noProof/>
                <w:sz w:val="16"/>
                <w:szCs w:val="16"/>
                <w:lang w:val="en-IE"/>
              </w:rPr>
            </w:pPr>
          </w:p>
        </w:tc>
        <w:tc>
          <w:tcPr>
            <w:tcW w:w="731" w:type="dxa"/>
            <w:shd w:val="clear" w:color="auto" w:fill="auto"/>
            <w:vAlign w:val="center"/>
          </w:tcPr>
          <w:p w14:paraId="63ACF03A" w14:textId="77777777" w:rsidR="00625704" w:rsidRPr="003A769F" w:rsidRDefault="00625704" w:rsidP="00C06A68">
            <w:pPr>
              <w:spacing w:beforeLines="20" w:before="48" w:afterLines="20" w:after="48"/>
              <w:jc w:val="center"/>
              <w:rPr>
                <w:noProof/>
                <w:sz w:val="16"/>
                <w:szCs w:val="16"/>
                <w:lang w:val="en-IE"/>
              </w:rPr>
            </w:pPr>
          </w:p>
        </w:tc>
        <w:tc>
          <w:tcPr>
            <w:tcW w:w="731" w:type="dxa"/>
            <w:shd w:val="clear" w:color="auto" w:fill="auto"/>
            <w:vAlign w:val="center"/>
          </w:tcPr>
          <w:p w14:paraId="7C88C10D" w14:textId="77777777" w:rsidR="00625704" w:rsidRPr="003A769F" w:rsidRDefault="00625704" w:rsidP="00C06A68">
            <w:pPr>
              <w:spacing w:beforeLines="20" w:before="48" w:afterLines="20" w:after="48"/>
              <w:jc w:val="center"/>
              <w:rPr>
                <w:noProof/>
                <w:sz w:val="16"/>
                <w:szCs w:val="16"/>
                <w:lang w:val="en-IE"/>
              </w:rPr>
            </w:pPr>
          </w:p>
        </w:tc>
        <w:tc>
          <w:tcPr>
            <w:tcW w:w="731" w:type="dxa"/>
            <w:shd w:val="clear" w:color="auto" w:fill="auto"/>
            <w:vAlign w:val="center"/>
          </w:tcPr>
          <w:p w14:paraId="256303B7" w14:textId="77777777" w:rsidR="00625704" w:rsidRPr="003A769F" w:rsidRDefault="00625704" w:rsidP="00C06A68">
            <w:pPr>
              <w:spacing w:beforeLines="20" w:before="48" w:afterLines="20" w:after="48"/>
              <w:jc w:val="center"/>
              <w:rPr>
                <w:noProof/>
                <w:sz w:val="16"/>
                <w:szCs w:val="16"/>
                <w:lang w:val="en-IE"/>
              </w:rPr>
            </w:pPr>
          </w:p>
        </w:tc>
        <w:tc>
          <w:tcPr>
            <w:tcW w:w="731" w:type="dxa"/>
            <w:shd w:val="clear" w:color="auto" w:fill="auto"/>
            <w:vAlign w:val="center"/>
          </w:tcPr>
          <w:p w14:paraId="62923DD9" w14:textId="77777777" w:rsidR="00625704" w:rsidRPr="003A769F" w:rsidRDefault="00625704" w:rsidP="00C06A68">
            <w:pPr>
              <w:spacing w:beforeLines="20" w:before="48" w:afterLines="20" w:after="48"/>
              <w:jc w:val="center"/>
              <w:rPr>
                <w:noProof/>
                <w:sz w:val="16"/>
                <w:szCs w:val="16"/>
                <w:lang w:val="en-IE"/>
              </w:rPr>
            </w:pPr>
          </w:p>
        </w:tc>
        <w:tc>
          <w:tcPr>
            <w:tcW w:w="731" w:type="dxa"/>
            <w:shd w:val="clear" w:color="auto" w:fill="auto"/>
            <w:vAlign w:val="center"/>
          </w:tcPr>
          <w:p w14:paraId="1F5B9AC8" w14:textId="77777777" w:rsidR="00625704" w:rsidRPr="003A769F" w:rsidRDefault="00625704" w:rsidP="00C06A68">
            <w:pPr>
              <w:spacing w:beforeLines="20" w:before="48" w:afterLines="20" w:after="48"/>
              <w:jc w:val="center"/>
              <w:rPr>
                <w:noProof/>
                <w:sz w:val="16"/>
                <w:szCs w:val="16"/>
                <w:lang w:val="en-IE"/>
              </w:rPr>
            </w:pPr>
          </w:p>
        </w:tc>
      </w:tr>
      <w:tr w:rsidR="00625704" w:rsidRPr="00401F20" w14:paraId="24509D1B" w14:textId="77777777" w:rsidTr="00C06A68">
        <w:trPr>
          <w:gridBefore w:val="1"/>
          <w:wBefore w:w="15" w:type="dxa"/>
          <w:trHeight w:val="289"/>
          <w:jc w:val="center"/>
        </w:trPr>
        <w:tc>
          <w:tcPr>
            <w:tcW w:w="4754" w:type="dxa"/>
            <w:gridSpan w:val="2"/>
            <w:shd w:val="clear" w:color="auto" w:fill="auto"/>
            <w:vAlign w:val="center"/>
          </w:tcPr>
          <w:p w14:paraId="75538909" w14:textId="77777777" w:rsidR="00625704" w:rsidRPr="00401F20" w:rsidRDefault="00625704" w:rsidP="00C06A68">
            <w:pPr>
              <w:pStyle w:val="Text1"/>
              <w:spacing w:beforeLines="20" w:before="48" w:afterLines="20" w:after="48"/>
              <w:ind w:left="136"/>
              <w:jc w:val="left"/>
              <w:rPr>
                <w:noProof/>
                <w:sz w:val="16"/>
              </w:rPr>
            </w:pPr>
            <w:r w:rsidRPr="00401F20">
              <w:rPr>
                <w:noProof/>
                <w:sz w:val="16"/>
              </w:rPr>
              <w:t>Other budget lines (specify)</w:t>
            </w:r>
          </w:p>
        </w:tc>
        <w:tc>
          <w:tcPr>
            <w:tcW w:w="731" w:type="dxa"/>
            <w:shd w:val="clear" w:color="auto" w:fill="auto"/>
            <w:vAlign w:val="center"/>
          </w:tcPr>
          <w:p w14:paraId="20BD25AB" w14:textId="77777777" w:rsidR="00625704" w:rsidRPr="004843C4" w:rsidRDefault="00625704" w:rsidP="00C06A68">
            <w:pPr>
              <w:spacing w:beforeLines="20" w:before="48" w:afterLines="20" w:after="48"/>
              <w:jc w:val="center"/>
              <w:rPr>
                <w:noProof/>
                <w:sz w:val="16"/>
                <w:szCs w:val="16"/>
              </w:rPr>
            </w:pPr>
          </w:p>
        </w:tc>
        <w:tc>
          <w:tcPr>
            <w:tcW w:w="731" w:type="dxa"/>
            <w:shd w:val="clear" w:color="auto" w:fill="auto"/>
            <w:vAlign w:val="center"/>
          </w:tcPr>
          <w:p w14:paraId="135ACD4B" w14:textId="77777777" w:rsidR="00625704" w:rsidRPr="004843C4" w:rsidRDefault="00625704" w:rsidP="00C06A68">
            <w:pPr>
              <w:spacing w:beforeLines="20" w:before="48" w:afterLines="20" w:after="48"/>
              <w:jc w:val="center"/>
              <w:rPr>
                <w:noProof/>
                <w:sz w:val="16"/>
                <w:szCs w:val="16"/>
              </w:rPr>
            </w:pPr>
          </w:p>
        </w:tc>
        <w:tc>
          <w:tcPr>
            <w:tcW w:w="731" w:type="dxa"/>
            <w:shd w:val="clear" w:color="auto" w:fill="auto"/>
            <w:vAlign w:val="center"/>
          </w:tcPr>
          <w:p w14:paraId="1D826441" w14:textId="77777777" w:rsidR="00625704" w:rsidRPr="00401F20" w:rsidRDefault="00625704" w:rsidP="00C06A68">
            <w:pPr>
              <w:spacing w:beforeLines="20" w:before="48" w:afterLines="20" w:after="48"/>
              <w:jc w:val="center"/>
              <w:rPr>
                <w:noProof/>
                <w:sz w:val="16"/>
                <w:szCs w:val="16"/>
              </w:rPr>
            </w:pPr>
          </w:p>
        </w:tc>
        <w:tc>
          <w:tcPr>
            <w:tcW w:w="731" w:type="dxa"/>
            <w:shd w:val="clear" w:color="auto" w:fill="auto"/>
            <w:vAlign w:val="center"/>
          </w:tcPr>
          <w:p w14:paraId="2E4CD952" w14:textId="77777777" w:rsidR="00625704" w:rsidRPr="00401F20" w:rsidRDefault="00625704" w:rsidP="00C06A68">
            <w:pPr>
              <w:spacing w:beforeLines="20" w:before="48" w:afterLines="20" w:after="48"/>
              <w:jc w:val="center"/>
              <w:rPr>
                <w:noProof/>
                <w:sz w:val="16"/>
                <w:szCs w:val="16"/>
              </w:rPr>
            </w:pPr>
          </w:p>
        </w:tc>
        <w:tc>
          <w:tcPr>
            <w:tcW w:w="731" w:type="dxa"/>
            <w:shd w:val="clear" w:color="auto" w:fill="auto"/>
            <w:vAlign w:val="center"/>
          </w:tcPr>
          <w:p w14:paraId="5539F21C" w14:textId="77777777" w:rsidR="00625704" w:rsidRPr="00401F20" w:rsidRDefault="00625704" w:rsidP="00C06A68">
            <w:pPr>
              <w:spacing w:beforeLines="20" w:before="48" w:afterLines="20" w:after="48"/>
              <w:jc w:val="center"/>
              <w:rPr>
                <w:noProof/>
                <w:sz w:val="16"/>
                <w:szCs w:val="16"/>
              </w:rPr>
            </w:pPr>
          </w:p>
        </w:tc>
        <w:tc>
          <w:tcPr>
            <w:tcW w:w="731" w:type="dxa"/>
            <w:shd w:val="clear" w:color="auto" w:fill="auto"/>
            <w:vAlign w:val="center"/>
          </w:tcPr>
          <w:p w14:paraId="2B09F56A" w14:textId="77777777" w:rsidR="00625704" w:rsidRPr="00401F20" w:rsidRDefault="00625704" w:rsidP="00C06A68">
            <w:pPr>
              <w:spacing w:beforeLines="20" w:before="48" w:afterLines="20" w:after="48"/>
              <w:jc w:val="center"/>
              <w:rPr>
                <w:noProof/>
                <w:sz w:val="16"/>
                <w:szCs w:val="16"/>
              </w:rPr>
            </w:pPr>
          </w:p>
        </w:tc>
        <w:tc>
          <w:tcPr>
            <w:tcW w:w="731" w:type="dxa"/>
            <w:shd w:val="clear" w:color="auto" w:fill="auto"/>
            <w:vAlign w:val="center"/>
          </w:tcPr>
          <w:p w14:paraId="3818A3CC" w14:textId="77777777" w:rsidR="00625704" w:rsidRPr="00401F20" w:rsidRDefault="00625704" w:rsidP="00C06A68">
            <w:pPr>
              <w:spacing w:beforeLines="20" w:before="48" w:afterLines="20" w:after="48"/>
              <w:jc w:val="center"/>
              <w:rPr>
                <w:noProof/>
                <w:sz w:val="16"/>
                <w:szCs w:val="16"/>
              </w:rPr>
            </w:pPr>
          </w:p>
        </w:tc>
      </w:tr>
      <w:tr w:rsidR="00625704" w:rsidRPr="00401F20" w14:paraId="2EF6E03F" w14:textId="77777777" w:rsidTr="00C06A68">
        <w:trPr>
          <w:gridBefore w:val="1"/>
          <w:wBefore w:w="15" w:type="dxa"/>
          <w:trHeight w:val="289"/>
          <w:jc w:val="center"/>
        </w:trPr>
        <w:tc>
          <w:tcPr>
            <w:tcW w:w="4754" w:type="dxa"/>
            <w:gridSpan w:val="2"/>
            <w:tcBorders>
              <w:top w:val="double" w:sz="4" w:space="0" w:color="auto"/>
            </w:tcBorders>
            <w:shd w:val="clear" w:color="auto" w:fill="auto"/>
            <w:vAlign w:val="center"/>
          </w:tcPr>
          <w:p w14:paraId="43A7E009" w14:textId="77777777" w:rsidR="00625704" w:rsidRPr="00401F20" w:rsidRDefault="00625704" w:rsidP="00C06A68">
            <w:pPr>
              <w:pStyle w:val="Text1"/>
              <w:spacing w:beforeLines="20" w:before="48" w:afterLines="20" w:after="48"/>
              <w:ind w:left="136"/>
              <w:jc w:val="left"/>
              <w:rPr>
                <w:noProof/>
                <w:sz w:val="16"/>
                <w:szCs w:val="16"/>
              </w:rPr>
            </w:pPr>
            <w:r w:rsidRPr="00401F20">
              <w:rPr>
                <w:b/>
                <w:noProof/>
                <w:sz w:val="16"/>
              </w:rPr>
              <w:t>TOTAL</w:t>
            </w:r>
          </w:p>
        </w:tc>
        <w:tc>
          <w:tcPr>
            <w:tcW w:w="731" w:type="dxa"/>
            <w:tcBorders>
              <w:top w:val="double" w:sz="4" w:space="0" w:color="auto"/>
            </w:tcBorders>
            <w:shd w:val="clear" w:color="auto" w:fill="auto"/>
            <w:vAlign w:val="center"/>
          </w:tcPr>
          <w:p w14:paraId="1A4AA133" w14:textId="77777777" w:rsidR="00625704" w:rsidRPr="00401F20" w:rsidRDefault="00625704" w:rsidP="00C06A68">
            <w:pPr>
              <w:spacing w:beforeLines="20" w:before="48" w:afterLines="20" w:after="48"/>
              <w:jc w:val="center"/>
              <w:rPr>
                <w:b/>
                <w:noProof/>
                <w:sz w:val="16"/>
                <w:szCs w:val="16"/>
              </w:rPr>
            </w:pPr>
            <w:r>
              <w:rPr>
                <w:b/>
                <w:noProof/>
                <w:sz w:val="16"/>
                <w:szCs w:val="16"/>
              </w:rPr>
              <w:t>53</w:t>
            </w:r>
          </w:p>
        </w:tc>
        <w:tc>
          <w:tcPr>
            <w:tcW w:w="731" w:type="dxa"/>
            <w:tcBorders>
              <w:top w:val="double" w:sz="4" w:space="0" w:color="auto"/>
            </w:tcBorders>
            <w:shd w:val="clear" w:color="auto" w:fill="auto"/>
            <w:vAlign w:val="center"/>
          </w:tcPr>
          <w:p w14:paraId="3C16D288" w14:textId="77777777" w:rsidR="00625704" w:rsidRPr="00401F20" w:rsidRDefault="00625704" w:rsidP="00C06A68">
            <w:pPr>
              <w:spacing w:beforeLines="20" w:before="48" w:afterLines="20" w:after="48"/>
              <w:jc w:val="center"/>
              <w:rPr>
                <w:b/>
                <w:noProof/>
                <w:sz w:val="16"/>
                <w:szCs w:val="16"/>
              </w:rPr>
            </w:pPr>
            <w:r>
              <w:rPr>
                <w:b/>
                <w:noProof/>
                <w:sz w:val="16"/>
                <w:szCs w:val="16"/>
              </w:rPr>
              <w:t>53</w:t>
            </w:r>
          </w:p>
        </w:tc>
        <w:tc>
          <w:tcPr>
            <w:tcW w:w="731" w:type="dxa"/>
            <w:tcBorders>
              <w:top w:val="double" w:sz="4" w:space="0" w:color="auto"/>
            </w:tcBorders>
            <w:shd w:val="clear" w:color="auto" w:fill="auto"/>
            <w:vAlign w:val="center"/>
          </w:tcPr>
          <w:p w14:paraId="52977D4D" w14:textId="77777777" w:rsidR="00625704" w:rsidRPr="00401F20" w:rsidRDefault="00625704" w:rsidP="00C06A68">
            <w:pPr>
              <w:spacing w:beforeLines="20" w:before="48" w:afterLines="20" w:after="48"/>
              <w:jc w:val="center"/>
              <w:rPr>
                <w:b/>
                <w:noProof/>
                <w:sz w:val="16"/>
                <w:szCs w:val="16"/>
              </w:rPr>
            </w:pPr>
            <w:r>
              <w:rPr>
                <w:b/>
                <w:noProof/>
                <w:sz w:val="16"/>
                <w:szCs w:val="16"/>
              </w:rPr>
              <w:t>53</w:t>
            </w:r>
          </w:p>
        </w:tc>
        <w:tc>
          <w:tcPr>
            <w:tcW w:w="731" w:type="dxa"/>
            <w:tcBorders>
              <w:top w:val="double" w:sz="4" w:space="0" w:color="auto"/>
            </w:tcBorders>
            <w:shd w:val="clear" w:color="auto" w:fill="auto"/>
            <w:vAlign w:val="center"/>
          </w:tcPr>
          <w:p w14:paraId="18AEE145" w14:textId="77777777" w:rsidR="00625704" w:rsidRPr="00401F20" w:rsidRDefault="00625704" w:rsidP="00C06A68">
            <w:pPr>
              <w:spacing w:beforeLines="20" w:before="48" w:afterLines="20" w:after="48"/>
              <w:jc w:val="center"/>
              <w:rPr>
                <w:b/>
                <w:noProof/>
                <w:sz w:val="16"/>
                <w:szCs w:val="16"/>
              </w:rPr>
            </w:pPr>
          </w:p>
        </w:tc>
        <w:tc>
          <w:tcPr>
            <w:tcW w:w="731" w:type="dxa"/>
            <w:tcBorders>
              <w:top w:val="double" w:sz="4" w:space="0" w:color="auto"/>
            </w:tcBorders>
            <w:shd w:val="clear" w:color="auto" w:fill="auto"/>
            <w:vAlign w:val="center"/>
          </w:tcPr>
          <w:p w14:paraId="0804D5EF" w14:textId="77777777" w:rsidR="00625704" w:rsidRPr="00401F20" w:rsidRDefault="00625704" w:rsidP="00C06A68">
            <w:pPr>
              <w:spacing w:beforeLines="20" w:before="48" w:afterLines="20" w:after="48"/>
              <w:jc w:val="center"/>
              <w:rPr>
                <w:b/>
                <w:noProof/>
                <w:sz w:val="16"/>
                <w:szCs w:val="16"/>
              </w:rPr>
            </w:pPr>
          </w:p>
        </w:tc>
        <w:tc>
          <w:tcPr>
            <w:tcW w:w="731" w:type="dxa"/>
            <w:tcBorders>
              <w:top w:val="double" w:sz="4" w:space="0" w:color="auto"/>
            </w:tcBorders>
            <w:shd w:val="clear" w:color="auto" w:fill="auto"/>
            <w:vAlign w:val="center"/>
          </w:tcPr>
          <w:p w14:paraId="3C8FD857" w14:textId="77777777" w:rsidR="00625704" w:rsidRPr="00401F20" w:rsidRDefault="00625704" w:rsidP="00C06A68">
            <w:pPr>
              <w:spacing w:beforeLines="20" w:before="48" w:afterLines="20" w:after="48"/>
              <w:jc w:val="center"/>
              <w:rPr>
                <w:b/>
                <w:noProof/>
                <w:sz w:val="16"/>
                <w:szCs w:val="16"/>
              </w:rPr>
            </w:pPr>
          </w:p>
        </w:tc>
        <w:tc>
          <w:tcPr>
            <w:tcW w:w="731" w:type="dxa"/>
            <w:tcBorders>
              <w:top w:val="double" w:sz="4" w:space="0" w:color="auto"/>
            </w:tcBorders>
            <w:shd w:val="clear" w:color="auto" w:fill="auto"/>
            <w:vAlign w:val="center"/>
          </w:tcPr>
          <w:p w14:paraId="756B4304" w14:textId="77777777" w:rsidR="00625704" w:rsidRPr="00401F20" w:rsidRDefault="00625704" w:rsidP="00C06A68">
            <w:pPr>
              <w:spacing w:beforeLines="20" w:before="48" w:afterLines="20" w:after="48"/>
              <w:jc w:val="center"/>
              <w:rPr>
                <w:b/>
                <w:noProof/>
                <w:sz w:val="16"/>
                <w:szCs w:val="16"/>
              </w:rPr>
            </w:pPr>
          </w:p>
        </w:tc>
      </w:tr>
    </w:tbl>
    <w:p w14:paraId="5005AB06" w14:textId="77777777" w:rsidR="00625704" w:rsidRDefault="00625704" w:rsidP="00625704">
      <w:pPr>
        <w:pStyle w:val="Text1"/>
        <w:spacing w:before="60" w:after="60"/>
        <w:ind w:left="851"/>
        <w:rPr>
          <w:noProof/>
          <w:sz w:val="18"/>
          <w:szCs w:val="18"/>
        </w:rPr>
      </w:pPr>
      <w:r>
        <w:rPr>
          <w:noProof/>
          <w:sz w:val="18"/>
          <w:szCs w:val="18"/>
        </w:rPr>
        <w:t>13</w:t>
      </w:r>
      <w:r w:rsidRPr="00401F20">
        <w:rPr>
          <w:noProof/>
          <w:sz w:val="18"/>
          <w:szCs w:val="18"/>
        </w:rPr>
        <w:t xml:space="preserve"> is the policy area or budget title concerned.</w:t>
      </w:r>
    </w:p>
    <w:p w14:paraId="047EF2BB" w14:textId="77777777" w:rsidR="00625704" w:rsidRDefault="00625704" w:rsidP="00625704">
      <w:pPr>
        <w:pStyle w:val="Text1"/>
        <w:rPr>
          <w:noProof/>
          <w:sz w:val="18"/>
          <w:szCs w:val="18"/>
        </w:rPr>
      </w:pPr>
      <w:r w:rsidRPr="00FA1F34">
        <w:rPr>
          <w:noProof/>
          <w:sz w:val="18"/>
        </w:rPr>
        <w:t xml:space="preserve">The </w:t>
      </w:r>
      <w:r w:rsidR="00673D5B">
        <w:rPr>
          <w:noProof/>
          <w:sz w:val="18"/>
        </w:rPr>
        <w:t>establishment plan posts</w:t>
      </w:r>
      <w:r w:rsidRPr="00FA1F34">
        <w:rPr>
          <w:noProof/>
          <w:sz w:val="18"/>
        </w:rPr>
        <w:t xml:space="preserve"> required will be met by staff from the DG who are already assigned to management of the action and/or have been redeployed within the DG, together if necessary with any additional allocation which may be granted to the managing DG under the annual allocation procedure and in the light of budgetary constraints</w:t>
      </w:r>
      <w:r>
        <w:rPr>
          <w:noProof/>
          <w:sz w:val="18"/>
        </w:rPr>
        <w:t>.</w:t>
      </w:r>
    </w:p>
    <w:p w14:paraId="1532927A" w14:textId="77777777" w:rsidR="00625704" w:rsidRPr="003A769F" w:rsidRDefault="00625704" w:rsidP="00625704">
      <w:pPr>
        <w:rPr>
          <w:noProof/>
          <w:sz w:val="20"/>
          <w:lang w:val="en-IE"/>
        </w:rPr>
      </w:pPr>
      <w:r w:rsidRPr="003A769F">
        <w:rPr>
          <w:noProof/>
          <w:sz w:val="20"/>
          <w:lang w:val="en-IE"/>
        </w:rPr>
        <w:t>Description of tasks to be carried out:</w:t>
      </w:r>
    </w:p>
    <w:tbl>
      <w:tblPr>
        <w:tblW w:w="10440" w:type="dxa"/>
        <w:tblInd w:w="-4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3240"/>
        <w:gridCol w:w="7200"/>
      </w:tblGrid>
      <w:tr w:rsidR="00625704" w14:paraId="0200A6D4" w14:textId="77777777" w:rsidTr="00FA026A">
        <w:tc>
          <w:tcPr>
            <w:tcW w:w="3240" w:type="dxa"/>
          </w:tcPr>
          <w:p w14:paraId="502A220B" w14:textId="77777777" w:rsidR="00625704" w:rsidRDefault="00625704" w:rsidP="00C06A68">
            <w:pPr>
              <w:rPr>
                <w:noProof/>
                <w:sz w:val="20"/>
              </w:rPr>
            </w:pPr>
            <w:r>
              <w:rPr>
                <w:noProof/>
                <w:sz w:val="20"/>
              </w:rPr>
              <w:t>Officials and temporary staff</w:t>
            </w:r>
          </w:p>
        </w:tc>
        <w:tc>
          <w:tcPr>
            <w:tcW w:w="7200" w:type="dxa"/>
          </w:tcPr>
          <w:p w14:paraId="7B68E406" w14:textId="77777777" w:rsidR="00625704" w:rsidRDefault="00625704" w:rsidP="00C06A68">
            <w:pPr>
              <w:rPr>
                <w:noProof/>
                <w:sz w:val="20"/>
              </w:rPr>
            </w:pPr>
            <w:r w:rsidRPr="00D00770">
              <w:rPr>
                <w:noProof/>
                <w:sz w:val="20"/>
              </w:rPr>
              <w:t xml:space="preserve">The FTEs sought will work on the policy development, legal issues, with particular focus on </w:t>
            </w:r>
            <w:r>
              <w:rPr>
                <w:noProof/>
                <w:sz w:val="20"/>
              </w:rPr>
              <w:t xml:space="preserve">grant and </w:t>
            </w:r>
            <w:r w:rsidRPr="00D00770">
              <w:rPr>
                <w:noProof/>
                <w:sz w:val="20"/>
              </w:rPr>
              <w:t>procurement matters, financial management, contract management, audit and evaluation.</w:t>
            </w:r>
          </w:p>
        </w:tc>
      </w:tr>
      <w:tr w:rsidR="00625704" w14:paraId="28529574" w14:textId="77777777" w:rsidTr="00FA026A">
        <w:tc>
          <w:tcPr>
            <w:tcW w:w="3240" w:type="dxa"/>
          </w:tcPr>
          <w:p w14:paraId="6E0CD52D" w14:textId="77777777" w:rsidR="00625704" w:rsidRDefault="00625704" w:rsidP="00C06A68">
            <w:pPr>
              <w:spacing w:before="60" w:after="60"/>
              <w:rPr>
                <w:noProof/>
                <w:sz w:val="20"/>
              </w:rPr>
            </w:pPr>
            <w:r>
              <w:rPr>
                <w:noProof/>
                <w:sz w:val="20"/>
              </w:rPr>
              <w:t>External staff</w:t>
            </w:r>
          </w:p>
        </w:tc>
        <w:tc>
          <w:tcPr>
            <w:tcW w:w="7200" w:type="dxa"/>
          </w:tcPr>
          <w:p w14:paraId="7D5B0819" w14:textId="77777777" w:rsidR="00625704" w:rsidRDefault="00625704" w:rsidP="00C06A68">
            <w:pPr>
              <w:rPr>
                <w:noProof/>
                <w:sz w:val="20"/>
              </w:rPr>
            </w:pPr>
            <w:r w:rsidRPr="00D00770">
              <w:rPr>
                <w:noProof/>
                <w:sz w:val="20"/>
              </w:rPr>
              <w:t xml:space="preserve">The FTEs sought will work on the policy development, legal issues, with particular focus on </w:t>
            </w:r>
            <w:r>
              <w:rPr>
                <w:noProof/>
                <w:sz w:val="20"/>
              </w:rPr>
              <w:t xml:space="preserve">grant and </w:t>
            </w:r>
            <w:r w:rsidRPr="00D00770">
              <w:rPr>
                <w:noProof/>
                <w:sz w:val="20"/>
              </w:rPr>
              <w:t>procurement matters, financial management, contract management, audit and evaluation.</w:t>
            </w:r>
          </w:p>
        </w:tc>
      </w:tr>
    </w:tbl>
    <w:p w14:paraId="033C4C0D" w14:textId="77777777" w:rsidR="00625704" w:rsidRDefault="00625704" w:rsidP="00625704">
      <w:pPr>
        <w:rPr>
          <w:noProof/>
        </w:rPr>
        <w:sectPr w:rsidR="00625704" w:rsidSect="00E82958">
          <w:pgSz w:w="11907" w:h="16840"/>
          <w:pgMar w:top="1134" w:right="1418" w:bottom="1134" w:left="1418" w:header="709" w:footer="709" w:gutter="0"/>
          <w:cols w:space="708"/>
          <w:docGrid w:linePitch="360"/>
        </w:sectPr>
      </w:pPr>
    </w:p>
    <w:p w14:paraId="3B3E3815" w14:textId="77777777" w:rsidR="00625704" w:rsidRDefault="00625704" w:rsidP="00625704">
      <w:pPr>
        <w:pStyle w:val="ManualHeading3"/>
        <w:rPr>
          <w:noProof/>
        </w:rPr>
      </w:pPr>
      <w:bookmarkStart w:id="72" w:name="_Toc514938056"/>
      <w:bookmarkStart w:id="73" w:name="_Toc520485055"/>
      <w:r w:rsidRPr="0021790A">
        <w:rPr>
          <w:noProof/>
        </w:rPr>
        <w:t>3.2.4.</w:t>
      </w:r>
      <w:r w:rsidRPr="0021790A">
        <w:rPr>
          <w:noProof/>
        </w:rPr>
        <w:tab/>
      </w:r>
      <w:r>
        <w:rPr>
          <w:noProof/>
        </w:rPr>
        <w:t>Compatibility with the current multiannual financial framework</w:t>
      </w:r>
      <w:bookmarkEnd w:id="72"/>
      <w:bookmarkEnd w:id="73"/>
      <w:r>
        <w:rPr>
          <w:noProof/>
        </w:rPr>
        <w:t xml:space="preserve"> </w:t>
      </w:r>
    </w:p>
    <w:p w14:paraId="5CFA61A9" w14:textId="77777777" w:rsidR="00625704" w:rsidRDefault="00625704" w:rsidP="00625704">
      <w:pPr>
        <w:pStyle w:val="Text1"/>
        <w:rPr>
          <w:noProof/>
        </w:rPr>
      </w:pPr>
      <w:r w:rsidRPr="00386FF5">
        <w:rPr>
          <w:noProof/>
        </w:rPr>
        <w:t>The proposal/initiative</w:t>
      </w:r>
      <w:r w:rsidRPr="007974DD">
        <w:rPr>
          <w:noProof/>
        </w:rPr>
        <w:t>:</w:t>
      </w:r>
    </w:p>
    <w:p w14:paraId="0C816DAF" w14:textId="77777777" w:rsidR="00625704" w:rsidRDefault="00625704" w:rsidP="00625704">
      <w:pPr>
        <w:pStyle w:val="ListDash1"/>
        <w:rPr>
          <w:noProof/>
        </w:rPr>
      </w:pPr>
      <w:r>
        <w:rPr>
          <w:rFonts w:ascii="Wingdings" w:eastAsia="Wingdings" w:hAnsi="Wingdings" w:cs="Wingdings"/>
          <w:noProof/>
        </w:rPr>
        <w:sym w:font="Wingdings" w:char="F0FE"/>
      </w:r>
      <w:r>
        <w:rPr>
          <w:noProof/>
        </w:rPr>
        <w:tab/>
      </w:r>
      <w:r w:rsidRPr="007B1B0C">
        <w:rPr>
          <w:noProof/>
        </w:rPr>
        <w:t>can be fully financed through redeployment within the relevant</w:t>
      </w:r>
      <w:r>
        <w:rPr>
          <w:noProof/>
        </w:rPr>
        <w:t xml:space="preserve"> heading of the Multiannual Financial Framework (MFF).</w:t>
      </w:r>
    </w:p>
    <w:p w14:paraId="5C598B85" w14:textId="77777777" w:rsidR="00625704" w:rsidRDefault="00625704" w:rsidP="00625704">
      <w:pPr>
        <w:pStyle w:val="Text1"/>
        <w:pBdr>
          <w:top w:val="single" w:sz="4" w:space="1" w:color="auto"/>
          <w:left w:val="single" w:sz="4" w:space="4" w:color="auto"/>
          <w:bottom w:val="single" w:sz="4" w:space="1" w:color="auto"/>
          <w:right w:val="single" w:sz="4" w:space="4" w:color="auto"/>
        </w:pBdr>
        <w:rPr>
          <w:noProof/>
          <w:sz w:val="20"/>
        </w:rPr>
      </w:pPr>
      <w:r w:rsidRPr="00A41367">
        <w:rPr>
          <w:noProof/>
          <w:sz w:val="20"/>
        </w:rPr>
        <w:t>Heading 5. See details in section 3.2.</w:t>
      </w:r>
    </w:p>
    <w:p w14:paraId="724A48F3" w14:textId="77777777" w:rsidR="00625704" w:rsidRDefault="00625704" w:rsidP="00625704">
      <w:pPr>
        <w:pStyle w:val="ListDash1"/>
        <w:rPr>
          <w:noProof/>
        </w:rPr>
      </w:pPr>
      <w:r>
        <w:rPr>
          <w:rFonts w:ascii="Wingdings" w:eastAsia="Wingdings" w:hAnsi="Wingdings" w:cs="Wingdings"/>
          <w:noProof/>
        </w:rPr>
        <w:t></w:t>
      </w:r>
      <w:r>
        <w:rPr>
          <w:noProof/>
        </w:rPr>
        <w:tab/>
      </w:r>
      <w:r w:rsidRPr="007B1B0C">
        <w:rPr>
          <w:noProof/>
        </w:rPr>
        <w:t>requires use of the unallocated margin under the relevant heading of the MFF and/or use of the special instruments as defined in the MFF Regulation</w:t>
      </w:r>
      <w:r>
        <w:rPr>
          <w:noProof/>
        </w:rPr>
        <w:t>.</w:t>
      </w:r>
    </w:p>
    <w:p w14:paraId="26DD981A" w14:textId="77777777" w:rsidR="00625704" w:rsidRDefault="00625704" w:rsidP="00625704">
      <w:pPr>
        <w:pStyle w:val="Text1"/>
        <w:pBdr>
          <w:top w:val="single" w:sz="4" w:space="1" w:color="auto"/>
          <w:left w:val="single" w:sz="4" w:space="4" w:color="auto"/>
          <w:bottom w:val="single" w:sz="4" w:space="1" w:color="auto"/>
          <w:right w:val="single" w:sz="4" w:space="4" w:color="auto"/>
        </w:pBdr>
        <w:rPr>
          <w:noProof/>
          <w:sz w:val="20"/>
        </w:rPr>
      </w:pPr>
      <w:r>
        <w:rPr>
          <w:noProof/>
          <w:sz w:val="20"/>
        </w:rPr>
        <w:t>Explain what is required, specifying the headings and budget lines concerned, the corresponding amounts, and the instruments proposed to be used.</w:t>
      </w:r>
    </w:p>
    <w:p w14:paraId="1E20E0CF" w14:textId="77777777" w:rsidR="00625704" w:rsidRDefault="00625704" w:rsidP="00625704">
      <w:pPr>
        <w:pStyle w:val="ListDash1"/>
        <w:rPr>
          <w:noProof/>
        </w:rPr>
      </w:pPr>
      <w:r>
        <w:rPr>
          <w:rFonts w:ascii="Wingdings" w:eastAsia="Wingdings" w:hAnsi="Wingdings" w:cs="Wingdings"/>
          <w:noProof/>
        </w:rPr>
        <w:t></w:t>
      </w:r>
      <w:r>
        <w:rPr>
          <w:noProof/>
        </w:rPr>
        <w:tab/>
      </w:r>
      <w:r w:rsidRPr="007B1B0C">
        <w:rPr>
          <w:noProof/>
        </w:rPr>
        <w:t>requires a revision of the MFF</w:t>
      </w:r>
      <w:r>
        <w:rPr>
          <w:noProof/>
        </w:rPr>
        <w:t>.</w:t>
      </w:r>
    </w:p>
    <w:p w14:paraId="6E5D23FD" w14:textId="77777777" w:rsidR="00625704" w:rsidRDefault="00625704" w:rsidP="00625704">
      <w:pPr>
        <w:pStyle w:val="Text1"/>
        <w:pBdr>
          <w:top w:val="single" w:sz="4" w:space="1" w:color="auto"/>
          <w:left w:val="single" w:sz="4" w:space="4" w:color="auto"/>
          <w:bottom w:val="single" w:sz="4" w:space="1" w:color="auto"/>
          <w:right w:val="single" w:sz="4" w:space="4" w:color="auto"/>
        </w:pBdr>
        <w:rPr>
          <w:noProof/>
          <w:sz w:val="20"/>
        </w:rPr>
      </w:pPr>
      <w:r>
        <w:rPr>
          <w:noProof/>
          <w:sz w:val="20"/>
        </w:rPr>
        <w:t>Explain what is required, specifying the headings and budget lines concerned and the corresponding amounts.</w:t>
      </w:r>
    </w:p>
    <w:p w14:paraId="063A82FF" w14:textId="77777777" w:rsidR="00625704" w:rsidRDefault="00625704" w:rsidP="00625704">
      <w:pPr>
        <w:pStyle w:val="ManualHeading3"/>
        <w:rPr>
          <w:bCs/>
          <w:noProof/>
          <w:szCs w:val="24"/>
        </w:rPr>
      </w:pPr>
      <w:bookmarkStart w:id="74" w:name="_Toc514938058"/>
      <w:bookmarkStart w:id="75" w:name="_Toc520485056"/>
      <w:r w:rsidRPr="0021790A">
        <w:rPr>
          <w:noProof/>
        </w:rPr>
        <w:t>3.2.5.</w:t>
      </w:r>
      <w:r w:rsidRPr="0021790A">
        <w:rPr>
          <w:noProof/>
        </w:rPr>
        <w:tab/>
      </w:r>
      <w:r>
        <w:rPr>
          <w:noProof/>
        </w:rPr>
        <w:t>Third-party contributions</w:t>
      </w:r>
      <w:bookmarkEnd w:id="74"/>
      <w:bookmarkEnd w:id="75"/>
      <w:r>
        <w:rPr>
          <w:noProof/>
        </w:rPr>
        <w:t xml:space="preserve"> </w:t>
      </w:r>
    </w:p>
    <w:p w14:paraId="0DC01B46" w14:textId="77777777" w:rsidR="00625704" w:rsidRPr="00386FF5" w:rsidRDefault="00625704" w:rsidP="00625704">
      <w:pPr>
        <w:pStyle w:val="Text1"/>
        <w:rPr>
          <w:noProof/>
        </w:rPr>
      </w:pPr>
      <w:r w:rsidRPr="007974DD">
        <w:rPr>
          <w:noProof/>
        </w:rPr>
        <w:t>The proposal/initiative:</w:t>
      </w:r>
    </w:p>
    <w:p w14:paraId="1DE30D78" w14:textId="77777777" w:rsidR="00625704" w:rsidRDefault="00780E8F" w:rsidP="00625704">
      <w:pPr>
        <w:pStyle w:val="ListDash1"/>
        <w:rPr>
          <w:noProof/>
        </w:rPr>
      </w:pPr>
      <w:r>
        <w:rPr>
          <w:rFonts w:ascii="Wingdings" w:eastAsia="Wingdings" w:hAnsi="Wingdings" w:cs="Wingdings"/>
          <w:noProof/>
        </w:rPr>
        <w:t></w:t>
      </w:r>
      <w:r w:rsidR="00625704">
        <w:rPr>
          <w:noProof/>
        </w:rPr>
        <w:tab/>
        <w:t>does not provide for co-financing by third parties</w:t>
      </w:r>
    </w:p>
    <w:p w14:paraId="2A88818C" w14:textId="77777777" w:rsidR="00625704" w:rsidRDefault="00780E8F" w:rsidP="00625704">
      <w:pPr>
        <w:pStyle w:val="ListDash1"/>
        <w:rPr>
          <w:noProof/>
        </w:rPr>
      </w:pPr>
      <w:r>
        <w:rPr>
          <w:rFonts w:ascii="Wingdings" w:eastAsia="Wingdings" w:hAnsi="Wingdings" w:cs="Wingdings"/>
          <w:noProof/>
        </w:rPr>
        <w:sym w:font="Wingdings" w:char="F0FE"/>
      </w:r>
      <w:r w:rsidR="00625704">
        <w:rPr>
          <w:noProof/>
        </w:rPr>
        <w:tab/>
        <w:t>provides for the co-financing by third parties estimated below:</w:t>
      </w:r>
    </w:p>
    <w:p w14:paraId="51DEA03D" w14:textId="77777777" w:rsidR="00625704" w:rsidRPr="003A769F" w:rsidRDefault="00625704" w:rsidP="00625704">
      <w:pPr>
        <w:jc w:val="right"/>
        <w:rPr>
          <w:noProof/>
          <w:sz w:val="20"/>
          <w:lang w:val="en-IE"/>
        </w:rPr>
      </w:pPr>
      <w:r w:rsidRPr="003A769F">
        <w:rPr>
          <w:noProof/>
          <w:sz w:val="20"/>
          <w:lang w:val="en-IE"/>
        </w:rPr>
        <w:t>Appropriations in EUR million (to three decimal places)</w:t>
      </w:r>
    </w:p>
    <w:tbl>
      <w:tblPr>
        <w:tblW w:w="10246" w:type="dxa"/>
        <w:tblInd w:w="-43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340"/>
        <w:gridCol w:w="964"/>
        <w:gridCol w:w="964"/>
        <w:gridCol w:w="964"/>
        <w:gridCol w:w="964"/>
        <w:gridCol w:w="964"/>
        <w:gridCol w:w="964"/>
        <w:gridCol w:w="964"/>
        <w:gridCol w:w="1158"/>
      </w:tblGrid>
      <w:tr w:rsidR="00625704" w14:paraId="18B5671B" w14:textId="77777777" w:rsidTr="00FA026A">
        <w:trPr>
          <w:cantSplit/>
        </w:trPr>
        <w:tc>
          <w:tcPr>
            <w:tcW w:w="2340" w:type="dxa"/>
          </w:tcPr>
          <w:p w14:paraId="64B62FD5" w14:textId="77777777" w:rsidR="00625704" w:rsidRPr="003A769F" w:rsidRDefault="00625704" w:rsidP="00C06A68">
            <w:pPr>
              <w:spacing w:before="60" w:after="60"/>
              <w:rPr>
                <w:noProof/>
                <w:sz w:val="20"/>
                <w:lang w:val="en-IE"/>
              </w:rPr>
            </w:pPr>
          </w:p>
        </w:tc>
        <w:tc>
          <w:tcPr>
            <w:tcW w:w="964" w:type="dxa"/>
            <w:vAlign w:val="center"/>
          </w:tcPr>
          <w:p w14:paraId="3C55D8E5" w14:textId="77777777" w:rsidR="00625704" w:rsidRDefault="00DA60E4" w:rsidP="00C06A68">
            <w:pPr>
              <w:jc w:val="center"/>
              <w:rPr>
                <w:noProof/>
                <w:sz w:val="20"/>
              </w:rPr>
            </w:pPr>
            <w:r w:rsidRPr="00FA1F34">
              <w:rPr>
                <w:noProof/>
                <w:sz w:val="20"/>
              </w:rPr>
              <w:t>2025</w:t>
            </w:r>
          </w:p>
        </w:tc>
        <w:tc>
          <w:tcPr>
            <w:tcW w:w="964" w:type="dxa"/>
            <w:vAlign w:val="center"/>
          </w:tcPr>
          <w:p w14:paraId="446E8CDA" w14:textId="77777777" w:rsidR="00625704" w:rsidRDefault="00DA60E4" w:rsidP="00C06A68">
            <w:pPr>
              <w:jc w:val="center"/>
              <w:rPr>
                <w:noProof/>
                <w:sz w:val="20"/>
              </w:rPr>
            </w:pPr>
            <w:r>
              <w:rPr>
                <w:noProof/>
                <w:sz w:val="20"/>
              </w:rPr>
              <w:t>2026</w:t>
            </w:r>
          </w:p>
        </w:tc>
        <w:tc>
          <w:tcPr>
            <w:tcW w:w="964" w:type="dxa"/>
            <w:vAlign w:val="center"/>
          </w:tcPr>
          <w:p w14:paraId="601E61DB" w14:textId="77777777" w:rsidR="00625704" w:rsidRDefault="00DA60E4" w:rsidP="00C06A68">
            <w:pPr>
              <w:jc w:val="center"/>
              <w:rPr>
                <w:noProof/>
                <w:sz w:val="20"/>
              </w:rPr>
            </w:pPr>
            <w:r w:rsidRPr="00FA1F34">
              <w:rPr>
                <w:noProof/>
                <w:sz w:val="20"/>
              </w:rPr>
              <w:t>2027</w:t>
            </w:r>
          </w:p>
        </w:tc>
        <w:tc>
          <w:tcPr>
            <w:tcW w:w="964" w:type="dxa"/>
            <w:vAlign w:val="center"/>
          </w:tcPr>
          <w:p w14:paraId="089D0686" w14:textId="77777777" w:rsidR="00625704" w:rsidRDefault="00625704" w:rsidP="00C06A68">
            <w:pPr>
              <w:jc w:val="center"/>
              <w:rPr>
                <w:noProof/>
                <w:sz w:val="20"/>
              </w:rPr>
            </w:pPr>
          </w:p>
        </w:tc>
        <w:tc>
          <w:tcPr>
            <w:tcW w:w="2892" w:type="dxa"/>
            <w:gridSpan w:val="3"/>
            <w:vAlign w:val="center"/>
          </w:tcPr>
          <w:p w14:paraId="0B0FEEBE" w14:textId="77777777" w:rsidR="00625704" w:rsidRPr="003A769F" w:rsidRDefault="00625704" w:rsidP="00C06A68">
            <w:pPr>
              <w:jc w:val="center"/>
              <w:rPr>
                <w:b/>
                <w:noProof/>
                <w:sz w:val="20"/>
                <w:lang w:val="en-IE"/>
              </w:rPr>
            </w:pPr>
          </w:p>
        </w:tc>
        <w:tc>
          <w:tcPr>
            <w:tcW w:w="1158" w:type="dxa"/>
            <w:vAlign w:val="center"/>
          </w:tcPr>
          <w:p w14:paraId="7D469B01" w14:textId="77777777" w:rsidR="00625704" w:rsidRDefault="00625704" w:rsidP="00C06A68">
            <w:pPr>
              <w:spacing w:before="60" w:after="60"/>
              <w:jc w:val="center"/>
              <w:rPr>
                <w:noProof/>
                <w:sz w:val="20"/>
              </w:rPr>
            </w:pPr>
            <w:r>
              <w:rPr>
                <w:noProof/>
                <w:sz w:val="20"/>
              </w:rPr>
              <w:t>Total</w:t>
            </w:r>
          </w:p>
        </w:tc>
      </w:tr>
      <w:tr w:rsidR="00625704" w:rsidRPr="003A769F" w14:paraId="06A5147F" w14:textId="77777777" w:rsidTr="00FA026A">
        <w:trPr>
          <w:cantSplit/>
        </w:trPr>
        <w:tc>
          <w:tcPr>
            <w:tcW w:w="2340" w:type="dxa"/>
          </w:tcPr>
          <w:p w14:paraId="02414676" w14:textId="77777777" w:rsidR="00625704" w:rsidRPr="003A769F" w:rsidRDefault="00DA60E4" w:rsidP="00C06A68">
            <w:pPr>
              <w:rPr>
                <w:noProof/>
                <w:lang w:val="en-IE"/>
              </w:rPr>
            </w:pPr>
            <w:r>
              <w:rPr>
                <w:noProof/>
                <w:sz w:val="20"/>
                <w:lang w:val="en-IE"/>
              </w:rPr>
              <w:t>as specified in Article 6</w:t>
            </w:r>
          </w:p>
        </w:tc>
        <w:tc>
          <w:tcPr>
            <w:tcW w:w="964" w:type="dxa"/>
            <w:vAlign w:val="center"/>
          </w:tcPr>
          <w:p w14:paraId="1D38D391" w14:textId="77777777" w:rsidR="00625704" w:rsidRPr="003A769F" w:rsidRDefault="00DA60E4" w:rsidP="00C06A68">
            <w:pPr>
              <w:spacing w:before="60" w:after="60"/>
              <w:jc w:val="center"/>
              <w:rPr>
                <w:noProof/>
                <w:sz w:val="20"/>
                <w:lang w:val="en-IE"/>
              </w:rPr>
            </w:pPr>
            <w:r>
              <w:rPr>
                <w:noProof/>
                <w:sz w:val="20"/>
                <w:lang w:val="en-IE"/>
              </w:rPr>
              <w:t>pm</w:t>
            </w:r>
          </w:p>
        </w:tc>
        <w:tc>
          <w:tcPr>
            <w:tcW w:w="964" w:type="dxa"/>
            <w:vAlign w:val="center"/>
          </w:tcPr>
          <w:p w14:paraId="28192C15" w14:textId="77777777" w:rsidR="00625704" w:rsidRPr="003A769F" w:rsidRDefault="00EF5C43" w:rsidP="00C06A68">
            <w:pPr>
              <w:spacing w:before="60" w:after="60"/>
              <w:jc w:val="center"/>
              <w:rPr>
                <w:noProof/>
                <w:sz w:val="20"/>
                <w:lang w:val="en-IE"/>
              </w:rPr>
            </w:pPr>
            <w:r>
              <w:rPr>
                <w:noProof/>
                <w:sz w:val="20"/>
                <w:lang w:val="en-IE"/>
              </w:rPr>
              <w:t xml:space="preserve">pm </w:t>
            </w:r>
          </w:p>
        </w:tc>
        <w:tc>
          <w:tcPr>
            <w:tcW w:w="964" w:type="dxa"/>
            <w:vAlign w:val="center"/>
          </w:tcPr>
          <w:p w14:paraId="68BCFA44" w14:textId="77777777" w:rsidR="00625704" w:rsidRPr="003A769F" w:rsidRDefault="00EF5C43" w:rsidP="00C06A68">
            <w:pPr>
              <w:spacing w:before="60" w:after="60"/>
              <w:jc w:val="center"/>
              <w:rPr>
                <w:noProof/>
                <w:sz w:val="20"/>
                <w:lang w:val="en-IE"/>
              </w:rPr>
            </w:pPr>
            <w:r>
              <w:rPr>
                <w:noProof/>
                <w:sz w:val="20"/>
                <w:lang w:val="en-IE"/>
              </w:rPr>
              <w:t xml:space="preserve">pm </w:t>
            </w:r>
          </w:p>
        </w:tc>
        <w:tc>
          <w:tcPr>
            <w:tcW w:w="964" w:type="dxa"/>
            <w:vAlign w:val="center"/>
          </w:tcPr>
          <w:p w14:paraId="34D9FE56" w14:textId="77777777" w:rsidR="00625704" w:rsidRPr="003A769F" w:rsidRDefault="00625704" w:rsidP="00C06A68">
            <w:pPr>
              <w:spacing w:before="60" w:after="60"/>
              <w:jc w:val="center"/>
              <w:rPr>
                <w:noProof/>
                <w:sz w:val="20"/>
                <w:lang w:val="en-IE"/>
              </w:rPr>
            </w:pPr>
          </w:p>
        </w:tc>
        <w:tc>
          <w:tcPr>
            <w:tcW w:w="964" w:type="dxa"/>
            <w:vAlign w:val="center"/>
          </w:tcPr>
          <w:p w14:paraId="29FEF7D8" w14:textId="77777777" w:rsidR="00625704" w:rsidRPr="003A769F" w:rsidRDefault="00625704" w:rsidP="00C06A68">
            <w:pPr>
              <w:spacing w:before="60" w:after="60"/>
              <w:jc w:val="center"/>
              <w:rPr>
                <w:noProof/>
                <w:sz w:val="20"/>
                <w:lang w:val="en-IE"/>
              </w:rPr>
            </w:pPr>
          </w:p>
        </w:tc>
        <w:tc>
          <w:tcPr>
            <w:tcW w:w="964" w:type="dxa"/>
            <w:vAlign w:val="center"/>
          </w:tcPr>
          <w:p w14:paraId="3576E1B3" w14:textId="77777777" w:rsidR="00625704" w:rsidRPr="003A769F" w:rsidRDefault="00625704" w:rsidP="00C06A68">
            <w:pPr>
              <w:spacing w:before="60" w:after="60"/>
              <w:jc w:val="center"/>
              <w:rPr>
                <w:noProof/>
                <w:sz w:val="20"/>
                <w:lang w:val="en-IE"/>
              </w:rPr>
            </w:pPr>
          </w:p>
        </w:tc>
        <w:tc>
          <w:tcPr>
            <w:tcW w:w="964" w:type="dxa"/>
            <w:vAlign w:val="center"/>
          </w:tcPr>
          <w:p w14:paraId="2CBD6DC4" w14:textId="77777777" w:rsidR="00625704" w:rsidRPr="003A769F" w:rsidRDefault="00625704" w:rsidP="00C06A68">
            <w:pPr>
              <w:spacing w:before="60" w:after="60"/>
              <w:jc w:val="center"/>
              <w:rPr>
                <w:noProof/>
                <w:sz w:val="20"/>
                <w:lang w:val="en-IE"/>
              </w:rPr>
            </w:pPr>
          </w:p>
        </w:tc>
        <w:tc>
          <w:tcPr>
            <w:tcW w:w="1158" w:type="dxa"/>
            <w:vAlign w:val="center"/>
          </w:tcPr>
          <w:p w14:paraId="7A28B498" w14:textId="77777777" w:rsidR="00625704" w:rsidRPr="003A769F" w:rsidRDefault="00EF5C43" w:rsidP="00C06A68">
            <w:pPr>
              <w:spacing w:before="60" w:after="60"/>
              <w:jc w:val="center"/>
              <w:rPr>
                <w:noProof/>
                <w:sz w:val="20"/>
                <w:lang w:val="en-IE"/>
              </w:rPr>
            </w:pPr>
            <w:r>
              <w:rPr>
                <w:noProof/>
                <w:sz w:val="20"/>
                <w:lang w:val="en-IE"/>
              </w:rPr>
              <w:t xml:space="preserve">pm </w:t>
            </w:r>
          </w:p>
        </w:tc>
      </w:tr>
      <w:tr w:rsidR="00625704" w14:paraId="233506BB" w14:textId="77777777" w:rsidTr="00FA026A">
        <w:trPr>
          <w:cantSplit/>
        </w:trPr>
        <w:tc>
          <w:tcPr>
            <w:tcW w:w="2340" w:type="dxa"/>
          </w:tcPr>
          <w:p w14:paraId="0610078F" w14:textId="77777777" w:rsidR="00625704" w:rsidRDefault="00625704" w:rsidP="00C06A68">
            <w:pPr>
              <w:spacing w:before="60" w:after="60"/>
              <w:jc w:val="left"/>
              <w:rPr>
                <w:noProof/>
                <w:sz w:val="20"/>
              </w:rPr>
            </w:pPr>
            <w:r>
              <w:rPr>
                <w:noProof/>
                <w:sz w:val="20"/>
              </w:rPr>
              <w:t xml:space="preserve">TOTAL appropriations co-financed </w:t>
            </w:r>
          </w:p>
        </w:tc>
        <w:tc>
          <w:tcPr>
            <w:tcW w:w="964" w:type="dxa"/>
            <w:vAlign w:val="center"/>
          </w:tcPr>
          <w:p w14:paraId="2FFEAE00" w14:textId="77777777" w:rsidR="00625704" w:rsidRDefault="00EF5C43" w:rsidP="00C06A68">
            <w:pPr>
              <w:spacing w:before="60" w:after="60"/>
              <w:jc w:val="center"/>
              <w:rPr>
                <w:noProof/>
                <w:sz w:val="20"/>
              </w:rPr>
            </w:pPr>
            <w:r>
              <w:rPr>
                <w:noProof/>
                <w:sz w:val="20"/>
              </w:rPr>
              <w:t xml:space="preserve">pm </w:t>
            </w:r>
          </w:p>
        </w:tc>
        <w:tc>
          <w:tcPr>
            <w:tcW w:w="964" w:type="dxa"/>
            <w:vAlign w:val="center"/>
          </w:tcPr>
          <w:p w14:paraId="5866008D" w14:textId="77777777" w:rsidR="00625704" w:rsidRDefault="00EF5C43" w:rsidP="00C06A68">
            <w:pPr>
              <w:spacing w:before="60" w:after="60"/>
              <w:jc w:val="center"/>
              <w:rPr>
                <w:noProof/>
                <w:sz w:val="20"/>
              </w:rPr>
            </w:pPr>
            <w:r>
              <w:rPr>
                <w:noProof/>
                <w:sz w:val="20"/>
              </w:rPr>
              <w:t xml:space="preserve">pm </w:t>
            </w:r>
          </w:p>
        </w:tc>
        <w:tc>
          <w:tcPr>
            <w:tcW w:w="964" w:type="dxa"/>
            <w:vAlign w:val="center"/>
          </w:tcPr>
          <w:p w14:paraId="5C301729" w14:textId="77777777" w:rsidR="00625704" w:rsidRDefault="00EF5C43" w:rsidP="00C06A68">
            <w:pPr>
              <w:spacing w:before="60" w:after="60"/>
              <w:jc w:val="center"/>
              <w:rPr>
                <w:noProof/>
                <w:sz w:val="20"/>
              </w:rPr>
            </w:pPr>
            <w:r>
              <w:rPr>
                <w:noProof/>
                <w:sz w:val="20"/>
              </w:rPr>
              <w:t xml:space="preserve">pm </w:t>
            </w:r>
          </w:p>
        </w:tc>
        <w:tc>
          <w:tcPr>
            <w:tcW w:w="964" w:type="dxa"/>
            <w:vAlign w:val="center"/>
          </w:tcPr>
          <w:p w14:paraId="3BF555FD" w14:textId="77777777" w:rsidR="00625704" w:rsidRDefault="00625704" w:rsidP="00C06A68">
            <w:pPr>
              <w:spacing w:before="60" w:after="60"/>
              <w:jc w:val="center"/>
              <w:rPr>
                <w:noProof/>
                <w:sz w:val="20"/>
              </w:rPr>
            </w:pPr>
          </w:p>
        </w:tc>
        <w:tc>
          <w:tcPr>
            <w:tcW w:w="964" w:type="dxa"/>
            <w:vAlign w:val="center"/>
          </w:tcPr>
          <w:p w14:paraId="4DF0996F" w14:textId="77777777" w:rsidR="00625704" w:rsidRDefault="00625704" w:rsidP="00C06A68">
            <w:pPr>
              <w:spacing w:before="60" w:after="60"/>
              <w:jc w:val="center"/>
              <w:rPr>
                <w:noProof/>
                <w:sz w:val="20"/>
              </w:rPr>
            </w:pPr>
          </w:p>
        </w:tc>
        <w:tc>
          <w:tcPr>
            <w:tcW w:w="964" w:type="dxa"/>
            <w:vAlign w:val="center"/>
          </w:tcPr>
          <w:p w14:paraId="223B1EF4" w14:textId="77777777" w:rsidR="00625704" w:rsidRDefault="00625704" w:rsidP="00C06A68">
            <w:pPr>
              <w:spacing w:before="60" w:after="60"/>
              <w:jc w:val="center"/>
              <w:rPr>
                <w:noProof/>
                <w:sz w:val="20"/>
              </w:rPr>
            </w:pPr>
          </w:p>
        </w:tc>
        <w:tc>
          <w:tcPr>
            <w:tcW w:w="964" w:type="dxa"/>
            <w:vAlign w:val="center"/>
          </w:tcPr>
          <w:p w14:paraId="511F3222" w14:textId="77777777" w:rsidR="00625704" w:rsidRDefault="00625704" w:rsidP="00C06A68">
            <w:pPr>
              <w:spacing w:before="60" w:after="60"/>
              <w:jc w:val="center"/>
              <w:rPr>
                <w:noProof/>
                <w:sz w:val="20"/>
              </w:rPr>
            </w:pPr>
          </w:p>
        </w:tc>
        <w:tc>
          <w:tcPr>
            <w:tcW w:w="1158" w:type="dxa"/>
            <w:vAlign w:val="center"/>
          </w:tcPr>
          <w:p w14:paraId="34D324BC" w14:textId="77777777" w:rsidR="00625704" w:rsidRDefault="00EF5C43" w:rsidP="00C06A68">
            <w:pPr>
              <w:spacing w:before="60" w:after="60"/>
              <w:jc w:val="center"/>
              <w:rPr>
                <w:noProof/>
                <w:sz w:val="20"/>
              </w:rPr>
            </w:pPr>
            <w:r>
              <w:rPr>
                <w:noProof/>
                <w:sz w:val="20"/>
              </w:rPr>
              <w:t xml:space="preserve">pm </w:t>
            </w:r>
          </w:p>
        </w:tc>
      </w:tr>
    </w:tbl>
    <w:p w14:paraId="445003E2" w14:textId="77777777" w:rsidR="00625704" w:rsidRDefault="00625704" w:rsidP="00625704">
      <w:pPr>
        <w:rPr>
          <w:noProof/>
        </w:rPr>
      </w:pPr>
      <w:r>
        <w:rPr>
          <w:noProof/>
        </w:rPr>
        <w:br/>
      </w:r>
    </w:p>
    <w:p w14:paraId="4CB1C7AC" w14:textId="77777777" w:rsidR="00625704" w:rsidRDefault="00625704" w:rsidP="00625704">
      <w:pPr>
        <w:pStyle w:val="ManualHeading2"/>
        <w:rPr>
          <w:bCs/>
          <w:noProof/>
          <w:szCs w:val="24"/>
        </w:rPr>
      </w:pPr>
      <w:r>
        <w:rPr>
          <w:noProof/>
        </w:rPr>
        <w:br w:type="page"/>
      </w:r>
      <w:bookmarkStart w:id="76" w:name="_Toc514938059"/>
      <w:bookmarkStart w:id="77" w:name="_Toc520485057"/>
      <w:r w:rsidRPr="0021790A">
        <w:rPr>
          <w:noProof/>
        </w:rPr>
        <w:t>3.3.</w:t>
      </w:r>
      <w:r w:rsidRPr="0021790A">
        <w:rPr>
          <w:noProof/>
        </w:rPr>
        <w:tab/>
      </w:r>
      <w:r>
        <w:rPr>
          <w:noProof/>
        </w:rPr>
        <w:t>Estimated impact on revenue</w:t>
      </w:r>
      <w:bookmarkEnd w:id="76"/>
      <w:bookmarkEnd w:id="77"/>
      <w:r>
        <w:rPr>
          <w:noProof/>
        </w:rPr>
        <w:t xml:space="preserve"> </w:t>
      </w:r>
    </w:p>
    <w:p w14:paraId="5B45F1C4" w14:textId="77777777" w:rsidR="00625704" w:rsidRDefault="00625704" w:rsidP="00625704">
      <w:pPr>
        <w:pStyle w:val="ListDash1"/>
        <w:rPr>
          <w:noProof/>
        </w:rPr>
      </w:pPr>
      <w:r>
        <w:rPr>
          <w:rFonts w:ascii="Wingdings" w:eastAsia="Wingdings" w:hAnsi="Wingdings" w:cs="Wingdings"/>
          <w:noProof/>
        </w:rPr>
        <w:sym w:font="Wingdings" w:char="F0FE"/>
      </w:r>
      <w:r>
        <w:rPr>
          <w:noProof/>
        </w:rPr>
        <w:tab/>
        <w:t>The proposal/initiative has no financial impact on revenue.</w:t>
      </w:r>
    </w:p>
    <w:p w14:paraId="2558D5B4" w14:textId="77777777" w:rsidR="00625704" w:rsidRDefault="00625704" w:rsidP="00625704">
      <w:pPr>
        <w:pStyle w:val="ListDash1"/>
        <w:rPr>
          <w:noProof/>
        </w:rPr>
      </w:pPr>
      <w:r>
        <w:rPr>
          <w:rFonts w:ascii="Wingdings" w:eastAsia="Wingdings" w:hAnsi="Wingdings" w:cs="Wingdings"/>
          <w:noProof/>
        </w:rPr>
        <w:t></w:t>
      </w:r>
      <w:r>
        <w:rPr>
          <w:noProof/>
        </w:rPr>
        <w:tab/>
        <w:t>The proposal/initiative has the following financial impact:</w:t>
      </w:r>
    </w:p>
    <w:p w14:paraId="5C0B2AA3" w14:textId="77777777" w:rsidR="00625704" w:rsidRDefault="00625704" w:rsidP="00625704">
      <w:pPr>
        <w:pStyle w:val="ListNumberLevel3"/>
        <w:rPr>
          <w:noProof/>
        </w:rPr>
      </w:pPr>
      <w:r>
        <w:rPr>
          <w:rFonts w:ascii="Wingdings" w:eastAsia="Wingdings" w:hAnsi="Wingdings" w:cs="Wingdings"/>
          <w:noProof/>
        </w:rPr>
        <w:t></w:t>
      </w:r>
      <w:r>
        <w:rPr>
          <w:noProof/>
        </w:rPr>
        <w:tab/>
        <w:t xml:space="preserve">on own resources </w:t>
      </w:r>
    </w:p>
    <w:p w14:paraId="336F9DA9" w14:textId="77777777" w:rsidR="00625704" w:rsidRDefault="00625704" w:rsidP="00625704">
      <w:pPr>
        <w:pStyle w:val="ListNumberLevel3"/>
        <w:rPr>
          <w:noProof/>
        </w:rPr>
      </w:pPr>
      <w:r>
        <w:rPr>
          <w:rFonts w:ascii="Wingdings" w:eastAsia="Wingdings" w:hAnsi="Wingdings" w:cs="Wingdings"/>
          <w:noProof/>
        </w:rPr>
        <w:t></w:t>
      </w:r>
      <w:r>
        <w:rPr>
          <w:noProof/>
        </w:rPr>
        <w:tab/>
        <w:t>on other revenue</w:t>
      </w:r>
    </w:p>
    <w:p w14:paraId="5C002C31" w14:textId="77777777" w:rsidR="00625704" w:rsidRDefault="00625704" w:rsidP="00625704">
      <w:pPr>
        <w:pStyle w:val="ListNumberLevel3"/>
        <w:rPr>
          <w:noProof/>
        </w:rPr>
      </w:pPr>
      <w:r w:rsidRPr="009B753E">
        <w:rPr>
          <w:noProof/>
        </w:rPr>
        <w:t xml:space="preserve">please indicate, if the revenue is assigned to expenditure lines </w:t>
      </w:r>
      <w:r w:rsidRPr="009B753E">
        <w:rPr>
          <w:rFonts w:ascii="Wingdings" w:eastAsia="Wingdings" w:hAnsi="Wingdings" w:cs="Wingdings"/>
          <w:noProof/>
        </w:rPr>
        <w:t></w:t>
      </w:r>
      <w:r>
        <w:rPr>
          <w:noProof/>
        </w:rPr>
        <w:tab/>
      </w:r>
    </w:p>
    <w:p w14:paraId="0DAC3ECD" w14:textId="77777777" w:rsidR="00625704" w:rsidRPr="003A769F" w:rsidRDefault="00625704" w:rsidP="00625704">
      <w:pPr>
        <w:ind w:left="4320"/>
        <w:rPr>
          <w:i/>
          <w:noProof/>
          <w:sz w:val="20"/>
          <w:lang w:val="en-IE"/>
        </w:rPr>
      </w:pPr>
      <w:r w:rsidRPr="003A769F">
        <w:rPr>
          <w:noProof/>
          <w:lang w:val="en-IE"/>
        </w:rPr>
        <w:t xml:space="preserve">     EUR million (to three decimal places)</w:t>
      </w:r>
    </w:p>
    <w:tbl>
      <w:tblPr>
        <w:tblW w:w="1062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44"/>
        <w:gridCol w:w="1325"/>
        <w:gridCol w:w="1031"/>
        <w:gridCol w:w="900"/>
        <w:gridCol w:w="900"/>
        <w:gridCol w:w="1080"/>
        <w:gridCol w:w="1080"/>
        <w:gridCol w:w="1080"/>
        <w:gridCol w:w="1080"/>
      </w:tblGrid>
      <w:tr w:rsidR="00625704" w:rsidRPr="003A769F" w14:paraId="64A33516" w14:textId="77777777" w:rsidTr="00FA026A">
        <w:trPr>
          <w:trHeight w:val="388"/>
        </w:trPr>
        <w:tc>
          <w:tcPr>
            <w:tcW w:w="2144" w:type="dxa"/>
            <w:vMerge w:val="restart"/>
            <w:vAlign w:val="center"/>
          </w:tcPr>
          <w:p w14:paraId="23F200A3" w14:textId="77777777" w:rsidR="00625704" w:rsidRDefault="00625704" w:rsidP="00C06A68">
            <w:pPr>
              <w:spacing w:before="40" w:after="40"/>
              <w:rPr>
                <w:noProof/>
                <w:sz w:val="18"/>
              </w:rPr>
            </w:pPr>
            <w:r>
              <w:rPr>
                <w:noProof/>
                <w:sz w:val="18"/>
              </w:rPr>
              <w:t>Budget revenue line:</w:t>
            </w:r>
          </w:p>
        </w:tc>
        <w:tc>
          <w:tcPr>
            <w:tcW w:w="1325" w:type="dxa"/>
            <w:vMerge w:val="restart"/>
            <w:vAlign w:val="center"/>
          </w:tcPr>
          <w:p w14:paraId="160F2F9B" w14:textId="77777777" w:rsidR="00625704" w:rsidRPr="003A769F" w:rsidRDefault="00625704" w:rsidP="00C06A68">
            <w:pPr>
              <w:jc w:val="center"/>
              <w:rPr>
                <w:noProof/>
                <w:sz w:val="18"/>
                <w:lang w:val="en-IE"/>
              </w:rPr>
            </w:pPr>
            <w:r w:rsidRPr="003A769F">
              <w:rPr>
                <w:noProof/>
                <w:sz w:val="18"/>
                <w:lang w:val="en-IE"/>
              </w:rPr>
              <w:t>Appropriations available for the current financial year</w:t>
            </w:r>
          </w:p>
        </w:tc>
        <w:tc>
          <w:tcPr>
            <w:tcW w:w="7151" w:type="dxa"/>
            <w:gridSpan w:val="7"/>
            <w:vAlign w:val="center"/>
          </w:tcPr>
          <w:p w14:paraId="5FA1FE3C" w14:textId="77777777" w:rsidR="00625704" w:rsidRPr="003A769F" w:rsidRDefault="00625704" w:rsidP="00C06A68">
            <w:pPr>
              <w:jc w:val="center"/>
              <w:rPr>
                <w:noProof/>
                <w:sz w:val="18"/>
                <w:lang w:val="en-IE"/>
              </w:rPr>
            </w:pPr>
            <w:r w:rsidRPr="003A769F">
              <w:rPr>
                <w:noProof/>
                <w:sz w:val="18"/>
                <w:lang w:val="en-IE"/>
              </w:rPr>
              <w:t>Impact of the proposal/initiative</w:t>
            </w:r>
            <w:r>
              <w:rPr>
                <w:rStyle w:val="FootnoteReference"/>
                <w:noProof/>
                <w:sz w:val="18"/>
              </w:rPr>
              <w:footnoteReference w:id="19"/>
            </w:r>
          </w:p>
        </w:tc>
      </w:tr>
      <w:tr w:rsidR="00625704" w:rsidRPr="003A769F" w14:paraId="2DE1E6A8" w14:textId="77777777" w:rsidTr="00FA026A">
        <w:trPr>
          <w:trHeight w:val="388"/>
        </w:trPr>
        <w:tc>
          <w:tcPr>
            <w:tcW w:w="2144" w:type="dxa"/>
            <w:vMerge/>
          </w:tcPr>
          <w:p w14:paraId="64387F68" w14:textId="77777777" w:rsidR="00625704" w:rsidRPr="003A769F" w:rsidRDefault="00625704" w:rsidP="00C06A68">
            <w:pPr>
              <w:spacing w:before="40" w:after="40"/>
              <w:rPr>
                <w:noProof/>
                <w:sz w:val="18"/>
                <w:lang w:val="en-IE"/>
              </w:rPr>
            </w:pPr>
          </w:p>
        </w:tc>
        <w:tc>
          <w:tcPr>
            <w:tcW w:w="1325" w:type="dxa"/>
            <w:vMerge/>
          </w:tcPr>
          <w:p w14:paraId="667CA0A1" w14:textId="77777777" w:rsidR="00625704" w:rsidRPr="003A769F" w:rsidRDefault="00625704" w:rsidP="00C06A68">
            <w:pPr>
              <w:spacing w:beforeLines="40" w:before="96" w:afterLines="40" w:after="96"/>
              <w:rPr>
                <w:i/>
                <w:noProof/>
                <w:sz w:val="18"/>
                <w:lang w:val="en-IE"/>
              </w:rPr>
            </w:pPr>
          </w:p>
        </w:tc>
        <w:tc>
          <w:tcPr>
            <w:tcW w:w="1031" w:type="dxa"/>
            <w:vAlign w:val="center"/>
          </w:tcPr>
          <w:p w14:paraId="562B3740" w14:textId="77777777" w:rsidR="00625704" w:rsidRDefault="00625704" w:rsidP="00C06A68">
            <w:pPr>
              <w:jc w:val="center"/>
              <w:rPr>
                <w:noProof/>
                <w:sz w:val="18"/>
              </w:rPr>
            </w:pPr>
            <w:r>
              <w:rPr>
                <w:noProof/>
                <w:sz w:val="18"/>
              </w:rPr>
              <w:t>Year</w:t>
            </w:r>
            <w:r>
              <w:rPr>
                <w:noProof/>
                <w:sz w:val="22"/>
              </w:rPr>
              <w:br/>
            </w:r>
            <w:r>
              <w:rPr>
                <w:b/>
                <w:noProof/>
                <w:sz w:val="18"/>
              </w:rPr>
              <w:t>N</w:t>
            </w:r>
          </w:p>
        </w:tc>
        <w:tc>
          <w:tcPr>
            <w:tcW w:w="900" w:type="dxa"/>
            <w:vAlign w:val="center"/>
          </w:tcPr>
          <w:p w14:paraId="52F36844" w14:textId="77777777" w:rsidR="00625704" w:rsidRDefault="00625704" w:rsidP="00C06A68">
            <w:pPr>
              <w:jc w:val="center"/>
              <w:rPr>
                <w:noProof/>
                <w:sz w:val="18"/>
              </w:rPr>
            </w:pPr>
            <w:r>
              <w:rPr>
                <w:noProof/>
                <w:sz w:val="18"/>
              </w:rPr>
              <w:t>Year</w:t>
            </w:r>
            <w:r>
              <w:rPr>
                <w:noProof/>
                <w:sz w:val="22"/>
              </w:rPr>
              <w:br/>
            </w:r>
            <w:r>
              <w:rPr>
                <w:b/>
                <w:noProof/>
                <w:sz w:val="18"/>
              </w:rPr>
              <w:t>N+1</w:t>
            </w:r>
          </w:p>
        </w:tc>
        <w:tc>
          <w:tcPr>
            <w:tcW w:w="900" w:type="dxa"/>
            <w:vAlign w:val="center"/>
          </w:tcPr>
          <w:p w14:paraId="5EF3E69F" w14:textId="77777777" w:rsidR="00625704" w:rsidRDefault="00625704" w:rsidP="00C06A68">
            <w:pPr>
              <w:jc w:val="center"/>
              <w:rPr>
                <w:noProof/>
                <w:sz w:val="18"/>
              </w:rPr>
            </w:pPr>
            <w:r>
              <w:rPr>
                <w:noProof/>
                <w:sz w:val="18"/>
              </w:rPr>
              <w:t>Year</w:t>
            </w:r>
            <w:r>
              <w:rPr>
                <w:noProof/>
                <w:sz w:val="22"/>
              </w:rPr>
              <w:br/>
            </w:r>
            <w:r>
              <w:rPr>
                <w:b/>
                <w:noProof/>
                <w:sz w:val="18"/>
              </w:rPr>
              <w:t>N+2</w:t>
            </w:r>
          </w:p>
        </w:tc>
        <w:tc>
          <w:tcPr>
            <w:tcW w:w="1080" w:type="dxa"/>
            <w:vAlign w:val="center"/>
          </w:tcPr>
          <w:p w14:paraId="4DE34D82" w14:textId="77777777" w:rsidR="00625704" w:rsidRDefault="00625704" w:rsidP="00C06A68">
            <w:pPr>
              <w:jc w:val="center"/>
              <w:rPr>
                <w:noProof/>
                <w:sz w:val="18"/>
              </w:rPr>
            </w:pPr>
            <w:r>
              <w:rPr>
                <w:noProof/>
                <w:sz w:val="18"/>
              </w:rPr>
              <w:t>Year</w:t>
            </w:r>
            <w:r>
              <w:rPr>
                <w:noProof/>
                <w:sz w:val="22"/>
              </w:rPr>
              <w:br/>
            </w:r>
            <w:r>
              <w:rPr>
                <w:b/>
                <w:noProof/>
                <w:sz w:val="18"/>
              </w:rPr>
              <w:t>N+3</w:t>
            </w:r>
          </w:p>
        </w:tc>
        <w:tc>
          <w:tcPr>
            <w:tcW w:w="3240" w:type="dxa"/>
            <w:gridSpan w:val="3"/>
            <w:vAlign w:val="center"/>
          </w:tcPr>
          <w:p w14:paraId="242155B6" w14:textId="77777777" w:rsidR="00625704" w:rsidRPr="003A769F" w:rsidRDefault="00625704" w:rsidP="00C06A68">
            <w:pPr>
              <w:jc w:val="center"/>
              <w:rPr>
                <w:b/>
                <w:noProof/>
                <w:sz w:val="18"/>
                <w:lang w:val="en-IE"/>
              </w:rPr>
            </w:pPr>
            <w:r w:rsidRPr="003A769F">
              <w:rPr>
                <w:noProof/>
                <w:sz w:val="18"/>
                <w:lang w:val="en-IE"/>
              </w:rPr>
              <w:t>Enter as many years as necessary to show the duration of the impact (see point 1.6)</w:t>
            </w:r>
          </w:p>
        </w:tc>
      </w:tr>
      <w:tr w:rsidR="00625704" w14:paraId="30F00C8A" w14:textId="77777777" w:rsidTr="00FA026A">
        <w:trPr>
          <w:trHeight w:val="388"/>
        </w:trPr>
        <w:tc>
          <w:tcPr>
            <w:tcW w:w="2144" w:type="dxa"/>
            <w:vAlign w:val="center"/>
          </w:tcPr>
          <w:p w14:paraId="4E5A9612" w14:textId="77777777" w:rsidR="00625704" w:rsidRDefault="00625704" w:rsidP="00C06A68">
            <w:pPr>
              <w:spacing w:before="40" w:after="40"/>
              <w:rPr>
                <w:noProof/>
                <w:sz w:val="18"/>
              </w:rPr>
            </w:pPr>
            <w:r>
              <w:rPr>
                <w:noProof/>
                <w:sz w:val="18"/>
              </w:rPr>
              <w:t>Article ………….</w:t>
            </w:r>
          </w:p>
        </w:tc>
        <w:tc>
          <w:tcPr>
            <w:tcW w:w="1325" w:type="dxa"/>
          </w:tcPr>
          <w:p w14:paraId="043BFE9E" w14:textId="77777777" w:rsidR="00625704" w:rsidRDefault="00625704" w:rsidP="00C06A68">
            <w:pPr>
              <w:spacing w:beforeLines="40" w:before="96" w:afterLines="40" w:after="96"/>
              <w:jc w:val="center"/>
              <w:rPr>
                <w:i/>
                <w:noProof/>
                <w:sz w:val="18"/>
              </w:rPr>
            </w:pPr>
          </w:p>
        </w:tc>
        <w:tc>
          <w:tcPr>
            <w:tcW w:w="1031" w:type="dxa"/>
          </w:tcPr>
          <w:p w14:paraId="0CA3B138" w14:textId="77777777" w:rsidR="00625704" w:rsidRDefault="00625704" w:rsidP="00C06A68">
            <w:pPr>
              <w:spacing w:beforeLines="40" w:before="96" w:afterLines="40" w:after="96"/>
              <w:jc w:val="center"/>
              <w:rPr>
                <w:noProof/>
                <w:sz w:val="18"/>
              </w:rPr>
            </w:pPr>
          </w:p>
        </w:tc>
        <w:tc>
          <w:tcPr>
            <w:tcW w:w="900" w:type="dxa"/>
          </w:tcPr>
          <w:p w14:paraId="7ED25F32" w14:textId="77777777" w:rsidR="00625704" w:rsidRDefault="00625704" w:rsidP="00C06A68">
            <w:pPr>
              <w:spacing w:beforeLines="40" w:before="96" w:afterLines="40" w:after="96"/>
              <w:jc w:val="center"/>
              <w:rPr>
                <w:noProof/>
                <w:sz w:val="18"/>
              </w:rPr>
            </w:pPr>
          </w:p>
        </w:tc>
        <w:tc>
          <w:tcPr>
            <w:tcW w:w="900" w:type="dxa"/>
          </w:tcPr>
          <w:p w14:paraId="679B07A9" w14:textId="77777777" w:rsidR="00625704" w:rsidRDefault="00625704" w:rsidP="00C06A68">
            <w:pPr>
              <w:spacing w:beforeLines="40" w:before="96" w:afterLines="40" w:after="96"/>
              <w:jc w:val="center"/>
              <w:rPr>
                <w:noProof/>
                <w:sz w:val="18"/>
              </w:rPr>
            </w:pPr>
          </w:p>
        </w:tc>
        <w:tc>
          <w:tcPr>
            <w:tcW w:w="1080" w:type="dxa"/>
          </w:tcPr>
          <w:p w14:paraId="4181BA08" w14:textId="77777777" w:rsidR="00625704" w:rsidRDefault="00625704" w:rsidP="00C06A68">
            <w:pPr>
              <w:spacing w:beforeLines="40" w:before="96" w:afterLines="40" w:after="96"/>
              <w:jc w:val="center"/>
              <w:rPr>
                <w:noProof/>
                <w:sz w:val="18"/>
              </w:rPr>
            </w:pPr>
          </w:p>
        </w:tc>
        <w:tc>
          <w:tcPr>
            <w:tcW w:w="1080" w:type="dxa"/>
          </w:tcPr>
          <w:p w14:paraId="28CAA45E" w14:textId="77777777" w:rsidR="00625704" w:rsidRDefault="00625704" w:rsidP="00C06A68">
            <w:pPr>
              <w:spacing w:beforeLines="40" w:before="96" w:afterLines="40" w:after="96"/>
              <w:jc w:val="center"/>
              <w:rPr>
                <w:noProof/>
                <w:sz w:val="18"/>
              </w:rPr>
            </w:pPr>
          </w:p>
        </w:tc>
        <w:tc>
          <w:tcPr>
            <w:tcW w:w="1080" w:type="dxa"/>
          </w:tcPr>
          <w:p w14:paraId="01106D5D" w14:textId="77777777" w:rsidR="00625704" w:rsidRDefault="00625704" w:rsidP="00C06A68">
            <w:pPr>
              <w:spacing w:beforeLines="40" w:before="96" w:afterLines="40" w:after="96"/>
              <w:jc w:val="center"/>
              <w:rPr>
                <w:noProof/>
                <w:sz w:val="18"/>
              </w:rPr>
            </w:pPr>
          </w:p>
        </w:tc>
        <w:tc>
          <w:tcPr>
            <w:tcW w:w="1080" w:type="dxa"/>
          </w:tcPr>
          <w:p w14:paraId="6E4039A3" w14:textId="77777777" w:rsidR="00625704" w:rsidRDefault="00625704" w:rsidP="00C06A68">
            <w:pPr>
              <w:spacing w:beforeLines="40" w:before="96" w:afterLines="40" w:after="96"/>
              <w:jc w:val="center"/>
              <w:rPr>
                <w:noProof/>
                <w:sz w:val="18"/>
              </w:rPr>
            </w:pPr>
          </w:p>
        </w:tc>
      </w:tr>
    </w:tbl>
    <w:p w14:paraId="041DE5ED" w14:textId="77777777" w:rsidR="00625704" w:rsidRDefault="00625704" w:rsidP="00625704">
      <w:pPr>
        <w:pStyle w:val="Text1"/>
        <w:rPr>
          <w:noProof/>
          <w:sz w:val="20"/>
        </w:rPr>
      </w:pPr>
      <w:r>
        <w:rPr>
          <w:noProof/>
          <w:sz w:val="20"/>
        </w:rPr>
        <w:t>For assigned revenue, specify the budget expenditure line(s) affected.</w:t>
      </w:r>
    </w:p>
    <w:p w14:paraId="0A0A55C5" w14:textId="77777777" w:rsidR="00625704" w:rsidRDefault="00625704" w:rsidP="00625704">
      <w:pPr>
        <w:pStyle w:val="Text1"/>
        <w:pBdr>
          <w:top w:val="single" w:sz="4" w:space="1" w:color="auto"/>
          <w:left w:val="single" w:sz="4" w:space="4" w:color="auto"/>
          <w:bottom w:val="single" w:sz="4" w:space="1" w:color="auto"/>
          <w:right w:val="single" w:sz="4" w:space="4" w:color="auto"/>
        </w:pBdr>
        <w:rPr>
          <w:noProof/>
        </w:rPr>
      </w:pPr>
    </w:p>
    <w:p w14:paraId="49892189" w14:textId="77777777" w:rsidR="00625704" w:rsidRDefault="00625704" w:rsidP="00625704">
      <w:pPr>
        <w:pStyle w:val="Text1"/>
        <w:rPr>
          <w:noProof/>
          <w:sz w:val="20"/>
        </w:rPr>
      </w:pPr>
      <w:r>
        <w:rPr>
          <w:noProof/>
          <w:sz w:val="20"/>
        </w:rPr>
        <w:t xml:space="preserve">Other remarks (e.g. method/formula used for calculating </w:t>
      </w:r>
      <w:r w:rsidRPr="009B753E">
        <w:rPr>
          <w:noProof/>
          <w:sz w:val="20"/>
        </w:rPr>
        <w:t>the impact on revenue or any other information).</w:t>
      </w:r>
    </w:p>
    <w:p w14:paraId="2CD85CBD" w14:textId="77777777" w:rsidR="00625704" w:rsidRDefault="00625704" w:rsidP="00625704">
      <w:pPr>
        <w:pStyle w:val="Text1"/>
        <w:pBdr>
          <w:top w:val="single" w:sz="4" w:space="1" w:color="auto"/>
          <w:left w:val="single" w:sz="4" w:space="4" w:color="auto"/>
          <w:bottom w:val="single" w:sz="4" w:space="1" w:color="auto"/>
          <w:right w:val="single" w:sz="4" w:space="4" w:color="auto"/>
        </w:pBdr>
        <w:rPr>
          <w:noProof/>
        </w:rPr>
      </w:pPr>
    </w:p>
    <w:p w14:paraId="036A7B95" w14:textId="77777777" w:rsidR="00625704" w:rsidRDefault="00625704" w:rsidP="00625704">
      <w:pPr>
        <w:rPr>
          <w:noProof/>
        </w:rPr>
      </w:pPr>
    </w:p>
    <w:p w14:paraId="2713AA18" w14:textId="77777777" w:rsidR="0053346D" w:rsidRDefault="0053346D" w:rsidP="00625704">
      <w:pPr>
        <w:pStyle w:val="ManualHeading1"/>
        <w:rPr>
          <w:noProof/>
        </w:rPr>
      </w:pPr>
    </w:p>
    <w:p w14:paraId="38711F94" w14:textId="77777777" w:rsidR="007C06DB" w:rsidRDefault="007C06DB" w:rsidP="003506AF">
      <w:pPr>
        <w:pStyle w:val="ManualHeading1"/>
        <w:rPr>
          <w:noProof/>
        </w:rPr>
      </w:pPr>
    </w:p>
    <w:sectPr w:rsidR="007C06DB" w:rsidSect="00E82958">
      <w:pgSz w:w="11907" w:h="16840" w:code="1"/>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E063DD" w14:textId="77777777" w:rsidR="001C1755" w:rsidRDefault="001C1755" w:rsidP="007C06DB">
      <w:pPr>
        <w:spacing w:before="0" w:after="0"/>
      </w:pPr>
      <w:r>
        <w:separator/>
      </w:r>
    </w:p>
  </w:endnote>
  <w:endnote w:type="continuationSeparator" w:id="0">
    <w:p w14:paraId="43CA0BE2" w14:textId="77777777" w:rsidR="001C1755" w:rsidRDefault="001C1755" w:rsidP="007C06DB">
      <w:pPr>
        <w:spacing w:before="0" w:after="0"/>
      </w:pPr>
      <w:r>
        <w:continuationSeparator/>
      </w:r>
    </w:p>
  </w:endnote>
  <w:endnote w:type="continuationNotice" w:id="1">
    <w:p w14:paraId="0403A27E" w14:textId="77777777" w:rsidR="001C1755" w:rsidRDefault="001C1755">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Unicode MS">
    <w:altName w:val="Arial"/>
    <w:panose1 w:val="020B0604020202020204"/>
    <w:charset w:val="00"/>
    <w:family w:val="roman"/>
    <w:pitch w:val="variable"/>
    <w:sig w:usb0="00000003" w:usb1="00000000" w:usb2="00000000" w:usb3="00000000" w:csb0="00000001" w:csb1="00000000"/>
  </w:font>
  <w:font w:name="Roboto">
    <w:altName w:val="Times New Roman"/>
    <w:charset w:val="00"/>
    <w:family w:val="auto"/>
    <w:pitch w:val="variable"/>
    <w:sig w:usb0="00000001" w:usb1="5000217F" w:usb2="00000021" w:usb3="00000000" w:csb0="0000019F" w:csb1="00000000"/>
  </w:font>
  <w:font w:name="EUAlbertina">
    <w:altName w:val="Cambria"/>
    <w:charset w:val="00"/>
    <w:family w:val="auto"/>
    <w:pitch w:val="variable"/>
    <w:sig w:usb0="800002EF" w:usb1="1000E0FB" w:usb2="00000000" w:usb3="00000000" w:csb0="0000009F" w:csb1="00000000"/>
  </w:font>
  <w:font w:name="Arial Narrow">
    <w:altName w:val="Arial"/>
    <w:panose1 w:val="020B0606020202030204"/>
    <w:charset w:val="00"/>
    <w:family w:val="swiss"/>
    <w:pitch w:val="variable"/>
    <w:sig w:usb0="00000287" w:usb1="00000800" w:usb2="00000000" w:usb3="00000000" w:csb0="000000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79EA91" w14:textId="46A023A9" w:rsidR="00E82958" w:rsidRPr="00E82958" w:rsidRDefault="00E82958" w:rsidP="00E82958">
    <w:pPr>
      <w:pStyle w:val="Footer"/>
      <w:rPr>
        <w:rFonts w:ascii="Arial" w:hAnsi="Arial" w:cs="Arial"/>
        <w:b/>
        <w:sz w:val="48"/>
      </w:rPr>
    </w:pPr>
    <w:r w:rsidRPr="00E82958">
      <w:rPr>
        <w:rFonts w:ascii="Arial" w:hAnsi="Arial" w:cs="Arial"/>
        <w:b/>
        <w:sz w:val="48"/>
      </w:rPr>
      <w:t>EN</w:t>
    </w:r>
    <w:r w:rsidRPr="00E82958">
      <w:rPr>
        <w:rFonts w:ascii="Arial" w:hAnsi="Arial" w:cs="Arial"/>
        <w:b/>
        <w:sz w:val="48"/>
      </w:rPr>
      <w:tab/>
    </w:r>
    <w:r w:rsidRPr="00E82958">
      <w:rPr>
        <w:rFonts w:ascii="Arial" w:hAnsi="Arial" w:cs="Arial"/>
        <w:b/>
        <w:sz w:val="48"/>
      </w:rPr>
      <w:tab/>
    </w:r>
    <w:r w:rsidRPr="00E82958">
      <w:tab/>
    </w:r>
    <w:r w:rsidRPr="00E82958">
      <w:rPr>
        <w:rFonts w:ascii="Arial" w:hAnsi="Arial" w:cs="Arial"/>
        <w:b/>
        <w:sz w:val="48"/>
      </w:rPr>
      <w:t>EN</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09BB51" w14:textId="09F55682" w:rsidR="00E82958" w:rsidRPr="00E82958" w:rsidRDefault="00E82958" w:rsidP="00E82958">
    <w:pPr>
      <w:pStyle w:val="Footer"/>
      <w:rPr>
        <w:rFonts w:ascii="Arial" w:hAnsi="Arial" w:cs="Arial"/>
        <w:b/>
        <w:sz w:val="48"/>
      </w:rPr>
    </w:pPr>
    <w:r w:rsidRPr="00E82958">
      <w:rPr>
        <w:rFonts w:ascii="Arial" w:hAnsi="Arial" w:cs="Arial"/>
        <w:b/>
        <w:sz w:val="48"/>
      </w:rPr>
      <w:t>EN</w:t>
    </w:r>
    <w:r w:rsidRPr="00E82958">
      <w:rPr>
        <w:rFonts w:ascii="Arial" w:hAnsi="Arial" w:cs="Arial"/>
        <w:b/>
        <w:sz w:val="48"/>
      </w:rPr>
      <w:tab/>
    </w:r>
    <w:r w:rsidRPr="00E82958">
      <w:rPr>
        <w:rFonts w:ascii="Arial" w:hAnsi="Arial" w:cs="Arial"/>
        <w:b/>
        <w:sz w:val="48"/>
      </w:rPr>
      <w:tab/>
    </w:r>
    <w:r w:rsidRPr="00E82958">
      <w:tab/>
    </w:r>
    <w:r w:rsidRPr="00E82958">
      <w:rPr>
        <w:rFonts w:ascii="Arial" w:hAnsi="Arial" w:cs="Arial"/>
        <w:b/>
        <w:sz w:val="48"/>
      </w:rPr>
      <w:t>EN</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6D4D67" w14:textId="77777777" w:rsidR="00E82958" w:rsidRDefault="00E8295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8F2918" w14:textId="5D2DBD02" w:rsidR="00E82958" w:rsidRPr="00E82958" w:rsidRDefault="00E82958" w:rsidP="00E82958">
    <w:pPr>
      <w:pStyle w:val="Footer"/>
      <w:rPr>
        <w:rFonts w:ascii="Arial" w:hAnsi="Arial" w:cs="Arial"/>
        <w:b/>
        <w:sz w:val="48"/>
      </w:rPr>
    </w:pPr>
    <w:r w:rsidRPr="00E82958">
      <w:rPr>
        <w:rFonts w:ascii="Arial" w:hAnsi="Arial" w:cs="Arial"/>
        <w:b/>
        <w:sz w:val="48"/>
      </w:rPr>
      <w:t>EN</w:t>
    </w:r>
    <w:r w:rsidRPr="00E82958">
      <w:rPr>
        <w:rFonts w:ascii="Arial" w:hAnsi="Arial" w:cs="Arial"/>
        <w:b/>
        <w:sz w:val="48"/>
      </w:rPr>
      <w:tab/>
    </w:r>
    <w:r>
      <w:fldChar w:fldCharType="begin"/>
    </w:r>
    <w:r>
      <w:instrText xml:space="preserve"> PAGE  \* MERGEFORMAT </w:instrText>
    </w:r>
    <w:r>
      <w:fldChar w:fldCharType="separate"/>
    </w:r>
    <w:r w:rsidR="001402D8">
      <w:rPr>
        <w:noProof/>
      </w:rPr>
      <w:t>75</w:t>
    </w:r>
    <w:r>
      <w:fldChar w:fldCharType="end"/>
    </w:r>
    <w:r>
      <w:tab/>
    </w:r>
    <w:r w:rsidRPr="00E82958">
      <w:tab/>
    </w:r>
    <w:r w:rsidRPr="00E82958">
      <w:rPr>
        <w:rFonts w:ascii="Arial" w:hAnsi="Arial" w:cs="Arial"/>
        <w:b/>
        <w:sz w:val="48"/>
      </w:rPr>
      <w:t>EN</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9BC001" w14:textId="77777777" w:rsidR="00E82958" w:rsidRDefault="00E82958" w:rsidP="00E82958">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3DB75E" w14:textId="7ECB2010" w:rsidR="00E82958" w:rsidRPr="00E82958" w:rsidRDefault="00E82958" w:rsidP="00E82958">
    <w:pPr>
      <w:pStyle w:val="FooterLandscape"/>
      <w:rPr>
        <w:rFonts w:ascii="Arial" w:hAnsi="Arial" w:cs="Arial"/>
        <w:b/>
        <w:sz w:val="48"/>
      </w:rPr>
    </w:pPr>
    <w:r w:rsidRPr="00E82958">
      <w:rPr>
        <w:rFonts w:ascii="Arial" w:hAnsi="Arial" w:cs="Arial"/>
        <w:b/>
        <w:sz w:val="48"/>
      </w:rPr>
      <w:t>EN</w:t>
    </w:r>
    <w:r w:rsidRPr="00E82958">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rsidRPr="00E82958">
      <w:tab/>
    </w:r>
    <w:r w:rsidRPr="00E82958">
      <w:rPr>
        <w:rFonts w:ascii="Arial" w:hAnsi="Arial" w:cs="Arial"/>
        <w:b/>
        <w:sz w:val="48"/>
      </w:rPr>
      <w:t>EN</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AEE5E6" w14:textId="18999DFC" w:rsidR="00E82958" w:rsidRPr="00E82958" w:rsidRDefault="00E82958" w:rsidP="00E82958">
    <w:pPr>
      <w:pStyle w:val="Footer"/>
      <w:rPr>
        <w:rFonts w:ascii="Arial" w:hAnsi="Arial" w:cs="Arial"/>
        <w:b/>
        <w:sz w:val="48"/>
      </w:rPr>
    </w:pPr>
    <w:r w:rsidRPr="00E82958">
      <w:rPr>
        <w:rFonts w:ascii="Arial" w:hAnsi="Arial" w:cs="Arial"/>
        <w:b/>
        <w:sz w:val="48"/>
      </w:rPr>
      <w:t>EN</w:t>
    </w:r>
    <w:r w:rsidRPr="00E82958">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rsidRPr="00E82958">
      <w:tab/>
    </w:r>
    <w:r w:rsidRPr="00E82958">
      <w:rPr>
        <w:rFonts w:ascii="Arial" w:hAnsi="Arial" w:cs="Arial"/>
        <w:b/>
        <w:sz w:val="48"/>
      </w:rPr>
      <w:t>EN</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D1C7AB" w14:textId="77777777" w:rsidR="001C1755" w:rsidRDefault="001C1755" w:rsidP="007C06DB">
      <w:pPr>
        <w:spacing w:before="0" w:after="0"/>
      </w:pPr>
      <w:r>
        <w:separator/>
      </w:r>
    </w:p>
  </w:footnote>
  <w:footnote w:type="continuationSeparator" w:id="0">
    <w:p w14:paraId="7C400653" w14:textId="77777777" w:rsidR="001C1755" w:rsidRDefault="001C1755" w:rsidP="007C06DB">
      <w:pPr>
        <w:spacing w:before="0" w:after="0"/>
      </w:pPr>
      <w:r>
        <w:continuationSeparator/>
      </w:r>
    </w:p>
  </w:footnote>
  <w:footnote w:type="continuationNotice" w:id="1">
    <w:p w14:paraId="0779D17F" w14:textId="77777777" w:rsidR="001C1755" w:rsidRDefault="001C1755">
      <w:pPr>
        <w:spacing w:before="0" w:after="0"/>
      </w:pPr>
    </w:p>
  </w:footnote>
  <w:footnote w:id="2">
    <w:p w14:paraId="5213A0EB" w14:textId="77777777" w:rsidR="00763B84" w:rsidRPr="004566AC" w:rsidRDefault="00763B84">
      <w:pPr>
        <w:pStyle w:val="FootnoteText"/>
        <w:rPr>
          <w:lang w:val="en-IE"/>
        </w:rPr>
      </w:pPr>
      <w:r>
        <w:rPr>
          <w:rStyle w:val="FootnoteReference"/>
        </w:rPr>
        <w:footnoteRef/>
      </w:r>
      <w:r w:rsidRPr="004566AC">
        <w:rPr>
          <w:lang w:val="en-IE"/>
        </w:rPr>
        <w:tab/>
      </w:r>
      <w:r w:rsidR="007803FA" w:rsidRPr="004566AC">
        <w:rPr>
          <w:lang w:val="en-IE"/>
        </w:rPr>
        <w:t>Framework on the EU’s future Security Commitments to Ukraine, endorsed by the Council on 27 November 2023.</w:t>
      </w:r>
    </w:p>
  </w:footnote>
  <w:footnote w:id="3">
    <w:p w14:paraId="56114178" w14:textId="77777777" w:rsidR="00CB5EDF" w:rsidRDefault="00CB5EDF" w:rsidP="00CB5EDF">
      <w:pPr>
        <w:pStyle w:val="FootnoteText"/>
      </w:pPr>
      <w:r>
        <w:rPr>
          <w:rStyle w:val="FootnoteReference"/>
        </w:rPr>
        <w:footnoteRef/>
      </w:r>
      <w:r>
        <w:tab/>
        <w:t>OJ C , , p. .</w:t>
      </w:r>
    </w:p>
  </w:footnote>
  <w:footnote w:id="4">
    <w:p w14:paraId="525FB4FA" w14:textId="77777777" w:rsidR="00FC5DEC" w:rsidRDefault="00FC5DEC" w:rsidP="00FC5DEC">
      <w:pPr>
        <w:pStyle w:val="FootnoteText"/>
        <w:rPr>
          <w:lang w:val="en-IE"/>
        </w:rPr>
      </w:pPr>
      <w:r>
        <w:rPr>
          <w:rStyle w:val="FootnoteReference"/>
        </w:rPr>
        <w:footnoteRef/>
      </w:r>
      <w:r>
        <w:rPr>
          <w:lang w:val="en-IE"/>
        </w:rPr>
        <w:tab/>
      </w:r>
      <w:r>
        <w:t>OJ C , , p. .</w:t>
      </w:r>
    </w:p>
  </w:footnote>
  <w:footnote w:id="5">
    <w:p w14:paraId="6F097A39" w14:textId="77777777" w:rsidR="00CE31F5" w:rsidRPr="00B500F9" w:rsidRDefault="00CE31F5" w:rsidP="00CE31F5">
      <w:pPr>
        <w:pStyle w:val="FootnoteText"/>
        <w:rPr>
          <w:lang w:val="lv-LV"/>
        </w:rPr>
      </w:pPr>
      <w:r w:rsidRPr="00926F88">
        <w:rPr>
          <w:rStyle w:val="FootnoteReference"/>
        </w:rPr>
        <w:footnoteRef/>
      </w:r>
      <w:r w:rsidR="00926F88">
        <w:tab/>
      </w:r>
      <w:r w:rsidRPr="00831BDE">
        <w:rPr>
          <w:lang w:val="lv-LV"/>
        </w:rPr>
        <w:t>Regulation (EU) 2023/2418 of the European Parliament and of the Council of 18 October 2023 on establishing an instrument for the reinforcement of the European defence industry through common procurement (EDIRPA)</w:t>
      </w:r>
      <w:r>
        <w:rPr>
          <w:lang w:val="lv-LV"/>
        </w:rPr>
        <w:t xml:space="preserve"> (</w:t>
      </w:r>
      <w:r w:rsidRPr="00831BDE">
        <w:rPr>
          <w:lang w:val="lv-LV"/>
        </w:rPr>
        <w:t>OJ L, 2023/2418, 26.10.2023, ELI: http://data.europa.eu/eli/reg/2023/2418/oj</w:t>
      </w:r>
      <w:r>
        <w:rPr>
          <w:lang w:val="lv-LV"/>
        </w:rPr>
        <w:t>).</w:t>
      </w:r>
    </w:p>
  </w:footnote>
  <w:footnote w:id="6">
    <w:p w14:paraId="59A2D08C" w14:textId="77777777" w:rsidR="000547D9" w:rsidRPr="00B500F9" w:rsidRDefault="000547D9" w:rsidP="000547D9">
      <w:pPr>
        <w:pStyle w:val="FootnoteText"/>
        <w:rPr>
          <w:lang w:val="lv-LV"/>
        </w:rPr>
      </w:pPr>
      <w:r w:rsidRPr="00926F88">
        <w:rPr>
          <w:rStyle w:val="FootnoteReference"/>
        </w:rPr>
        <w:footnoteRef/>
      </w:r>
      <w:r w:rsidR="00926F88">
        <w:tab/>
      </w:r>
      <w:r w:rsidRPr="00831BDE">
        <w:rPr>
          <w:lang w:val="lv-LV"/>
        </w:rPr>
        <w:t>Regulation (EU) 2023/1525 of the European Parliament and of the Council of 20 July 2023 on supporting ammunition production (ASAP)</w:t>
      </w:r>
      <w:r>
        <w:rPr>
          <w:lang w:val="lv-LV"/>
        </w:rPr>
        <w:t xml:space="preserve"> (</w:t>
      </w:r>
      <w:r w:rsidRPr="00831BDE">
        <w:rPr>
          <w:lang w:val="lv-LV"/>
        </w:rPr>
        <w:t>OJ L 185, 24.7.2023, p. 7</w:t>
      </w:r>
      <w:r>
        <w:rPr>
          <w:lang w:val="lv-LV"/>
        </w:rPr>
        <w:t xml:space="preserve">, </w:t>
      </w:r>
      <w:r w:rsidRPr="00831BDE">
        <w:rPr>
          <w:lang w:val="lv-LV"/>
        </w:rPr>
        <w:t>ELI: http://data.europa.eu/eli/reg/2023/1525/oj</w:t>
      </w:r>
      <w:r>
        <w:rPr>
          <w:lang w:val="lv-LV"/>
        </w:rPr>
        <w:t>).</w:t>
      </w:r>
    </w:p>
  </w:footnote>
  <w:footnote w:id="7">
    <w:p w14:paraId="56275DCE" w14:textId="77777777" w:rsidR="00CB5EDF" w:rsidRPr="005D385F" w:rsidRDefault="00CB5EDF" w:rsidP="00CB5EDF">
      <w:pPr>
        <w:pStyle w:val="FootnoteText"/>
        <w:rPr>
          <w:lang w:val="en-IE"/>
        </w:rPr>
      </w:pPr>
      <w:r>
        <w:rPr>
          <w:rStyle w:val="FootnoteReference"/>
        </w:rPr>
        <w:footnoteRef/>
      </w:r>
      <w:r w:rsidRPr="005D385F">
        <w:rPr>
          <w:lang w:val="en-IE"/>
        </w:rPr>
        <w:tab/>
        <w:t xml:space="preserve">Regulation (EU) 2021/1060 of the European Parliament and of the Council of 24 June 2021 laying down common provisions on the European Regional Development Fund, the European Social Fund Plus, the Cohesion Fund, the Just Transition Fund and the European Maritime, Fisheries and Aquaculture Fund and financial rules for those and for the Asylum, Migration and Integration Fund, the Internal Security Fund and the </w:t>
      </w:r>
      <w:r>
        <w:rPr>
          <w:lang w:val="en-IE"/>
        </w:rPr>
        <w:t>Programme</w:t>
      </w:r>
      <w:r w:rsidRPr="005D385F">
        <w:rPr>
          <w:lang w:val="en-IE"/>
        </w:rPr>
        <w:t xml:space="preserve"> for Financial Support for Border Management and Visa Policy </w:t>
      </w:r>
      <w:r>
        <w:rPr>
          <w:lang w:val="en-IE"/>
        </w:rPr>
        <w:t>(</w:t>
      </w:r>
      <w:r w:rsidRPr="005D385F">
        <w:rPr>
          <w:lang w:val="en-IE"/>
        </w:rPr>
        <w:t>OJ L 231, 30.6.2021, p. 159–706</w:t>
      </w:r>
      <w:r>
        <w:rPr>
          <w:lang w:val="en-IE"/>
        </w:rPr>
        <w:t>).</w:t>
      </w:r>
    </w:p>
  </w:footnote>
  <w:footnote w:id="8">
    <w:p w14:paraId="3F468499" w14:textId="77777777" w:rsidR="00C13CEB" w:rsidRPr="00744DCA" w:rsidRDefault="00C13CEB">
      <w:pPr>
        <w:pStyle w:val="FootnoteText"/>
        <w:rPr>
          <w:lang w:val="en-IE"/>
        </w:rPr>
      </w:pPr>
      <w:r w:rsidRPr="00926F88">
        <w:rPr>
          <w:rStyle w:val="FootnoteReference"/>
        </w:rPr>
        <w:footnoteRef/>
      </w:r>
      <w:r w:rsidR="00926F88">
        <w:tab/>
      </w:r>
      <w:r w:rsidRPr="00C13CEB">
        <w:t>Regulation (EU) 2021/523 of the European Parliament and of the Council of 24 March 2021 establishing the InvestEU Programme and amending Regulation (EU) 2015/1017</w:t>
      </w:r>
      <w:r w:rsidR="00686C7E">
        <w:t xml:space="preserve"> </w:t>
      </w:r>
      <w:r w:rsidR="00B577FB">
        <w:t>(</w:t>
      </w:r>
      <w:r w:rsidR="00B577FB" w:rsidRPr="00B577FB">
        <w:t>OJ L 107, 26.3.2021, p. 30–89</w:t>
      </w:r>
      <w:r w:rsidR="00B577FB">
        <w:t xml:space="preserve">, ELI: </w:t>
      </w:r>
      <w:r w:rsidR="00B577FB" w:rsidRPr="00B577FB">
        <w:t>http://data.europa.eu/eli/reg/2021/523/oj</w:t>
      </w:r>
      <w:r w:rsidR="00B577FB">
        <w:t>)</w:t>
      </w:r>
      <w:r>
        <w:t xml:space="preserve">. </w:t>
      </w:r>
    </w:p>
  </w:footnote>
  <w:footnote w:id="9">
    <w:p w14:paraId="0168399C" w14:textId="1628C0B0" w:rsidR="005A62DE" w:rsidRDefault="005A62DE">
      <w:pPr>
        <w:pStyle w:val="FootnoteText"/>
        <w:rPr>
          <w:lang w:val="en-IE"/>
        </w:rPr>
      </w:pPr>
      <w:r>
        <w:rPr>
          <w:rStyle w:val="FootnoteReference"/>
        </w:rPr>
        <w:footnoteRef/>
      </w:r>
      <w:r>
        <w:rPr>
          <w:lang w:val="en-IE"/>
        </w:rPr>
        <w:tab/>
        <w:t>Regulation (EU) 2016/679 of the European Parliament and of the Council of 27 April 2016 on the protection of natural persons with regard to the processing of personal data and on the free movement of such data, and repealing Directive 95/46/EC (General Data Protection Regulation) (OJ L 119, 4.5.2016, p. 1).</w:t>
      </w:r>
    </w:p>
  </w:footnote>
  <w:footnote w:id="10">
    <w:p w14:paraId="5132A08C" w14:textId="58D511D3" w:rsidR="005A62DE" w:rsidRDefault="005A62DE" w:rsidP="005A62DE">
      <w:pPr>
        <w:pStyle w:val="FootnoteText"/>
        <w:rPr>
          <w:lang w:val="en-IE"/>
        </w:rPr>
      </w:pPr>
      <w:r>
        <w:rPr>
          <w:rStyle w:val="FootnoteReference"/>
        </w:rPr>
        <w:footnoteRef/>
      </w:r>
      <w:r>
        <w:rPr>
          <w:lang w:val="en-IE"/>
        </w:rPr>
        <w:tab/>
        <w:t>Directive 2002/58/EC of the European Parliament and of the Council of 12 July 2002 concerning the processing of personal data and the protection of privacy in the electronic communications sector (Directive on privacy and electronic communications) (OJ L 201, 31.7.2002, p. 37).</w:t>
      </w:r>
    </w:p>
  </w:footnote>
  <w:footnote w:id="11">
    <w:p w14:paraId="3C5F0330" w14:textId="138BD048" w:rsidR="005A62DE" w:rsidRDefault="005A62DE">
      <w:pPr>
        <w:pStyle w:val="FootnoteText"/>
        <w:rPr>
          <w:lang w:val="en-IE"/>
        </w:rPr>
      </w:pPr>
      <w:r>
        <w:rPr>
          <w:rStyle w:val="FootnoteReference"/>
        </w:rPr>
        <w:footnoteRef/>
      </w:r>
      <w:r>
        <w:rPr>
          <w:lang w:val="en-IE"/>
        </w:rPr>
        <w:tab/>
        <w:t>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w:t>
      </w:r>
    </w:p>
  </w:footnote>
  <w:footnote w:id="12">
    <w:p w14:paraId="0F59B67B" w14:textId="77777777" w:rsidR="0053346D" w:rsidRDefault="0053346D" w:rsidP="0053346D">
      <w:pPr>
        <w:pStyle w:val="FootnoteText"/>
        <w:rPr>
          <w:szCs w:val="24"/>
        </w:rPr>
      </w:pPr>
      <w:r>
        <w:rPr>
          <w:rStyle w:val="FootnoteReference"/>
        </w:rPr>
        <w:footnoteRef/>
      </w:r>
      <w:r>
        <w:tab/>
        <w:t>As referred to in Article 58(2)(a) or (b) of the Financial Regulation.</w:t>
      </w:r>
    </w:p>
  </w:footnote>
  <w:footnote w:id="13">
    <w:p w14:paraId="7FBA3870" w14:textId="77777777" w:rsidR="0053346D" w:rsidRDefault="0053346D" w:rsidP="0053346D">
      <w:pPr>
        <w:pStyle w:val="FootnoteText"/>
        <w:jc w:val="left"/>
        <w:rPr>
          <w:szCs w:val="24"/>
        </w:rPr>
      </w:pPr>
      <w:r>
        <w:rPr>
          <w:rStyle w:val="FootnoteReference"/>
        </w:rPr>
        <w:footnoteRef/>
      </w:r>
      <w:r>
        <w:tab/>
        <w:t xml:space="preserve">Details of budget implementation methods and references to the Financial Regulation may be found on the BUDGpedia site: </w:t>
      </w:r>
      <w:hyperlink r:id="rId1" w:history="1">
        <w:r w:rsidRPr="00974254">
          <w:rPr>
            <w:rStyle w:val="Hyperlink"/>
          </w:rPr>
          <w:t>https://myintracomm.ec.europa.eu/corp/budget/financial-rules/budget-implementation/Pages/implementation-methods.aspx</w:t>
        </w:r>
      </w:hyperlink>
    </w:p>
  </w:footnote>
  <w:footnote w:id="14">
    <w:p w14:paraId="261423E4" w14:textId="77777777" w:rsidR="00625704" w:rsidRDefault="00625704" w:rsidP="00625704">
      <w:pPr>
        <w:pStyle w:val="FootnoteText"/>
        <w:rPr>
          <w:szCs w:val="24"/>
        </w:rPr>
      </w:pPr>
      <w:r>
        <w:rPr>
          <w:rStyle w:val="FootnoteReference"/>
        </w:rPr>
        <w:footnoteRef/>
      </w:r>
      <w:r>
        <w:tab/>
        <w:t>Diff. = Differentiated appropriations / Non-diff. = Non-differentiated appropriations.</w:t>
      </w:r>
    </w:p>
  </w:footnote>
  <w:footnote w:id="15">
    <w:p w14:paraId="6DB19766" w14:textId="77777777" w:rsidR="00625704" w:rsidRDefault="00625704" w:rsidP="00625704">
      <w:pPr>
        <w:pStyle w:val="FootnoteText"/>
        <w:rPr>
          <w:szCs w:val="24"/>
        </w:rPr>
      </w:pPr>
      <w:r>
        <w:rPr>
          <w:rStyle w:val="FootnoteReference"/>
        </w:rPr>
        <w:footnoteRef/>
      </w:r>
      <w:r>
        <w:tab/>
        <w:t xml:space="preserve">EFTA: European Free Trade Association. </w:t>
      </w:r>
    </w:p>
  </w:footnote>
  <w:footnote w:id="16">
    <w:p w14:paraId="510A1F63" w14:textId="77777777" w:rsidR="00625704" w:rsidRDefault="00625704" w:rsidP="00625704">
      <w:pPr>
        <w:pStyle w:val="FootnoteText"/>
        <w:rPr>
          <w:szCs w:val="24"/>
        </w:rPr>
      </w:pPr>
      <w:r>
        <w:rPr>
          <w:rStyle w:val="FootnoteReference"/>
        </w:rPr>
        <w:footnoteRef/>
      </w:r>
      <w:r>
        <w:tab/>
        <w:t>Candidate countries and, where applicable, potential candidates from the Western Balkans.</w:t>
      </w:r>
    </w:p>
  </w:footnote>
  <w:footnote w:id="17">
    <w:p w14:paraId="0C62F235" w14:textId="77777777" w:rsidR="00625704" w:rsidRDefault="00625704" w:rsidP="00625704">
      <w:pPr>
        <w:pStyle w:val="FootnoteText"/>
        <w:rPr>
          <w:szCs w:val="24"/>
        </w:rPr>
      </w:pPr>
      <w:r>
        <w:rPr>
          <w:rStyle w:val="FootnoteReference"/>
        </w:rPr>
        <w:footnoteRef/>
      </w:r>
      <w:r>
        <w:tab/>
        <w:t xml:space="preserve">AC= Contract Staff; AL = Local Staff; END= Seconded National Expert; INT = agency staff; JPD= Junior Professionals in Delegations. </w:t>
      </w:r>
    </w:p>
  </w:footnote>
  <w:footnote w:id="18">
    <w:p w14:paraId="4AF29B8B" w14:textId="77777777" w:rsidR="00625704" w:rsidRDefault="00625704" w:rsidP="00625704">
      <w:pPr>
        <w:pStyle w:val="FootnoteText"/>
        <w:rPr>
          <w:szCs w:val="24"/>
        </w:rPr>
      </w:pPr>
      <w:r>
        <w:rPr>
          <w:rStyle w:val="FootnoteReference"/>
        </w:rPr>
        <w:footnoteRef/>
      </w:r>
      <w:r>
        <w:tab/>
      </w:r>
      <w:r w:rsidRPr="00FA1F34">
        <w:t>Sub-ceiling for external staff covered by operational appropriations (former ‘BA’ lines).</w:t>
      </w:r>
    </w:p>
  </w:footnote>
  <w:footnote w:id="19">
    <w:p w14:paraId="5845F77D" w14:textId="77777777" w:rsidR="00625704" w:rsidRDefault="00625704" w:rsidP="00625704">
      <w:pPr>
        <w:pStyle w:val="FootnoteText"/>
        <w:rPr>
          <w:szCs w:val="24"/>
        </w:rPr>
      </w:pPr>
      <w:r>
        <w:rPr>
          <w:rStyle w:val="FootnoteReference"/>
        </w:rPr>
        <w:footnoteRef/>
      </w:r>
      <w:r>
        <w:tab/>
        <w:t xml:space="preserve">As regards traditional own resources (customs duties, sugar levies), the amounts indicated must be net amounts, i.e. gross amounts after deduction of </w:t>
      </w:r>
      <w:r w:rsidRPr="009B753E">
        <w:t>20</w:t>
      </w:r>
      <w:r>
        <w:t> % for collection costs.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C9089C" w14:textId="77777777" w:rsidR="00E82958" w:rsidRDefault="00E8295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C8E3E1" w14:textId="77777777" w:rsidR="00E82958" w:rsidRDefault="00E82958" w:rsidP="00E8295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A5F180" w14:textId="77777777" w:rsidR="00E82958" w:rsidRPr="00E82958" w:rsidRDefault="00E82958" w:rsidP="00E82958">
    <w:pPr>
      <w:pStyle w:val="HeaderLandscap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7BB391" w14:textId="77777777" w:rsidR="00E82958" w:rsidRPr="00E82958" w:rsidRDefault="00E82958" w:rsidP="00E829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C6A95"/>
    <w:multiLevelType w:val="singleLevel"/>
    <w:tmpl w:val="02BAFA82"/>
    <w:name w:val="List Bullet 1"/>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1" w15:restartNumberingAfterBreak="0">
    <w:nsid w:val="0CE13383"/>
    <w:multiLevelType w:val="hybridMultilevel"/>
    <w:tmpl w:val="A058DCCA"/>
    <w:lvl w:ilvl="0" w:tplc="E6888BAC">
      <w:start w:val="4"/>
      <w:numFmt w:val="bullet"/>
      <w:lvlText w:val="-"/>
      <w:lvlJc w:val="left"/>
      <w:pPr>
        <w:ind w:left="360" w:hanging="360"/>
      </w:pPr>
      <w:rPr>
        <w:rFonts w:ascii="Calibri" w:eastAsiaTheme="minorHAnsi" w:hAnsi="Calibri" w:cs="Calibri" w:hint="default"/>
        <w:lang w:val="en-IE"/>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128364B0"/>
    <w:multiLevelType w:val="singleLevel"/>
    <w:tmpl w:val="D084FB54"/>
    <w:lvl w:ilvl="0">
      <w:start w:val="1"/>
      <w:numFmt w:val="bullet"/>
      <w:pStyle w:val="ListDash3"/>
      <w:lvlText w:val="–"/>
      <w:lvlJc w:val="left"/>
      <w:pPr>
        <w:tabs>
          <w:tab w:val="num" w:pos="1134"/>
        </w:tabs>
        <w:ind w:left="1134" w:hanging="283"/>
      </w:pPr>
      <w:rPr>
        <w:rFonts w:ascii="Times New Roman" w:hAnsi="Times New Roman"/>
      </w:rPr>
    </w:lvl>
  </w:abstractNum>
  <w:abstractNum w:abstractNumId="3" w15:restartNumberingAfterBreak="0">
    <w:nsid w:val="13E4330B"/>
    <w:multiLevelType w:val="multilevel"/>
    <w:tmpl w:val="875C4416"/>
    <w:name w:val="List Dash 3"/>
    <w:lvl w:ilvl="0">
      <w:start w:val="1"/>
      <w:numFmt w:val="decimal"/>
      <w:pStyle w:val="ListNumber1"/>
      <w:lvlText w:val="(%1)"/>
      <w:lvlJc w:val="left"/>
      <w:pPr>
        <w:tabs>
          <w:tab w:val="num" w:pos="1560"/>
        </w:tabs>
        <w:ind w:left="1560" w:hanging="709"/>
      </w:pPr>
      <w:rPr>
        <w:rFonts w:cs="Times New Roman"/>
      </w:rPr>
    </w:lvl>
    <w:lvl w:ilvl="1">
      <w:start w:val="1"/>
      <w:numFmt w:val="lowerLetter"/>
      <w:pStyle w:val="ListNumber1Level2"/>
      <w:lvlText w:val="(%2)"/>
      <w:lvlJc w:val="left"/>
      <w:pPr>
        <w:tabs>
          <w:tab w:val="num" w:pos="2268"/>
        </w:tabs>
        <w:ind w:left="2268" w:hanging="708"/>
      </w:pPr>
      <w:rPr>
        <w:rFonts w:cs="Times New Roman"/>
      </w:rPr>
    </w:lvl>
    <w:lvl w:ilvl="2">
      <w:start w:val="1"/>
      <w:numFmt w:val="bullet"/>
      <w:pStyle w:val="ListNumber1Level3"/>
      <w:lvlText w:val="–"/>
      <w:lvlJc w:val="left"/>
      <w:pPr>
        <w:tabs>
          <w:tab w:val="num" w:pos="2977"/>
        </w:tabs>
        <w:ind w:left="2977" w:hanging="709"/>
      </w:pPr>
      <w:rPr>
        <w:rFonts w:ascii="Times New Roman" w:hAnsi="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5"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7"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8" w15:restartNumberingAfterBreak="0">
    <w:nsid w:val="2D820C1F"/>
    <w:multiLevelType w:val="singleLevel"/>
    <w:tmpl w:val="7896AADE"/>
    <w:name w:val="List Dash"/>
    <w:lvl w:ilvl="0">
      <w:start w:val="1"/>
      <w:numFmt w:val="bullet"/>
      <w:lvlRestart w:val="0"/>
      <w:pStyle w:val="ListDash"/>
      <w:lvlText w:val="–"/>
      <w:lvlJc w:val="left"/>
      <w:pPr>
        <w:tabs>
          <w:tab w:val="num" w:pos="283"/>
        </w:tabs>
        <w:ind w:left="283" w:hanging="283"/>
      </w:pPr>
      <w:rPr>
        <w:rFonts w:ascii="Times New Roman" w:hAnsi="Times New Roman" w:cs="Times New Roman"/>
      </w:rPr>
    </w:lvl>
  </w:abstractNum>
  <w:abstractNum w:abstractNumId="9" w15:restartNumberingAfterBreak="0">
    <w:nsid w:val="2F191641"/>
    <w:multiLevelType w:val="multilevel"/>
    <w:tmpl w:val="B67C4E92"/>
    <w:lvl w:ilvl="0">
      <w:start w:val="1"/>
      <w:numFmt w:val="decimal"/>
      <w:pStyle w:val="ListNumber3"/>
      <w:lvlText w:val="(%1)"/>
      <w:lvlJc w:val="left"/>
      <w:pPr>
        <w:tabs>
          <w:tab w:val="num" w:pos="1560"/>
        </w:tabs>
        <w:ind w:left="1560" w:hanging="709"/>
      </w:pPr>
      <w:rPr>
        <w:rFonts w:cs="Times New Roman"/>
      </w:rPr>
    </w:lvl>
    <w:lvl w:ilvl="1">
      <w:start w:val="1"/>
      <w:numFmt w:val="lowerLetter"/>
      <w:pStyle w:val="ListNumber3Level2"/>
      <w:lvlText w:val="(%2)"/>
      <w:lvlJc w:val="left"/>
      <w:pPr>
        <w:tabs>
          <w:tab w:val="num" w:pos="2268"/>
        </w:tabs>
        <w:ind w:left="2268" w:hanging="708"/>
      </w:pPr>
      <w:rPr>
        <w:rFonts w:cs="Times New Roman"/>
      </w:rPr>
    </w:lvl>
    <w:lvl w:ilvl="2">
      <w:start w:val="1"/>
      <w:numFmt w:val="bullet"/>
      <w:pStyle w:val="ListNumber3Level3"/>
      <w:lvlText w:val="–"/>
      <w:lvlJc w:val="left"/>
      <w:pPr>
        <w:tabs>
          <w:tab w:val="num" w:pos="2977"/>
        </w:tabs>
        <w:ind w:left="2977" w:hanging="709"/>
      </w:pPr>
      <w:rPr>
        <w:rFonts w:ascii="Times New Roman" w:hAnsi="Times New Roman"/>
      </w:rPr>
    </w:lvl>
    <w:lvl w:ilvl="3">
      <w:start w:val="1"/>
      <w:numFmt w:val="bullet"/>
      <w:pStyle w:val="ListNumber3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0" w15:restartNumberingAfterBreak="0">
    <w:nsid w:val="31CD398A"/>
    <w:multiLevelType w:val="singleLevel"/>
    <w:tmpl w:val="0276BF00"/>
    <w:lvl w:ilvl="0">
      <w:start w:val="1"/>
      <w:numFmt w:val="bullet"/>
      <w:pStyle w:val="ListDash4"/>
      <w:lvlText w:val="–"/>
      <w:lvlJc w:val="left"/>
      <w:pPr>
        <w:tabs>
          <w:tab w:val="num" w:pos="1134"/>
        </w:tabs>
        <w:ind w:left="1134" w:hanging="283"/>
      </w:pPr>
      <w:rPr>
        <w:rFonts w:ascii="Times New Roman" w:hAnsi="Times New Roman"/>
      </w:rPr>
    </w:lvl>
  </w:abstractNum>
  <w:abstractNum w:abstractNumId="11" w15:restartNumberingAfterBreak="0">
    <w:nsid w:val="398C015E"/>
    <w:multiLevelType w:val="multilevel"/>
    <w:tmpl w:val="027A66BA"/>
    <w:name w:val="List Dash 4"/>
    <w:lvl w:ilvl="0">
      <w:start w:val="1"/>
      <w:numFmt w:val="decimal"/>
      <w:pStyle w:val="ListNumber2"/>
      <w:lvlText w:val="(%1)"/>
      <w:lvlJc w:val="left"/>
      <w:pPr>
        <w:tabs>
          <w:tab w:val="num" w:pos="1560"/>
        </w:tabs>
        <w:ind w:left="1560" w:hanging="709"/>
      </w:pPr>
      <w:rPr>
        <w:rFonts w:cs="Times New Roman"/>
      </w:rPr>
    </w:lvl>
    <w:lvl w:ilvl="1">
      <w:start w:val="1"/>
      <w:numFmt w:val="lowerLetter"/>
      <w:pStyle w:val="ListNumber2Level2"/>
      <w:lvlText w:val="(%2)"/>
      <w:lvlJc w:val="left"/>
      <w:pPr>
        <w:tabs>
          <w:tab w:val="num" w:pos="2268"/>
        </w:tabs>
        <w:ind w:left="2268" w:hanging="708"/>
      </w:pPr>
      <w:rPr>
        <w:rFonts w:cs="Times New Roman"/>
      </w:rPr>
    </w:lvl>
    <w:lvl w:ilvl="2">
      <w:start w:val="1"/>
      <w:numFmt w:val="bullet"/>
      <w:pStyle w:val="ListNumber2Level3"/>
      <w:lvlText w:val="–"/>
      <w:lvlJc w:val="left"/>
      <w:pPr>
        <w:tabs>
          <w:tab w:val="num" w:pos="2977"/>
        </w:tabs>
        <w:ind w:left="2977" w:hanging="709"/>
      </w:pPr>
      <w:rPr>
        <w:rFonts w:ascii="Times New Roman" w:hAnsi="Times New Roman"/>
      </w:rPr>
    </w:lvl>
    <w:lvl w:ilvl="3">
      <w:start w:val="1"/>
      <w:numFmt w:val="bullet"/>
      <w:pStyle w:val="ListNumber2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5"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6" w15:restartNumberingAfterBreak="0">
    <w:nsid w:val="489D74ED"/>
    <w:multiLevelType w:val="singleLevel"/>
    <w:tmpl w:val="C2E2F936"/>
    <w:name w:val="List Dash 2"/>
    <w:lvl w:ilvl="0">
      <w:start w:val="1"/>
      <w:numFmt w:val="bullet"/>
      <w:lvlRestart w:val="0"/>
      <w:pStyle w:val="ListDash2"/>
      <w:lvlText w:val="–"/>
      <w:lvlJc w:val="left"/>
      <w:pPr>
        <w:tabs>
          <w:tab w:val="num" w:pos="1134"/>
        </w:tabs>
        <w:ind w:left="1134" w:hanging="283"/>
      </w:pPr>
      <w:rPr>
        <w:rFonts w:ascii="Times New Roman" w:hAnsi="Times New Roman" w:cs="Times New Roman"/>
      </w:rPr>
    </w:lvl>
  </w:abstractNum>
  <w:abstractNum w:abstractNumId="17" w15:restartNumberingAfterBreak="0">
    <w:nsid w:val="4D0C058A"/>
    <w:multiLevelType w:val="singleLevel"/>
    <w:tmpl w:val="BAE8D90E"/>
    <w:name w:val="List Dash 1"/>
    <w:lvl w:ilvl="0">
      <w:start w:val="1"/>
      <w:numFmt w:val="bullet"/>
      <w:lvlRestart w:val="0"/>
      <w:pStyle w:val="ListDash1"/>
      <w:lvlText w:val="–"/>
      <w:lvlJc w:val="left"/>
      <w:pPr>
        <w:tabs>
          <w:tab w:val="num" w:pos="1134"/>
        </w:tabs>
        <w:ind w:left="1134" w:hanging="283"/>
      </w:pPr>
      <w:rPr>
        <w:rFonts w:ascii="Times New Roman" w:hAnsi="Times New Roman" w:cs="Times New Roman"/>
      </w:rPr>
    </w:lvl>
  </w:abstractNum>
  <w:abstractNum w:abstractNumId="18" w15:restartNumberingAfterBreak="0">
    <w:nsid w:val="542A1204"/>
    <w:multiLevelType w:val="multilevel"/>
    <w:tmpl w:val="BC1E8404"/>
    <w:lvl w:ilvl="0">
      <w:start w:val="1"/>
      <w:numFmt w:val="decimal"/>
      <w:pStyle w:val="ListNumber4"/>
      <w:lvlText w:val="(%1)"/>
      <w:lvlJc w:val="left"/>
      <w:pPr>
        <w:tabs>
          <w:tab w:val="num" w:pos="1560"/>
        </w:tabs>
        <w:ind w:left="1560" w:hanging="709"/>
      </w:pPr>
      <w:rPr>
        <w:rFonts w:cs="Times New Roman"/>
      </w:rPr>
    </w:lvl>
    <w:lvl w:ilvl="1">
      <w:start w:val="1"/>
      <w:numFmt w:val="lowerLetter"/>
      <w:pStyle w:val="ListNumber4Level2"/>
      <w:lvlText w:val="(%2)"/>
      <w:lvlJc w:val="left"/>
      <w:pPr>
        <w:tabs>
          <w:tab w:val="num" w:pos="2268"/>
        </w:tabs>
        <w:ind w:left="2268" w:hanging="708"/>
      </w:pPr>
      <w:rPr>
        <w:rFonts w:cs="Times New Roman"/>
      </w:rPr>
    </w:lvl>
    <w:lvl w:ilvl="2">
      <w:start w:val="1"/>
      <w:numFmt w:val="bullet"/>
      <w:pStyle w:val="ListNumber4Level3"/>
      <w:lvlText w:val="–"/>
      <w:lvlJc w:val="left"/>
      <w:pPr>
        <w:tabs>
          <w:tab w:val="num" w:pos="2977"/>
        </w:tabs>
        <w:ind w:left="2977" w:hanging="709"/>
      </w:pPr>
      <w:rPr>
        <w:rFonts w:ascii="Times New Roman" w:hAnsi="Times New Roman"/>
      </w:rPr>
    </w:lvl>
    <w:lvl w:ilvl="3">
      <w:start w:val="1"/>
      <w:numFmt w:val="bullet"/>
      <w:pStyle w:val="ListNumber4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9"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0" w15:restartNumberingAfterBreak="0">
    <w:nsid w:val="5B0B0635"/>
    <w:multiLevelType w:val="singleLevel"/>
    <w:tmpl w:val="017E7CEE"/>
    <w:lvl w:ilvl="0">
      <w:start w:val="1"/>
      <w:numFmt w:val="bullet"/>
      <w:lvlRestart w:val="0"/>
      <w:pStyle w:val="ListBullet4"/>
      <w:lvlText w:val=""/>
      <w:lvlJc w:val="left"/>
      <w:pPr>
        <w:tabs>
          <w:tab w:val="num" w:pos="1134"/>
        </w:tabs>
        <w:ind w:left="1134" w:hanging="283"/>
      </w:pPr>
      <w:rPr>
        <w:rFonts w:ascii="Symbol" w:hAnsi="Symbol" w:hint="default"/>
      </w:rPr>
    </w:lvl>
  </w:abstractNum>
  <w:abstractNum w:abstractNumId="21"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2"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3"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4" w15:restartNumberingAfterBreak="0">
    <w:nsid w:val="5DF84969"/>
    <w:multiLevelType w:val="singleLevel"/>
    <w:tmpl w:val="1E12021A"/>
    <w:lvl w:ilvl="0">
      <w:start w:val="1"/>
      <w:numFmt w:val="bullet"/>
      <w:pStyle w:val="ListBullet"/>
      <w:lvlText w:val=""/>
      <w:lvlJc w:val="left"/>
      <w:pPr>
        <w:tabs>
          <w:tab w:val="num" w:pos="283"/>
        </w:tabs>
        <w:ind w:left="283" w:hanging="283"/>
      </w:pPr>
      <w:rPr>
        <w:rFonts w:ascii="Symbol" w:hAnsi="Symbol" w:hint="default"/>
      </w:rPr>
    </w:lvl>
  </w:abstractNum>
  <w:abstractNum w:abstractNumId="25"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7" w15:restartNumberingAfterBreak="0">
    <w:nsid w:val="70471783"/>
    <w:multiLevelType w:val="hybridMultilevel"/>
    <w:tmpl w:val="9A0C2A6C"/>
    <w:lvl w:ilvl="0" w:tplc="CA2EBD88">
      <w:start w:val="4"/>
      <w:numFmt w:val="bullet"/>
      <w:lvlText w:val="-"/>
      <w:lvlJc w:val="left"/>
      <w:pPr>
        <w:ind w:left="360" w:hanging="360"/>
      </w:pPr>
      <w:rPr>
        <w:rFonts w:ascii="Calibri" w:eastAsiaTheme="minorHAnsi" w:hAnsi="Calibri" w:cs="Calibri"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8" w15:restartNumberingAfterBreak="0">
    <w:nsid w:val="71F06166"/>
    <w:multiLevelType w:val="multilevel"/>
    <w:tmpl w:val="C08066D2"/>
    <w:name w:val="0.6719891"/>
    <w:lvl w:ilvl="0">
      <w:start w:val="1"/>
      <w:numFmt w:val="decimal"/>
      <w:lvlRestart w:val="0"/>
      <w:pStyle w:val="ListNumber"/>
      <w:lvlText w:val="(%1)"/>
      <w:lvlJc w:val="left"/>
      <w:pPr>
        <w:tabs>
          <w:tab w:val="num" w:pos="709"/>
        </w:tabs>
        <w:ind w:left="709" w:hanging="709"/>
      </w:pPr>
    </w:lvl>
    <w:lvl w:ilvl="1">
      <w:start w:val="1"/>
      <w:numFmt w:val="lowerLetter"/>
      <w:pStyle w:val="ListNumberLevel4"/>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73D73F7A"/>
    <w:multiLevelType w:val="singleLevel"/>
    <w:tmpl w:val="26365734"/>
    <w:lvl w:ilvl="0">
      <w:start w:val="1"/>
      <w:numFmt w:val="bullet"/>
      <w:pStyle w:val="ListBullet2"/>
      <w:lvlText w:val=""/>
      <w:lvlJc w:val="left"/>
      <w:pPr>
        <w:tabs>
          <w:tab w:val="num" w:pos="1134"/>
        </w:tabs>
        <w:ind w:left="1134" w:hanging="283"/>
      </w:pPr>
      <w:rPr>
        <w:rFonts w:ascii="Symbol" w:hAnsi="Symbol" w:hint="default"/>
      </w:rPr>
    </w:lvl>
  </w:abstractNum>
  <w:abstractNum w:abstractNumId="30" w15:restartNumberingAfterBreak="0">
    <w:nsid w:val="76BC5C11"/>
    <w:multiLevelType w:val="singleLevel"/>
    <w:tmpl w:val="E44CE82E"/>
    <w:lvl w:ilvl="0">
      <w:start w:val="1"/>
      <w:numFmt w:val="bullet"/>
      <w:pStyle w:val="ListBullet3"/>
      <w:lvlText w:val=""/>
      <w:lvlJc w:val="left"/>
      <w:pPr>
        <w:tabs>
          <w:tab w:val="num" w:pos="1134"/>
        </w:tabs>
        <w:ind w:left="1134" w:hanging="283"/>
      </w:pPr>
      <w:rPr>
        <w:rFonts w:ascii="Symbol" w:hAnsi="Symbol" w:hint="default"/>
      </w:rPr>
    </w:lvl>
  </w:abstractNum>
  <w:abstractNum w:abstractNumId="31"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0"/>
  </w:num>
  <w:num w:numId="2">
    <w:abstractNumId w:val="20"/>
  </w:num>
  <w:num w:numId="3">
    <w:abstractNumId w:val="8"/>
  </w:num>
  <w:num w:numId="4">
    <w:abstractNumId w:val="17"/>
  </w:num>
  <w:num w:numId="5">
    <w:abstractNumId w:val="16"/>
  </w:num>
  <w:num w:numId="6">
    <w:abstractNumId w:val="28"/>
  </w:num>
  <w:num w:numId="7">
    <w:abstractNumId w:val="24"/>
  </w:num>
  <w:num w:numId="8">
    <w:abstractNumId w:val="29"/>
  </w:num>
  <w:num w:numId="9">
    <w:abstractNumId w:val="30"/>
  </w:num>
  <w:num w:numId="10">
    <w:abstractNumId w:val="2"/>
  </w:num>
  <w:num w:numId="11">
    <w:abstractNumId w:val="10"/>
  </w:num>
  <w:num w:numId="12">
    <w:abstractNumId w:val="3"/>
  </w:num>
  <w:num w:numId="13">
    <w:abstractNumId w:val="11"/>
  </w:num>
  <w:num w:numId="14">
    <w:abstractNumId w:val="9"/>
  </w:num>
  <w:num w:numId="15">
    <w:abstractNumId w:val="18"/>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7"/>
  </w:num>
  <w:num w:numId="18">
    <w:abstractNumId w:val="1"/>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31"/>
    <w:lvlOverride w:ilvl="0">
      <w:startOverride w:val="1"/>
    </w:lvlOverride>
  </w:num>
  <w:num w:numId="10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23"/>
    <w:lvlOverride w:ilvl="0">
      <w:startOverride w:val="1"/>
    </w:lvlOverride>
  </w:num>
  <w:num w:numId="1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abstractNumId w:val="23"/>
  </w:num>
  <w:num w:numId="134">
    <w:abstractNumId w:val="12"/>
  </w:num>
  <w:num w:numId="135">
    <w:abstractNumId w:val="26"/>
  </w:num>
  <w:num w:numId="136">
    <w:abstractNumId w:val="7"/>
  </w:num>
  <w:num w:numId="137">
    <w:abstractNumId w:val="13"/>
  </w:num>
  <w:num w:numId="138">
    <w:abstractNumId w:val="14"/>
  </w:num>
  <w:num w:numId="139">
    <w:abstractNumId w:val="5"/>
  </w:num>
  <w:num w:numId="140">
    <w:abstractNumId w:val="25"/>
  </w:num>
  <w:num w:numId="141">
    <w:abstractNumId w:val="4"/>
  </w:num>
  <w:num w:numId="142">
    <w:abstractNumId w:val="15"/>
  </w:num>
  <w:num w:numId="143">
    <w:abstractNumId w:val="21"/>
  </w:num>
  <w:num w:numId="144">
    <w:abstractNumId w:val="22"/>
  </w:num>
  <w:num w:numId="145">
    <w:abstractNumId w:val="6"/>
  </w:num>
  <w:num w:numId="146">
    <w:abstractNumId w:val="19"/>
  </w:num>
  <w:num w:numId="147">
    <w:abstractNumId w:val="31"/>
  </w:num>
  <w:num w:numId="148">
    <w:abstractNumId w:val="5"/>
  </w:num>
  <w:num w:numId="149">
    <w:abstractNumId w:val="31"/>
  </w:num>
  <w:numIdMacAtCleanup w:val="1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movePersonalInformation/>
  <w:removeDateAndTime/>
  <w:hideSpellingErrors/>
  <w:hideGrammaticalErrors/>
  <w:attachedTemplate r:id="rId1"/>
  <w:revisionView w:markup="0"/>
  <w:defaultTabStop w:val="720"/>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4-03-04 11:50:26"/>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Yellow"/>
    <w:docVar w:name="DQCVersion" w:val="3"/>
    <w:docVar w:name="DQCWithWarnings" w:val="0"/>
    <w:docVar w:name="LW_CORRIGENDUM" w:val="&lt;UNUSED&gt;"/>
    <w:docVar w:name="LW_COVERPAGE_EXISTS" w:val="True"/>
    <w:docVar w:name="LW_COVERPAGE_GUID" w:val="1E026365-D441-4615-8612-C433F73BAF88"/>
    <w:docVar w:name="LW_COVERPAGE_TYPE" w:val="1"/>
    <w:docVar w:name="LW_CROSSREFERENCE" w:val="&lt;UNUSED&gt;"/>
    <w:docVar w:name="LW_DocType" w:val="COM"/>
    <w:docVar w:name="LW_EMISSION" w:val="5.3.2024"/>
    <w:docVar w:name="LW_EMISSION_ISODATE" w:val="2024-03-05"/>
    <w:docVar w:name="LW_EMISSION_LOCATION" w:val="BRX"/>
    <w:docVar w:name="LW_EMISSION_PREFIX" w:val="Brussels, "/>
    <w:docVar w:name="LW_EMISSION_SUFFIX" w:val=" "/>
    <w:docVar w:name="LW_ID_DOCMODEL" w:val="SJ-023"/>
    <w:docVar w:name="LW_ID_DOCSIGNATURE" w:val="SJ-023"/>
    <w:docVar w:name="LW_ID_DOCSTRUCTURE" w:val="COM/PL/ORG"/>
    <w:docVar w:name="LW_ID_DOCTYPE" w:val="SJ-023"/>
    <w:docVar w:name="LW_ID_STATUT" w:val="SJ-023"/>
    <w:docVar w:name="LW_INSERT_EXP.MOTIFS.NEW" w:val="1"/>
    <w:docVar w:name="LW_INTERETEEE.CP" w:val="(Text with EEA relevance)"/>
    <w:docVar w:name="LW_LANGUE" w:val="EN"/>
    <w:docVar w:name="LW_LEVEL_OF_SENSITIVITY" w:val="Standard treatment"/>
    <w:docVar w:name="LW_NOM.INST" w:val="EUROPEAN COMMISSION"/>
    <w:docVar w:name="LW_NOM.INST_JOINTDOC" w:val="&lt;EMPTY&gt;"/>
    <w:docVar w:name="LW_PART_NBR" w:val="1"/>
    <w:docVar w:name="LW_PART_NBR_TOTAL" w:val="1"/>
    <w:docVar w:name="LW_REF.II.NEW.CP" w:val="COD"/>
    <w:docVar w:name="LW_REF.II.NEW.CP_NUMBER" w:val="0061"/>
    <w:docVar w:name="LW_REF.II.NEW.CP_YEAR" w:val="2024"/>
    <w:docVar w:name="LW_REF.INST.NEW" w:val="COM"/>
    <w:docVar w:name="LW_REF.INST.NEW_ADOPTED" w:val="final"/>
    <w:docVar w:name="LW_REF.INST.NEW_TEXT" w:val="(2024) 150"/>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Proposal for a"/>
    <w:docVar w:name="LW_SUPERTITRE" w:val="&lt;UNUSED&gt;"/>
    <w:docVar w:name="LW_TITRE.OBJ.CP" w:val="establishing the European Defence Industry Programme and a framework of measures to ensure the timely availability and supply of defence products (\u8216?EDIP\u8217?)"/>
    <w:docVar w:name="LW_TYPE.DOC.CP" w:val="REGULATION OF THE EUROPEAN PARLIAMENT AND OF THE COUNCIL"/>
    <w:docVar w:name="LwApiVersions" w:val="LW4CoDe 1.24.5.0; LW 9.0, Build 20240221"/>
  </w:docVars>
  <w:rsids>
    <w:rsidRoot w:val="007C06DB"/>
    <w:rsid w:val="00000DA7"/>
    <w:rsid w:val="00000DDB"/>
    <w:rsid w:val="00001127"/>
    <w:rsid w:val="0000119B"/>
    <w:rsid w:val="00001492"/>
    <w:rsid w:val="00001521"/>
    <w:rsid w:val="0000161C"/>
    <w:rsid w:val="000017C4"/>
    <w:rsid w:val="00001819"/>
    <w:rsid w:val="00002865"/>
    <w:rsid w:val="0000288D"/>
    <w:rsid w:val="00002CFB"/>
    <w:rsid w:val="000030AC"/>
    <w:rsid w:val="00003B98"/>
    <w:rsid w:val="00003DB5"/>
    <w:rsid w:val="00003F02"/>
    <w:rsid w:val="00004257"/>
    <w:rsid w:val="000045D3"/>
    <w:rsid w:val="000048A6"/>
    <w:rsid w:val="00004A42"/>
    <w:rsid w:val="00004CBA"/>
    <w:rsid w:val="00004D68"/>
    <w:rsid w:val="000051CC"/>
    <w:rsid w:val="00005A29"/>
    <w:rsid w:val="00005D61"/>
    <w:rsid w:val="0000633D"/>
    <w:rsid w:val="000066C5"/>
    <w:rsid w:val="00006910"/>
    <w:rsid w:val="00006D57"/>
    <w:rsid w:val="00006F47"/>
    <w:rsid w:val="00010404"/>
    <w:rsid w:val="000109A2"/>
    <w:rsid w:val="00010D45"/>
    <w:rsid w:val="0001128D"/>
    <w:rsid w:val="000121C5"/>
    <w:rsid w:val="000122DA"/>
    <w:rsid w:val="00012BED"/>
    <w:rsid w:val="00012C2D"/>
    <w:rsid w:val="000137C6"/>
    <w:rsid w:val="00013ACD"/>
    <w:rsid w:val="00014382"/>
    <w:rsid w:val="000145EF"/>
    <w:rsid w:val="00014896"/>
    <w:rsid w:val="00015449"/>
    <w:rsid w:val="000155D2"/>
    <w:rsid w:val="00015803"/>
    <w:rsid w:val="0001599C"/>
    <w:rsid w:val="00015E1F"/>
    <w:rsid w:val="00015EBF"/>
    <w:rsid w:val="00016190"/>
    <w:rsid w:val="00016324"/>
    <w:rsid w:val="0001699C"/>
    <w:rsid w:val="00016BAC"/>
    <w:rsid w:val="00016D03"/>
    <w:rsid w:val="00016D4A"/>
    <w:rsid w:val="0001722F"/>
    <w:rsid w:val="00017552"/>
    <w:rsid w:val="00017850"/>
    <w:rsid w:val="00017F2A"/>
    <w:rsid w:val="00020407"/>
    <w:rsid w:val="00020427"/>
    <w:rsid w:val="000208E3"/>
    <w:rsid w:val="00020B3C"/>
    <w:rsid w:val="00020BA4"/>
    <w:rsid w:val="00021052"/>
    <w:rsid w:val="0002123D"/>
    <w:rsid w:val="0002148F"/>
    <w:rsid w:val="00021625"/>
    <w:rsid w:val="000217A0"/>
    <w:rsid w:val="00021CF9"/>
    <w:rsid w:val="00022487"/>
    <w:rsid w:val="000225C6"/>
    <w:rsid w:val="00022C0C"/>
    <w:rsid w:val="00022EB6"/>
    <w:rsid w:val="0002392E"/>
    <w:rsid w:val="00023944"/>
    <w:rsid w:val="00023CA6"/>
    <w:rsid w:val="00023EE6"/>
    <w:rsid w:val="00024217"/>
    <w:rsid w:val="000242A9"/>
    <w:rsid w:val="000243BC"/>
    <w:rsid w:val="000243FB"/>
    <w:rsid w:val="0002442E"/>
    <w:rsid w:val="00024CAE"/>
    <w:rsid w:val="00025097"/>
    <w:rsid w:val="000253A3"/>
    <w:rsid w:val="000254C0"/>
    <w:rsid w:val="000254EC"/>
    <w:rsid w:val="000259AB"/>
    <w:rsid w:val="00025D89"/>
    <w:rsid w:val="00025E49"/>
    <w:rsid w:val="00025F1C"/>
    <w:rsid w:val="00025F45"/>
    <w:rsid w:val="00026007"/>
    <w:rsid w:val="000268B4"/>
    <w:rsid w:val="00026DF1"/>
    <w:rsid w:val="0002707A"/>
    <w:rsid w:val="0002710E"/>
    <w:rsid w:val="00027579"/>
    <w:rsid w:val="0002779E"/>
    <w:rsid w:val="00027D3E"/>
    <w:rsid w:val="0003011F"/>
    <w:rsid w:val="000302DA"/>
    <w:rsid w:val="000304A2"/>
    <w:rsid w:val="000307C9"/>
    <w:rsid w:val="000307EA"/>
    <w:rsid w:val="0003140E"/>
    <w:rsid w:val="0003181F"/>
    <w:rsid w:val="00031EB8"/>
    <w:rsid w:val="00032312"/>
    <w:rsid w:val="000324B3"/>
    <w:rsid w:val="0003250B"/>
    <w:rsid w:val="000325E6"/>
    <w:rsid w:val="000326BF"/>
    <w:rsid w:val="0003270F"/>
    <w:rsid w:val="000327D6"/>
    <w:rsid w:val="000328D1"/>
    <w:rsid w:val="000328F9"/>
    <w:rsid w:val="000329DA"/>
    <w:rsid w:val="00032AB7"/>
    <w:rsid w:val="000330B8"/>
    <w:rsid w:val="00033D42"/>
    <w:rsid w:val="00033DA9"/>
    <w:rsid w:val="0003411D"/>
    <w:rsid w:val="00034469"/>
    <w:rsid w:val="0003470A"/>
    <w:rsid w:val="000349EA"/>
    <w:rsid w:val="00034A9D"/>
    <w:rsid w:val="00034AE0"/>
    <w:rsid w:val="00034C1E"/>
    <w:rsid w:val="00035014"/>
    <w:rsid w:val="0003526B"/>
    <w:rsid w:val="0003540A"/>
    <w:rsid w:val="0003573D"/>
    <w:rsid w:val="0003579F"/>
    <w:rsid w:val="00035B53"/>
    <w:rsid w:val="00035C0D"/>
    <w:rsid w:val="00036D44"/>
    <w:rsid w:val="0003753B"/>
    <w:rsid w:val="00037565"/>
    <w:rsid w:val="000376DE"/>
    <w:rsid w:val="00037835"/>
    <w:rsid w:val="00037839"/>
    <w:rsid w:val="000401C5"/>
    <w:rsid w:val="00040257"/>
    <w:rsid w:val="0004071F"/>
    <w:rsid w:val="00040D7E"/>
    <w:rsid w:val="00040FB5"/>
    <w:rsid w:val="00041076"/>
    <w:rsid w:val="000424FF"/>
    <w:rsid w:val="000426F2"/>
    <w:rsid w:val="00042FD6"/>
    <w:rsid w:val="00043110"/>
    <w:rsid w:val="000431E7"/>
    <w:rsid w:val="00043533"/>
    <w:rsid w:val="00043606"/>
    <w:rsid w:val="00044220"/>
    <w:rsid w:val="000442D5"/>
    <w:rsid w:val="00044994"/>
    <w:rsid w:val="00044C14"/>
    <w:rsid w:val="00044DC1"/>
    <w:rsid w:val="0004511A"/>
    <w:rsid w:val="0004592C"/>
    <w:rsid w:val="00045A93"/>
    <w:rsid w:val="00045C89"/>
    <w:rsid w:val="00045CDA"/>
    <w:rsid w:val="00045E2A"/>
    <w:rsid w:val="00045EC3"/>
    <w:rsid w:val="0004679B"/>
    <w:rsid w:val="00046BD7"/>
    <w:rsid w:val="00046FB8"/>
    <w:rsid w:val="000470F6"/>
    <w:rsid w:val="0004743B"/>
    <w:rsid w:val="000475E1"/>
    <w:rsid w:val="00047793"/>
    <w:rsid w:val="00047B5D"/>
    <w:rsid w:val="00047BF5"/>
    <w:rsid w:val="00050080"/>
    <w:rsid w:val="000500A5"/>
    <w:rsid w:val="000501A4"/>
    <w:rsid w:val="00050292"/>
    <w:rsid w:val="00050538"/>
    <w:rsid w:val="000508DE"/>
    <w:rsid w:val="00050FC8"/>
    <w:rsid w:val="000510B3"/>
    <w:rsid w:val="000512A9"/>
    <w:rsid w:val="00051A5A"/>
    <w:rsid w:val="00051C69"/>
    <w:rsid w:val="00051C99"/>
    <w:rsid w:val="00051ED0"/>
    <w:rsid w:val="0005287F"/>
    <w:rsid w:val="00052B4C"/>
    <w:rsid w:val="00052D49"/>
    <w:rsid w:val="00052F83"/>
    <w:rsid w:val="0005318A"/>
    <w:rsid w:val="000531A7"/>
    <w:rsid w:val="00053A8D"/>
    <w:rsid w:val="00053D70"/>
    <w:rsid w:val="00053F2C"/>
    <w:rsid w:val="00054609"/>
    <w:rsid w:val="000547D9"/>
    <w:rsid w:val="00054965"/>
    <w:rsid w:val="00054992"/>
    <w:rsid w:val="00054A30"/>
    <w:rsid w:val="00054A63"/>
    <w:rsid w:val="00054DDB"/>
    <w:rsid w:val="00054E62"/>
    <w:rsid w:val="00054E76"/>
    <w:rsid w:val="0005513D"/>
    <w:rsid w:val="00055C42"/>
    <w:rsid w:val="00055D10"/>
    <w:rsid w:val="00055E42"/>
    <w:rsid w:val="0005612D"/>
    <w:rsid w:val="000565A1"/>
    <w:rsid w:val="00056CCE"/>
    <w:rsid w:val="00056EB0"/>
    <w:rsid w:val="000577B9"/>
    <w:rsid w:val="000577E4"/>
    <w:rsid w:val="000579B1"/>
    <w:rsid w:val="000600C4"/>
    <w:rsid w:val="000602C2"/>
    <w:rsid w:val="000604C2"/>
    <w:rsid w:val="00061856"/>
    <w:rsid w:val="00061D88"/>
    <w:rsid w:val="00061FC6"/>
    <w:rsid w:val="00062913"/>
    <w:rsid w:val="00062E4C"/>
    <w:rsid w:val="00062FEF"/>
    <w:rsid w:val="00063120"/>
    <w:rsid w:val="000635EC"/>
    <w:rsid w:val="000639CA"/>
    <w:rsid w:val="00063CD6"/>
    <w:rsid w:val="000641AD"/>
    <w:rsid w:val="000642A6"/>
    <w:rsid w:val="00064552"/>
    <w:rsid w:val="00064713"/>
    <w:rsid w:val="00064C0A"/>
    <w:rsid w:val="00064E16"/>
    <w:rsid w:val="0006517B"/>
    <w:rsid w:val="000653D8"/>
    <w:rsid w:val="00065A29"/>
    <w:rsid w:val="00065B5F"/>
    <w:rsid w:val="00065C55"/>
    <w:rsid w:val="00065EDA"/>
    <w:rsid w:val="000666E2"/>
    <w:rsid w:val="000670F1"/>
    <w:rsid w:val="00067558"/>
    <w:rsid w:val="00067584"/>
    <w:rsid w:val="00067E1A"/>
    <w:rsid w:val="00067F3F"/>
    <w:rsid w:val="0007035B"/>
    <w:rsid w:val="00070369"/>
    <w:rsid w:val="0007072F"/>
    <w:rsid w:val="000709AC"/>
    <w:rsid w:val="000709B6"/>
    <w:rsid w:val="00070B76"/>
    <w:rsid w:val="00070D84"/>
    <w:rsid w:val="00071272"/>
    <w:rsid w:val="00071321"/>
    <w:rsid w:val="00071704"/>
    <w:rsid w:val="0007176F"/>
    <w:rsid w:val="00071942"/>
    <w:rsid w:val="00071A96"/>
    <w:rsid w:val="00071DB3"/>
    <w:rsid w:val="00071E69"/>
    <w:rsid w:val="00071E6B"/>
    <w:rsid w:val="00072021"/>
    <w:rsid w:val="00072283"/>
    <w:rsid w:val="00072744"/>
    <w:rsid w:val="00072816"/>
    <w:rsid w:val="00072895"/>
    <w:rsid w:val="00072FC3"/>
    <w:rsid w:val="00072FDA"/>
    <w:rsid w:val="0007341C"/>
    <w:rsid w:val="000736BC"/>
    <w:rsid w:val="000736F5"/>
    <w:rsid w:val="00073754"/>
    <w:rsid w:val="000737E9"/>
    <w:rsid w:val="00073E78"/>
    <w:rsid w:val="0007421E"/>
    <w:rsid w:val="00074807"/>
    <w:rsid w:val="000748BA"/>
    <w:rsid w:val="00074D73"/>
    <w:rsid w:val="00074E18"/>
    <w:rsid w:val="00074FCC"/>
    <w:rsid w:val="000750D2"/>
    <w:rsid w:val="00075572"/>
    <w:rsid w:val="0007626D"/>
    <w:rsid w:val="0007658C"/>
    <w:rsid w:val="000766CC"/>
    <w:rsid w:val="00076704"/>
    <w:rsid w:val="00076F8D"/>
    <w:rsid w:val="00077002"/>
    <w:rsid w:val="000779DB"/>
    <w:rsid w:val="00077EB8"/>
    <w:rsid w:val="00077F6C"/>
    <w:rsid w:val="00080038"/>
    <w:rsid w:val="000805BA"/>
    <w:rsid w:val="000809F1"/>
    <w:rsid w:val="00080DDE"/>
    <w:rsid w:val="00080F62"/>
    <w:rsid w:val="0008103E"/>
    <w:rsid w:val="000813C0"/>
    <w:rsid w:val="00081421"/>
    <w:rsid w:val="000814F5"/>
    <w:rsid w:val="00081557"/>
    <w:rsid w:val="0008160F"/>
    <w:rsid w:val="000823F6"/>
    <w:rsid w:val="0008287B"/>
    <w:rsid w:val="00082C4C"/>
    <w:rsid w:val="00082D2C"/>
    <w:rsid w:val="00082DC2"/>
    <w:rsid w:val="00082FED"/>
    <w:rsid w:val="00083D89"/>
    <w:rsid w:val="00083F1D"/>
    <w:rsid w:val="0008492D"/>
    <w:rsid w:val="00084A64"/>
    <w:rsid w:val="00084B80"/>
    <w:rsid w:val="00084E32"/>
    <w:rsid w:val="00084EE4"/>
    <w:rsid w:val="00085359"/>
    <w:rsid w:val="00085591"/>
    <w:rsid w:val="000857D1"/>
    <w:rsid w:val="00085AFA"/>
    <w:rsid w:val="00085C2D"/>
    <w:rsid w:val="00085D15"/>
    <w:rsid w:val="0008625B"/>
    <w:rsid w:val="00086483"/>
    <w:rsid w:val="000867C9"/>
    <w:rsid w:val="00086986"/>
    <w:rsid w:val="00087291"/>
    <w:rsid w:val="000879E0"/>
    <w:rsid w:val="00087E11"/>
    <w:rsid w:val="00090022"/>
    <w:rsid w:val="000904BD"/>
    <w:rsid w:val="0009058C"/>
    <w:rsid w:val="00090997"/>
    <w:rsid w:val="000910C1"/>
    <w:rsid w:val="00091F48"/>
    <w:rsid w:val="000923B8"/>
    <w:rsid w:val="00092F90"/>
    <w:rsid w:val="000935C3"/>
    <w:rsid w:val="00093723"/>
    <w:rsid w:val="00093B05"/>
    <w:rsid w:val="00093E5A"/>
    <w:rsid w:val="00093F0E"/>
    <w:rsid w:val="00094CB9"/>
    <w:rsid w:val="00094F30"/>
    <w:rsid w:val="00095027"/>
    <w:rsid w:val="0009534D"/>
    <w:rsid w:val="00095401"/>
    <w:rsid w:val="00095A89"/>
    <w:rsid w:val="00095DAD"/>
    <w:rsid w:val="00095F9C"/>
    <w:rsid w:val="00096082"/>
    <w:rsid w:val="00097183"/>
    <w:rsid w:val="00097412"/>
    <w:rsid w:val="0009771A"/>
    <w:rsid w:val="00097A60"/>
    <w:rsid w:val="00097CAE"/>
    <w:rsid w:val="00097CFA"/>
    <w:rsid w:val="00097D9D"/>
    <w:rsid w:val="000A0402"/>
    <w:rsid w:val="000A0882"/>
    <w:rsid w:val="000A0C02"/>
    <w:rsid w:val="000A0DFD"/>
    <w:rsid w:val="000A0E2B"/>
    <w:rsid w:val="000A11CC"/>
    <w:rsid w:val="000A14E2"/>
    <w:rsid w:val="000A178A"/>
    <w:rsid w:val="000A2532"/>
    <w:rsid w:val="000A2B0C"/>
    <w:rsid w:val="000A2D12"/>
    <w:rsid w:val="000A2DA4"/>
    <w:rsid w:val="000A2E76"/>
    <w:rsid w:val="000A3503"/>
    <w:rsid w:val="000A35BA"/>
    <w:rsid w:val="000A3845"/>
    <w:rsid w:val="000A39F9"/>
    <w:rsid w:val="000A4200"/>
    <w:rsid w:val="000A44BA"/>
    <w:rsid w:val="000A4560"/>
    <w:rsid w:val="000A4AD8"/>
    <w:rsid w:val="000A4BA3"/>
    <w:rsid w:val="000A4D85"/>
    <w:rsid w:val="000A4E1A"/>
    <w:rsid w:val="000A533D"/>
    <w:rsid w:val="000A626A"/>
    <w:rsid w:val="000A6278"/>
    <w:rsid w:val="000A6343"/>
    <w:rsid w:val="000A63BE"/>
    <w:rsid w:val="000A66DA"/>
    <w:rsid w:val="000A6874"/>
    <w:rsid w:val="000A6A04"/>
    <w:rsid w:val="000A6C63"/>
    <w:rsid w:val="000A6CC9"/>
    <w:rsid w:val="000A6D44"/>
    <w:rsid w:val="000A703B"/>
    <w:rsid w:val="000A79CC"/>
    <w:rsid w:val="000A7F7E"/>
    <w:rsid w:val="000B01EA"/>
    <w:rsid w:val="000B02D2"/>
    <w:rsid w:val="000B0859"/>
    <w:rsid w:val="000B09E1"/>
    <w:rsid w:val="000B0BA8"/>
    <w:rsid w:val="000B0E76"/>
    <w:rsid w:val="000B15B7"/>
    <w:rsid w:val="000B15F9"/>
    <w:rsid w:val="000B1637"/>
    <w:rsid w:val="000B1825"/>
    <w:rsid w:val="000B19C6"/>
    <w:rsid w:val="000B2483"/>
    <w:rsid w:val="000B25D3"/>
    <w:rsid w:val="000B2A29"/>
    <w:rsid w:val="000B2A8D"/>
    <w:rsid w:val="000B2FEF"/>
    <w:rsid w:val="000B3617"/>
    <w:rsid w:val="000B3866"/>
    <w:rsid w:val="000B3B5D"/>
    <w:rsid w:val="000B3E37"/>
    <w:rsid w:val="000B3E6F"/>
    <w:rsid w:val="000B4024"/>
    <w:rsid w:val="000B42FF"/>
    <w:rsid w:val="000B469C"/>
    <w:rsid w:val="000B4B18"/>
    <w:rsid w:val="000B4B92"/>
    <w:rsid w:val="000B516A"/>
    <w:rsid w:val="000B5179"/>
    <w:rsid w:val="000B59B8"/>
    <w:rsid w:val="000B5BC4"/>
    <w:rsid w:val="000B5CD5"/>
    <w:rsid w:val="000B5CE7"/>
    <w:rsid w:val="000B606E"/>
    <w:rsid w:val="000B63F0"/>
    <w:rsid w:val="000B65CD"/>
    <w:rsid w:val="000B6A13"/>
    <w:rsid w:val="000B6AFD"/>
    <w:rsid w:val="000B6BF1"/>
    <w:rsid w:val="000B6BF6"/>
    <w:rsid w:val="000B6F64"/>
    <w:rsid w:val="000B71EC"/>
    <w:rsid w:val="000B744D"/>
    <w:rsid w:val="000B7684"/>
    <w:rsid w:val="000B77CA"/>
    <w:rsid w:val="000B77CC"/>
    <w:rsid w:val="000B781C"/>
    <w:rsid w:val="000B792E"/>
    <w:rsid w:val="000C02A2"/>
    <w:rsid w:val="000C04A0"/>
    <w:rsid w:val="000C078F"/>
    <w:rsid w:val="000C14F3"/>
    <w:rsid w:val="000C16EF"/>
    <w:rsid w:val="000C2165"/>
    <w:rsid w:val="000C2651"/>
    <w:rsid w:val="000C2BB7"/>
    <w:rsid w:val="000C2BCD"/>
    <w:rsid w:val="000C3020"/>
    <w:rsid w:val="000C3609"/>
    <w:rsid w:val="000C37F8"/>
    <w:rsid w:val="000C3D16"/>
    <w:rsid w:val="000C4506"/>
    <w:rsid w:val="000C4B8B"/>
    <w:rsid w:val="000C4E1E"/>
    <w:rsid w:val="000C58C0"/>
    <w:rsid w:val="000C5D07"/>
    <w:rsid w:val="000C5EDB"/>
    <w:rsid w:val="000C64BB"/>
    <w:rsid w:val="000C65AB"/>
    <w:rsid w:val="000C6836"/>
    <w:rsid w:val="000C6912"/>
    <w:rsid w:val="000C6933"/>
    <w:rsid w:val="000C6B82"/>
    <w:rsid w:val="000C6BA7"/>
    <w:rsid w:val="000C6C33"/>
    <w:rsid w:val="000C7193"/>
    <w:rsid w:val="000C723D"/>
    <w:rsid w:val="000C7974"/>
    <w:rsid w:val="000C7B99"/>
    <w:rsid w:val="000D1946"/>
    <w:rsid w:val="000D1AB1"/>
    <w:rsid w:val="000D1B35"/>
    <w:rsid w:val="000D226D"/>
    <w:rsid w:val="000D2E01"/>
    <w:rsid w:val="000D35F0"/>
    <w:rsid w:val="000D3899"/>
    <w:rsid w:val="000D43A0"/>
    <w:rsid w:val="000D49B8"/>
    <w:rsid w:val="000D4D33"/>
    <w:rsid w:val="000D58C9"/>
    <w:rsid w:val="000D5B79"/>
    <w:rsid w:val="000D5EC9"/>
    <w:rsid w:val="000D5ED4"/>
    <w:rsid w:val="000D60A4"/>
    <w:rsid w:val="000D6181"/>
    <w:rsid w:val="000D6305"/>
    <w:rsid w:val="000D6374"/>
    <w:rsid w:val="000D6426"/>
    <w:rsid w:val="000D6595"/>
    <w:rsid w:val="000D6C4D"/>
    <w:rsid w:val="000D7F6C"/>
    <w:rsid w:val="000E003E"/>
    <w:rsid w:val="000E028C"/>
    <w:rsid w:val="000E07E1"/>
    <w:rsid w:val="000E0872"/>
    <w:rsid w:val="000E0EE5"/>
    <w:rsid w:val="000E168B"/>
    <w:rsid w:val="000E17F2"/>
    <w:rsid w:val="000E1864"/>
    <w:rsid w:val="000E1A2B"/>
    <w:rsid w:val="000E21A3"/>
    <w:rsid w:val="000E2568"/>
    <w:rsid w:val="000E2729"/>
    <w:rsid w:val="000E3479"/>
    <w:rsid w:val="000E355E"/>
    <w:rsid w:val="000E3679"/>
    <w:rsid w:val="000E367E"/>
    <w:rsid w:val="000E36D0"/>
    <w:rsid w:val="000E39E6"/>
    <w:rsid w:val="000E39F2"/>
    <w:rsid w:val="000E44E8"/>
    <w:rsid w:val="000E4A02"/>
    <w:rsid w:val="000E4D0F"/>
    <w:rsid w:val="000E5819"/>
    <w:rsid w:val="000E606C"/>
    <w:rsid w:val="000E6138"/>
    <w:rsid w:val="000E6656"/>
    <w:rsid w:val="000E6756"/>
    <w:rsid w:val="000E6D84"/>
    <w:rsid w:val="000E713A"/>
    <w:rsid w:val="000E7B22"/>
    <w:rsid w:val="000E7B5A"/>
    <w:rsid w:val="000E7F85"/>
    <w:rsid w:val="000F0542"/>
    <w:rsid w:val="000F0BF1"/>
    <w:rsid w:val="000F11C6"/>
    <w:rsid w:val="000F16D7"/>
    <w:rsid w:val="000F2255"/>
    <w:rsid w:val="000F2277"/>
    <w:rsid w:val="000F25EF"/>
    <w:rsid w:val="000F27C8"/>
    <w:rsid w:val="000F2A6A"/>
    <w:rsid w:val="000F3046"/>
    <w:rsid w:val="000F32B6"/>
    <w:rsid w:val="000F3419"/>
    <w:rsid w:val="000F35E0"/>
    <w:rsid w:val="000F3FC7"/>
    <w:rsid w:val="000F431F"/>
    <w:rsid w:val="000F44D8"/>
    <w:rsid w:val="000F4667"/>
    <w:rsid w:val="000F4ECC"/>
    <w:rsid w:val="000F5A5C"/>
    <w:rsid w:val="000F5DC8"/>
    <w:rsid w:val="000F5F9F"/>
    <w:rsid w:val="000F5FD5"/>
    <w:rsid w:val="000F61B0"/>
    <w:rsid w:val="000F6315"/>
    <w:rsid w:val="000F64BE"/>
    <w:rsid w:val="000F6C4D"/>
    <w:rsid w:val="000F7019"/>
    <w:rsid w:val="000F749E"/>
    <w:rsid w:val="000F74E4"/>
    <w:rsid w:val="000F77DD"/>
    <w:rsid w:val="000F7A29"/>
    <w:rsid w:val="000F7DE8"/>
    <w:rsid w:val="00100058"/>
    <w:rsid w:val="001008FD"/>
    <w:rsid w:val="0010097C"/>
    <w:rsid w:val="0010155F"/>
    <w:rsid w:val="001015BD"/>
    <w:rsid w:val="00101635"/>
    <w:rsid w:val="00101711"/>
    <w:rsid w:val="00101998"/>
    <w:rsid w:val="001019D6"/>
    <w:rsid w:val="00101A58"/>
    <w:rsid w:val="00101BC6"/>
    <w:rsid w:val="001024C2"/>
    <w:rsid w:val="001026D9"/>
    <w:rsid w:val="00102894"/>
    <w:rsid w:val="001029A6"/>
    <w:rsid w:val="00102A6E"/>
    <w:rsid w:val="00102FCE"/>
    <w:rsid w:val="001033B2"/>
    <w:rsid w:val="00103480"/>
    <w:rsid w:val="00103B37"/>
    <w:rsid w:val="00103C7E"/>
    <w:rsid w:val="00104166"/>
    <w:rsid w:val="0010419E"/>
    <w:rsid w:val="00104797"/>
    <w:rsid w:val="00104DB9"/>
    <w:rsid w:val="00104EB2"/>
    <w:rsid w:val="00104FD6"/>
    <w:rsid w:val="0010555E"/>
    <w:rsid w:val="00105854"/>
    <w:rsid w:val="00105BB6"/>
    <w:rsid w:val="00105C00"/>
    <w:rsid w:val="00105D61"/>
    <w:rsid w:val="00105FDD"/>
    <w:rsid w:val="00105FF7"/>
    <w:rsid w:val="001060BB"/>
    <w:rsid w:val="001065C3"/>
    <w:rsid w:val="001065F5"/>
    <w:rsid w:val="001066CB"/>
    <w:rsid w:val="00106DD6"/>
    <w:rsid w:val="00107652"/>
    <w:rsid w:val="00107B43"/>
    <w:rsid w:val="00107C11"/>
    <w:rsid w:val="0011058B"/>
    <w:rsid w:val="00110CA4"/>
    <w:rsid w:val="00110CDD"/>
    <w:rsid w:val="00110D18"/>
    <w:rsid w:val="001117DB"/>
    <w:rsid w:val="00111D34"/>
    <w:rsid w:val="00111FE0"/>
    <w:rsid w:val="00112000"/>
    <w:rsid w:val="00112A10"/>
    <w:rsid w:val="00113301"/>
    <w:rsid w:val="00113BF5"/>
    <w:rsid w:val="00113D25"/>
    <w:rsid w:val="00113F0E"/>
    <w:rsid w:val="00113FED"/>
    <w:rsid w:val="0011405B"/>
    <w:rsid w:val="00114515"/>
    <w:rsid w:val="0011455C"/>
    <w:rsid w:val="00114628"/>
    <w:rsid w:val="00114FB8"/>
    <w:rsid w:val="00115143"/>
    <w:rsid w:val="00115B83"/>
    <w:rsid w:val="00115EBF"/>
    <w:rsid w:val="001161D8"/>
    <w:rsid w:val="00116412"/>
    <w:rsid w:val="00116821"/>
    <w:rsid w:val="00116F22"/>
    <w:rsid w:val="0011732E"/>
    <w:rsid w:val="00117A16"/>
    <w:rsid w:val="00117B9D"/>
    <w:rsid w:val="00120028"/>
    <w:rsid w:val="00120475"/>
    <w:rsid w:val="0012084B"/>
    <w:rsid w:val="001208AD"/>
    <w:rsid w:val="00120DDA"/>
    <w:rsid w:val="0012105A"/>
    <w:rsid w:val="0012106D"/>
    <w:rsid w:val="0012115C"/>
    <w:rsid w:val="00121380"/>
    <w:rsid w:val="001214C3"/>
    <w:rsid w:val="0012189D"/>
    <w:rsid w:val="0012260D"/>
    <w:rsid w:val="001226C3"/>
    <w:rsid w:val="00122ED3"/>
    <w:rsid w:val="00122F92"/>
    <w:rsid w:val="00122F9E"/>
    <w:rsid w:val="00123005"/>
    <w:rsid w:val="00123279"/>
    <w:rsid w:val="0012340B"/>
    <w:rsid w:val="00123433"/>
    <w:rsid w:val="00123474"/>
    <w:rsid w:val="0012379C"/>
    <w:rsid w:val="001238EF"/>
    <w:rsid w:val="00123C29"/>
    <w:rsid w:val="00123D99"/>
    <w:rsid w:val="00123EDC"/>
    <w:rsid w:val="0012404F"/>
    <w:rsid w:val="001242F5"/>
    <w:rsid w:val="00124407"/>
    <w:rsid w:val="00124F3B"/>
    <w:rsid w:val="00125A69"/>
    <w:rsid w:val="00125AD5"/>
    <w:rsid w:val="0012618A"/>
    <w:rsid w:val="001261C3"/>
    <w:rsid w:val="00126483"/>
    <w:rsid w:val="00126BA2"/>
    <w:rsid w:val="00126FB4"/>
    <w:rsid w:val="0012708A"/>
    <w:rsid w:val="00127629"/>
    <w:rsid w:val="00127B99"/>
    <w:rsid w:val="00127EC7"/>
    <w:rsid w:val="001300FE"/>
    <w:rsid w:val="001304BE"/>
    <w:rsid w:val="00130D4C"/>
    <w:rsid w:val="00132BEF"/>
    <w:rsid w:val="00133334"/>
    <w:rsid w:val="00133368"/>
    <w:rsid w:val="00133472"/>
    <w:rsid w:val="0013396F"/>
    <w:rsid w:val="00133987"/>
    <w:rsid w:val="001339D0"/>
    <w:rsid w:val="00133A29"/>
    <w:rsid w:val="001343AE"/>
    <w:rsid w:val="00134B62"/>
    <w:rsid w:val="0013520A"/>
    <w:rsid w:val="00135755"/>
    <w:rsid w:val="00135919"/>
    <w:rsid w:val="00135A24"/>
    <w:rsid w:val="0013643B"/>
    <w:rsid w:val="00136746"/>
    <w:rsid w:val="00136997"/>
    <w:rsid w:val="00136B1C"/>
    <w:rsid w:val="00136E48"/>
    <w:rsid w:val="00137777"/>
    <w:rsid w:val="001402D8"/>
    <w:rsid w:val="00140444"/>
    <w:rsid w:val="00140653"/>
    <w:rsid w:val="00140977"/>
    <w:rsid w:val="00140C9E"/>
    <w:rsid w:val="00140E58"/>
    <w:rsid w:val="00140FC9"/>
    <w:rsid w:val="00141508"/>
    <w:rsid w:val="001415D6"/>
    <w:rsid w:val="0014194C"/>
    <w:rsid w:val="00142170"/>
    <w:rsid w:val="00142249"/>
    <w:rsid w:val="0014244D"/>
    <w:rsid w:val="00142B41"/>
    <w:rsid w:val="00142C60"/>
    <w:rsid w:val="00142F86"/>
    <w:rsid w:val="001431F6"/>
    <w:rsid w:val="001433C8"/>
    <w:rsid w:val="00143B0F"/>
    <w:rsid w:val="00143C5F"/>
    <w:rsid w:val="00143F5A"/>
    <w:rsid w:val="00144924"/>
    <w:rsid w:val="00144B56"/>
    <w:rsid w:val="0014500F"/>
    <w:rsid w:val="00145895"/>
    <w:rsid w:val="00145E11"/>
    <w:rsid w:val="00145F99"/>
    <w:rsid w:val="001461F5"/>
    <w:rsid w:val="001463B0"/>
    <w:rsid w:val="00146807"/>
    <w:rsid w:val="0014703B"/>
    <w:rsid w:val="0014730D"/>
    <w:rsid w:val="00147366"/>
    <w:rsid w:val="001476A6"/>
    <w:rsid w:val="001477F2"/>
    <w:rsid w:val="00147AA3"/>
    <w:rsid w:val="00147B25"/>
    <w:rsid w:val="00147EDD"/>
    <w:rsid w:val="00150594"/>
    <w:rsid w:val="00150823"/>
    <w:rsid w:val="00150849"/>
    <w:rsid w:val="00150876"/>
    <w:rsid w:val="00150BB9"/>
    <w:rsid w:val="0015130F"/>
    <w:rsid w:val="00151776"/>
    <w:rsid w:val="001526B4"/>
    <w:rsid w:val="00152CE5"/>
    <w:rsid w:val="00153363"/>
    <w:rsid w:val="0015355C"/>
    <w:rsid w:val="00153C96"/>
    <w:rsid w:val="00153DDD"/>
    <w:rsid w:val="001544EF"/>
    <w:rsid w:val="00154AED"/>
    <w:rsid w:val="00154BAF"/>
    <w:rsid w:val="00154DBD"/>
    <w:rsid w:val="00154F98"/>
    <w:rsid w:val="001550D8"/>
    <w:rsid w:val="001558C5"/>
    <w:rsid w:val="00155AF3"/>
    <w:rsid w:val="00155B1C"/>
    <w:rsid w:val="0015619B"/>
    <w:rsid w:val="001561CF"/>
    <w:rsid w:val="0015621E"/>
    <w:rsid w:val="0015676C"/>
    <w:rsid w:val="00156ACA"/>
    <w:rsid w:val="00156C00"/>
    <w:rsid w:val="00157028"/>
    <w:rsid w:val="00157407"/>
    <w:rsid w:val="00157B21"/>
    <w:rsid w:val="00157D1A"/>
    <w:rsid w:val="001603F9"/>
    <w:rsid w:val="00160B96"/>
    <w:rsid w:val="001610A1"/>
    <w:rsid w:val="00161806"/>
    <w:rsid w:val="00161969"/>
    <w:rsid w:val="00161B21"/>
    <w:rsid w:val="00161B6D"/>
    <w:rsid w:val="00161D30"/>
    <w:rsid w:val="00161DE6"/>
    <w:rsid w:val="00161E07"/>
    <w:rsid w:val="0016244F"/>
    <w:rsid w:val="0016307F"/>
    <w:rsid w:val="001640E4"/>
    <w:rsid w:val="00164125"/>
    <w:rsid w:val="0016435C"/>
    <w:rsid w:val="00164579"/>
    <w:rsid w:val="00164DB4"/>
    <w:rsid w:val="001655D8"/>
    <w:rsid w:val="001656A6"/>
    <w:rsid w:val="001658EC"/>
    <w:rsid w:val="0016598F"/>
    <w:rsid w:val="001659A1"/>
    <w:rsid w:val="001661B6"/>
    <w:rsid w:val="0016636C"/>
    <w:rsid w:val="0016654D"/>
    <w:rsid w:val="0016748C"/>
    <w:rsid w:val="0016753D"/>
    <w:rsid w:val="0016785D"/>
    <w:rsid w:val="00167DE9"/>
    <w:rsid w:val="00170447"/>
    <w:rsid w:val="00170AEF"/>
    <w:rsid w:val="00170F1E"/>
    <w:rsid w:val="0017154E"/>
    <w:rsid w:val="001715C4"/>
    <w:rsid w:val="001719C9"/>
    <w:rsid w:val="00171A3A"/>
    <w:rsid w:val="00171C20"/>
    <w:rsid w:val="00171CCB"/>
    <w:rsid w:val="00171E48"/>
    <w:rsid w:val="00172103"/>
    <w:rsid w:val="0017291F"/>
    <w:rsid w:val="00172C18"/>
    <w:rsid w:val="00172E7A"/>
    <w:rsid w:val="001732F5"/>
    <w:rsid w:val="00173840"/>
    <w:rsid w:val="00173924"/>
    <w:rsid w:val="00173ADF"/>
    <w:rsid w:val="001742A4"/>
    <w:rsid w:val="001742B9"/>
    <w:rsid w:val="00174B69"/>
    <w:rsid w:val="00175411"/>
    <w:rsid w:val="00175674"/>
    <w:rsid w:val="001760E5"/>
    <w:rsid w:val="001763F9"/>
    <w:rsid w:val="00176C4B"/>
    <w:rsid w:val="00177906"/>
    <w:rsid w:val="00177CAD"/>
    <w:rsid w:val="0018078D"/>
    <w:rsid w:val="0018088F"/>
    <w:rsid w:val="00180FB4"/>
    <w:rsid w:val="0018113B"/>
    <w:rsid w:val="0018126B"/>
    <w:rsid w:val="001817AD"/>
    <w:rsid w:val="001824E9"/>
    <w:rsid w:val="00182FDA"/>
    <w:rsid w:val="001833C7"/>
    <w:rsid w:val="00183B7F"/>
    <w:rsid w:val="00183BA7"/>
    <w:rsid w:val="00183C21"/>
    <w:rsid w:val="001842A5"/>
    <w:rsid w:val="00185317"/>
    <w:rsid w:val="00185699"/>
    <w:rsid w:val="0018615A"/>
    <w:rsid w:val="001861C7"/>
    <w:rsid w:val="00186222"/>
    <w:rsid w:val="00186BF8"/>
    <w:rsid w:val="00187560"/>
    <w:rsid w:val="001878D2"/>
    <w:rsid w:val="001900C3"/>
    <w:rsid w:val="0019035C"/>
    <w:rsid w:val="0019064C"/>
    <w:rsid w:val="001906DB"/>
    <w:rsid w:val="00190908"/>
    <w:rsid w:val="00190D72"/>
    <w:rsid w:val="001914FE"/>
    <w:rsid w:val="00191571"/>
    <w:rsid w:val="001919D7"/>
    <w:rsid w:val="00191D67"/>
    <w:rsid w:val="001927D5"/>
    <w:rsid w:val="00192A6C"/>
    <w:rsid w:val="00192F78"/>
    <w:rsid w:val="001930A3"/>
    <w:rsid w:val="00193659"/>
    <w:rsid w:val="001937D8"/>
    <w:rsid w:val="00193840"/>
    <w:rsid w:val="00193B11"/>
    <w:rsid w:val="00193B4E"/>
    <w:rsid w:val="00193C52"/>
    <w:rsid w:val="0019446A"/>
    <w:rsid w:val="001944B3"/>
    <w:rsid w:val="00194686"/>
    <w:rsid w:val="001950E7"/>
    <w:rsid w:val="00195230"/>
    <w:rsid w:val="001952B7"/>
    <w:rsid w:val="001958FB"/>
    <w:rsid w:val="0019596D"/>
    <w:rsid w:val="00195DFC"/>
    <w:rsid w:val="00195E4F"/>
    <w:rsid w:val="00195E91"/>
    <w:rsid w:val="0019608C"/>
    <w:rsid w:val="00196651"/>
    <w:rsid w:val="001966B1"/>
    <w:rsid w:val="001968B6"/>
    <w:rsid w:val="00197010"/>
    <w:rsid w:val="001970E2"/>
    <w:rsid w:val="00197613"/>
    <w:rsid w:val="001977A7"/>
    <w:rsid w:val="00197C12"/>
    <w:rsid w:val="00197C74"/>
    <w:rsid w:val="001A014C"/>
    <w:rsid w:val="001A01E9"/>
    <w:rsid w:val="001A05DC"/>
    <w:rsid w:val="001A08B0"/>
    <w:rsid w:val="001A0C04"/>
    <w:rsid w:val="001A0E58"/>
    <w:rsid w:val="001A0F38"/>
    <w:rsid w:val="001A0FFD"/>
    <w:rsid w:val="001A1EC9"/>
    <w:rsid w:val="001A2089"/>
    <w:rsid w:val="001A214D"/>
    <w:rsid w:val="001A26BB"/>
    <w:rsid w:val="001A2F36"/>
    <w:rsid w:val="001A2F52"/>
    <w:rsid w:val="001A2FCF"/>
    <w:rsid w:val="001A31D1"/>
    <w:rsid w:val="001A323B"/>
    <w:rsid w:val="001A3B81"/>
    <w:rsid w:val="001A3EE3"/>
    <w:rsid w:val="001A3FF6"/>
    <w:rsid w:val="001A48C8"/>
    <w:rsid w:val="001A4E61"/>
    <w:rsid w:val="001A5122"/>
    <w:rsid w:val="001A5996"/>
    <w:rsid w:val="001A5E8E"/>
    <w:rsid w:val="001A6886"/>
    <w:rsid w:val="001A700B"/>
    <w:rsid w:val="001A7380"/>
    <w:rsid w:val="001A776D"/>
    <w:rsid w:val="001A7781"/>
    <w:rsid w:val="001A77F7"/>
    <w:rsid w:val="001A7818"/>
    <w:rsid w:val="001A782B"/>
    <w:rsid w:val="001A7948"/>
    <w:rsid w:val="001A799F"/>
    <w:rsid w:val="001A7AC8"/>
    <w:rsid w:val="001A7CEB"/>
    <w:rsid w:val="001A7DBD"/>
    <w:rsid w:val="001A7F15"/>
    <w:rsid w:val="001B0141"/>
    <w:rsid w:val="001B0159"/>
    <w:rsid w:val="001B03F0"/>
    <w:rsid w:val="001B078E"/>
    <w:rsid w:val="001B0C8D"/>
    <w:rsid w:val="001B0E3D"/>
    <w:rsid w:val="001B1113"/>
    <w:rsid w:val="001B1249"/>
    <w:rsid w:val="001B19E1"/>
    <w:rsid w:val="001B1A8E"/>
    <w:rsid w:val="001B1E2E"/>
    <w:rsid w:val="001B22E9"/>
    <w:rsid w:val="001B2354"/>
    <w:rsid w:val="001B276F"/>
    <w:rsid w:val="001B2A61"/>
    <w:rsid w:val="001B3111"/>
    <w:rsid w:val="001B3552"/>
    <w:rsid w:val="001B368C"/>
    <w:rsid w:val="001B3971"/>
    <w:rsid w:val="001B3D9D"/>
    <w:rsid w:val="001B3EEF"/>
    <w:rsid w:val="001B3FF6"/>
    <w:rsid w:val="001B4642"/>
    <w:rsid w:val="001B488B"/>
    <w:rsid w:val="001B4B60"/>
    <w:rsid w:val="001B4D2C"/>
    <w:rsid w:val="001B506B"/>
    <w:rsid w:val="001B60F4"/>
    <w:rsid w:val="001B63E5"/>
    <w:rsid w:val="001B6481"/>
    <w:rsid w:val="001B6968"/>
    <w:rsid w:val="001B6FF0"/>
    <w:rsid w:val="001B70A9"/>
    <w:rsid w:val="001B7151"/>
    <w:rsid w:val="001B7212"/>
    <w:rsid w:val="001B733F"/>
    <w:rsid w:val="001B739E"/>
    <w:rsid w:val="001B79AC"/>
    <w:rsid w:val="001B7C86"/>
    <w:rsid w:val="001B7DFD"/>
    <w:rsid w:val="001C016B"/>
    <w:rsid w:val="001C0AA1"/>
    <w:rsid w:val="001C0CBA"/>
    <w:rsid w:val="001C0DEB"/>
    <w:rsid w:val="001C1755"/>
    <w:rsid w:val="001C18BA"/>
    <w:rsid w:val="001C1AB6"/>
    <w:rsid w:val="001C1B7C"/>
    <w:rsid w:val="001C1DF1"/>
    <w:rsid w:val="001C1E18"/>
    <w:rsid w:val="001C1FCB"/>
    <w:rsid w:val="001C20DD"/>
    <w:rsid w:val="001C2667"/>
    <w:rsid w:val="001C275E"/>
    <w:rsid w:val="001C2C5B"/>
    <w:rsid w:val="001C320F"/>
    <w:rsid w:val="001C3B60"/>
    <w:rsid w:val="001C3B9E"/>
    <w:rsid w:val="001C3F55"/>
    <w:rsid w:val="001C4424"/>
    <w:rsid w:val="001C4805"/>
    <w:rsid w:val="001C483E"/>
    <w:rsid w:val="001C4841"/>
    <w:rsid w:val="001C4E53"/>
    <w:rsid w:val="001C502C"/>
    <w:rsid w:val="001C50B1"/>
    <w:rsid w:val="001C5455"/>
    <w:rsid w:val="001C56B0"/>
    <w:rsid w:val="001C58D6"/>
    <w:rsid w:val="001C5AEB"/>
    <w:rsid w:val="001C5EBD"/>
    <w:rsid w:val="001C5FC1"/>
    <w:rsid w:val="001C65C8"/>
    <w:rsid w:val="001C6883"/>
    <w:rsid w:val="001C693E"/>
    <w:rsid w:val="001C6975"/>
    <w:rsid w:val="001C6CD6"/>
    <w:rsid w:val="001C6DD2"/>
    <w:rsid w:val="001C7487"/>
    <w:rsid w:val="001C749A"/>
    <w:rsid w:val="001C75BE"/>
    <w:rsid w:val="001C75F8"/>
    <w:rsid w:val="001C7D4F"/>
    <w:rsid w:val="001C7E2C"/>
    <w:rsid w:val="001C7E93"/>
    <w:rsid w:val="001D0063"/>
    <w:rsid w:val="001D05C2"/>
    <w:rsid w:val="001D0662"/>
    <w:rsid w:val="001D0A61"/>
    <w:rsid w:val="001D0A62"/>
    <w:rsid w:val="001D0B3E"/>
    <w:rsid w:val="001D0C62"/>
    <w:rsid w:val="001D0C66"/>
    <w:rsid w:val="001D10B3"/>
    <w:rsid w:val="001D11D1"/>
    <w:rsid w:val="001D14B1"/>
    <w:rsid w:val="001D1999"/>
    <w:rsid w:val="001D19C6"/>
    <w:rsid w:val="001D20EF"/>
    <w:rsid w:val="001D21F1"/>
    <w:rsid w:val="001D277A"/>
    <w:rsid w:val="001D3217"/>
    <w:rsid w:val="001D3407"/>
    <w:rsid w:val="001D3427"/>
    <w:rsid w:val="001D37D8"/>
    <w:rsid w:val="001D3F4C"/>
    <w:rsid w:val="001D3F6F"/>
    <w:rsid w:val="001D3FAE"/>
    <w:rsid w:val="001D4396"/>
    <w:rsid w:val="001D44AA"/>
    <w:rsid w:val="001D49D1"/>
    <w:rsid w:val="001D4A54"/>
    <w:rsid w:val="001D4EDF"/>
    <w:rsid w:val="001D5D18"/>
    <w:rsid w:val="001D6219"/>
    <w:rsid w:val="001D6456"/>
    <w:rsid w:val="001D736A"/>
    <w:rsid w:val="001D76C3"/>
    <w:rsid w:val="001E004E"/>
    <w:rsid w:val="001E03F3"/>
    <w:rsid w:val="001E043E"/>
    <w:rsid w:val="001E05EA"/>
    <w:rsid w:val="001E0788"/>
    <w:rsid w:val="001E0C38"/>
    <w:rsid w:val="001E0DDF"/>
    <w:rsid w:val="001E1153"/>
    <w:rsid w:val="001E123A"/>
    <w:rsid w:val="001E182B"/>
    <w:rsid w:val="001E1B4C"/>
    <w:rsid w:val="001E2182"/>
    <w:rsid w:val="001E296B"/>
    <w:rsid w:val="001E2A00"/>
    <w:rsid w:val="001E2A57"/>
    <w:rsid w:val="001E2B22"/>
    <w:rsid w:val="001E3854"/>
    <w:rsid w:val="001E41E8"/>
    <w:rsid w:val="001E43C3"/>
    <w:rsid w:val="001E4758"/>
    <w:rsid w:val="001E47FF"/>
    <w:rsid w:val="001E4861"/>
    <w:rsid w:val="001E494B"/>
    <w:rsid w:val="001E4A6E"/>
    <w:rsid w:val="001E4F3C"/>
    <w:rsid w:val="001E56B3"/>
    <w:rsid w:val="001E57D4"/>
    <w:rsid w:val="001E5B35"/>
    <w:rsid w:val="001E5D7A"/>
    <w:rsid w:val="001E5EEC"/>
    <w:rsid w:val="001E6187"/>
    <w:rsid w:val="001E6240"/>
    <w:rsid w:val="001E6281"/>
    <w:rsid w:val="001E6BE3"/>
    <w:rsid w:val="001E6DC2"/>
    <w:rsid w:val="001E725B"/>
    <w:rsid w:val="001E737D"/>
    <w:rsid w:val="001E7F63"/>
    <w:rsid w:val="001F0234"/>
    <w:rsid w:val="001F0301"/>
    <w:rsid w:val="001F037B"/>
    <w:rsid w:val="001F03CE"/>
    <w:rsid w:val="001F0531"/>
    <w:rsid w:val="001F08FA"/>
    <w:rsid w:val="001F0A6B"/>
    <w:rsid w:val="001F1372"/>
    <w:rsid w:val="001F1693"/>
    <w:rsid w:val="001F1BB7"/>
    <w:rsid w:val="001F217A"/>
    <w:rsid w:val="001F2443"/>
    <w:rsid w:val="001F2C92"/>
    <w:rsid w:val="001F2DB1"/>
    <w:rsid w:val="001F3073"/>
    <w:rsid w:val="001F3ABA"/>
    <w:rsid w:val="001F3C28"/>
    <w:rsid w:val="001F40F2"/>
    <w:rsid w:val="001F4107"/>
    <w:rsid w:val="001F420C"/>
    <w:rsid w:val="001F45D0"/>
    <w:rsid w:val="001F4724"/>
    <w:rsid w:val="001F4789"/>
    <w:rsid w:val="001F47F2"/>
    <w:rsid w:val="001F4C97"/>
    <w:rsid w:val="001F4EA8"/>
    <w:rsid w:val="001F51C6"/>
    <w:rsid w:val="001F52AE"/>
    <w:rsid w:val="001F531E"/>
    <w:rsid w:val="001F5472"/>
    <w:rsid w:val="001F5BD3"/>
    <w:rsid w:val="001F5E7D"/>
    <w:rsid w:val="001F5FC3"/>
    <w:rsid w:val="001F6265"/>
    <w:rsid w:val="001F72F1"/>
    <w:rsid w:val="001F7C74"/>
    <w:rsid w:val="001F7CD3"/>
    <w:rsid w:val="001F7E2A"/>
    <w:rsid w:val="001F7E4B"/>
    <w:rsid w:val="0020072E"/>
    <w:rsid w:val="0020082F"/>
    <w:rsid w:val="00201B72"/>
    <w:rsid w:val="00201BCF"/>
    <w:rsid w:val="00202575"/>
    <w:rsid w:val="002025A1"/>
    <w:rsid w:val="00202802"/>
    <w:rsid w:val="00202875"/>
    <w:rsid w:val="00202A21"/>
    <w:rsid w:val="00202A25"/>
    <w:rsid w:val="00202CF3"/>
    <w:rsid w:val="00203159"/>
    <w:rsid w:val="002032E3"/>
    <w:rsid w:val="00203832"/>
    <w:rsid w:val="002038C3"/>
    <w:rsid w:val="00203A74"/>
    <w:rsid w:val="00203CA1"/>
    <w:rsid w:val="00203D87"/>
    <w:rsid w:val="0020401A"/>
    <w:rsid w:val="00204489"/>
    <w:rsid w:val="0020460F"/>
    <w:rsid w:val="002047B9"/>
    <w:rsid w:val="00204869"/>
    <w:rsid w:val="002048A5"/>
    <w:rsid w:val="00205230"/>
    <w:rsid w:val="0020528B"/>
    <w:rsid w:val="0020567A"/>
    <w:rsid w:val="0020584F"/>
    <w:rsid w:val="0020587D"/>
    <w:rsid w:val="00205A32"/>
    <w:rsid w:val="00205C34"/>
    <w:rsid w:val="00205FCC"/>
    <w:rsid w:val="002062DA"/>
    <w:rsid w:val="0020671F"/>
    <w:rsid w:val="00206B34"/>
    <w:rsid w:val="00206D2E"/>
    <w:rsid w:val="002072B8"/>
    <w:rsid w:val="00207535"/>
    <w:rsid w:val="0020785B"/>
    <w:rsid w:val="00207EEA"/>
    <w:rsid w:val="00210021"/>
    <w:rsid w:val="00210178"/>
    <w:rsid w:val="002104DC"/>
    <w:rsid w:val="00210610"/>
    <w:rsid w:val="0021065B"/>
    <w:rsid w:val="00210689"/>
    <w:rsid w:val="00210FCC"/>
    <w:rsid w:val="00211383"/>
    <w:rsid w:val="00211477"/>
    <w:rsid w:val="00211901"/>
    <w:rsid w:val="0021194D"/>
    <w:rsid w:val="002124B7"/>
    <w:rsid w:val="00212AE7"/>
    <w:rsid w:val="00212EB7"/>
    <w:rsid w:val="002131DA"/>
    <w:rsid w:val="00213246"/>
    <w:rsid w:val="0021346D"/>
    <w:rsid w:val="00213C2C"/>
    <w:rsid w:val="00213EA5"/>
    <w:rsid w:val="00213F29"/>
    <w:rsid w:val="0021483E"/>
    <w:rsid w:val="00214A48"/>
    <w:rsid w:val="00214C4D"/>
    <w:rsid w:val="002152D2"/>
    <w:rsid w:val="00215368"/>
    <w:rsid w:val="002153F7"/>
    <w:rsid w:val="00215BD0"/>
    <w:rsid w:val="00215E68"/>
    <w:rsid w:val="00215FFA"/>
    <w:rsid w:val="00216306"/>
    <w:rsid w:val="0021671C"/>
    <w:rsid w:val="002167B4"/>
    <w:rsid w:val="00216D27"/>
    <w:rsid w:val="00216DDF"/>
    <w:rsid w:val="00217102"/>
    <w:rsid w:val="00217341"/>
    <w:rsid w:val="00217343"/>
    <w:rsid w:val="00217409"/>
    <w:rsid w:val="002203FE"/>
    <w:rsid w:val="00220B01"/>
    <w:rsid w:val="00220DF6"/>
    <w:rsid w:val="00220FD9"/>
    <w:rsid w:val="00221272"/>
    <w:rsid w:val="00221AE5"/>
    <w:rsid w:val="00222235"/>
    <w:rsid w:val="002223D2"/>
    <w:rsid w:val="00222BA8"/>
    <w:rsid w:val="00222CF3"/>
    <w:rsid w:val="002235FF"/>
    <w:rsid w:val="00223615"/>
    <w:rsid w:val="002236F0"/>
    <w:rsid w:val="002238EB"/>
    <w:rsid w:val="00223CD5"/>
    <w:rsid w:val="00223CF5"/>
    <w:rsid w:val="00223E3E"/>
    <w:rsid w:val="00223E45"/>
    <w:rsid w:val="002241E6"/>
    <w:rsid w:val="002242D9"/>
    <w:rsid w:val="00224454"/>
    <w:rsid w:val="002247A8"/>
    <w:rsid w:val="002248DA"/>
    <w:rsid w:val="00224CD2"/>
    <w:rsid w:val="00224D97"/>
    <w:rsid w:val="00225242"/>
    <w:rsid w:val="00225AEB"/>
    <w:rsid w:val="0022640E"/>
    <w:rsid w:val="00226616"/>
    <w:rsid w:val="002266A4"/>
    <w:rsid w:val="0022676D"/>
    <w:rsid w:val="00226A4C"/>
    <w:rsid w:val="00226A92"/>
    <w:rsid w:val="00226BB9"/>
    <w:rsid w:val="00226DFB"/>
    <w:rsid w:val="002270B9"/>
    <w:rsid w:val="002270F5"/>
    <w:rsid w:val="002272F3"/>
    <w:rsid w:val="002273F6"/>
    <w:rsid w:val="002276B8"/>
    <w:rsid w:val="00227800"/>
    <w:rsid w:val="002279D7"/>
    <w:rsid w:val="00227D19"/>
    <w:rsid w:val="00227E8C"/>
    <w:rsid w:val="00230270"/>
    <w:rsid w:val="0023084C"/>
    <w:rsid w:val="00230900"/>
    <w:rsid w:val="0023103A"/>
    <w:rsid w:val="00231450"/>
    <w:rsid w:val="002315DC"/>
    <w:rsid w:val="00231700"/>
    <w:rsid w:val="0023192B"/>
    <w:rsid w:val="0023276C"/>
    <w:rsid w:val="002327C4"/>
    <w:rsid w:val="00232BC5"/>
    <w:rsid w:val="00232C6F"/>
    <w:rsid w:val="00232E79"/>
    <w:rsid w:val="00233233"/>
    <w:rsid w:val="00233314"/>
    <w:rsid w:val="0023349F"/>
    <w:rsid w:val="002334C3"/>
    <w:rsid w:val="00233915"/>
    <w:rsid w:val="00233A39"/>
    <w:rsid w:val="00233BA0"/>
    <w:rsid w:val="00233DC7"/>
    <w:rsid w:val="00233FB8"/>
    <w:rsid w:val="00234448"/>
    <w:rsid w:val="00234748"/>
    <w:rsid w:val="00234B3D"/>
    <w:rsid w:val="00234C66"/>
    <w:rsid w:val="00234E34"/>
    <w:rsid w:val="0023570F"/>
    <w:rsid w:val="002359CC"/>
    <w:rsid w:val="00235C73"/>
    <w:rsid w:val="002361F8"/>
    <w:rsid w:val="00236616"/>
    <w:rsid w:val="00236A55"/>
    <w:rsid w:val="00236B05"/>
    <w:rsid w:val="00237224"/>
    <w:rsid w:val="002379FD"/>
    <w:rsid w:val="00237CC8"/>
    <w:rsid w:val="00237E06"/>
    <w:rsid w:val="00240042"/>
    <w:rsid w:val="00240848"/>
    <w:rsid w:val="002408D3"/>
    <w:rsid w:val="002408E9"/>
    <w:rsid w:val="00240AF0"/>
    <w:rsid w:val="00240CAC"/>
    <w:rsid w:val="00240EB4"/>
    <w:rsid w:val="00241222"/>
    <w:rsid w:val="002412CE"/>
    <w:rsid w:val="002413AD"/>
    <w:rsid w:val="0024152A"/>
    <w:rsid w:val="002417CE"/>
    <w:rsid w:val="00241B10"/>
    <w:rsid w:val="00241B78"/>
    <w:rsid w:val="00241C46"/>
    <w:rsid w:val="00241E63"/>
    <w:rsid w:val="00242025"/>
    <w:rsid w:val="002430FC"/>
    <w:rsid w:val="002432A6"/>
    <w:rsid w:val="002437AB"/>
    <w:rsid w:val="002443F3"/>
    <w:rsid w:val="00244E6B"/>
    <w:rsid w:val="00244F52"/>
    <w:rsid w:val="00244F67"/>
    <w:rsid w:val="00245250"/>
    <w:rsid w:val="00245537"/>
    <w:rsid w:val="002456CB"/>
    <w:rsid w:val="002457FB"/>
    <w:rsid w:val="00245A9B"/>
    <w:rsid w:val="00245EB0"/>
    <w:rsid w:val="00246124"/>
    <w:rsid w:val="002465C8"/>
    <w:rsid w:val="002467E1"/>
    <w:rsid w:val="00246A56"/>
    <w:rsid w:val="002476D1"/>
    <w:rsid w:val="00247779"/>
    <w:rsid w:val="00247DE5"/>
    <w:rsid w:val="002504DF"/>
    <w:rsid w:val="00250803"/>
    <w:rsid w:val="002514C8"/>
    <w:rsid w:val="00251747"/>
    <w:rsid w:val="00251912"/>
    <w:rsid w:val="00252093"/>
    <w:rsid w:val="00252190"/>
    <w:rsid w:val="002527D3"/>
    <w:rsid w:val="00252A40"/>
    <w:rsid w:val="00252FA9"/>
    <w:rsid w:val="0025380F"/>
    <w:rsid w:val="00253C46"/>
    <w:rsid w:val="002541F5"/>
    <w:rsid w:val="002542AC"/>
    <w:rsid w:val="00254342"/>
    <w:rsid w:val="00254602"/>
    <w:rsid w:val="00254737"/>
    <w:rsid w:val="00254830"/>
    <w:rsid w:val="00254B9A"/>
    <w:rsid w:val="00254BA4"/>
    <w:rsid w:val="00254BFF"/>
    <w:rsid w:val="00254C41"/>
    <w:rsid w:val="00255B51"/>
    <w:rsid w:val="002562BB"/>
    <w:rsid w:val="00256471"/>
    <w:rsid w:val="00256A22"/>
    <w:rsid w:val="00256C24"/>
    <w:rsid w:val="00256F5B"/>
    <w:rsid w:val="00257579"/>
    <w:rsid w:val="00257595"/>
    <w:rsid w:val="002577CB"/>
    <w:rsid w:val="002578DA"/>
    <w:rsid w:val="00257F4B"/>
    <w:rsid w:val="002605D5"/>
    <w:rsid w:val="0026195A"/>
    <w:rsid w:val="00261B40"/>
    <w:rsid w:val="00262013"/>
    <w:rsid w:val="00262150"/>
    <w:rsid w:val="00262238"/>
    <w:rsid w:val="002622A9"/>
    <w:rsid w:val="00262457"/>
    <w:rsid w:val="002624F8"/>
    <w:rsid w:val="002627F3"/>
    <w:rsid w:val="00262D81"/>
    <w:rsid w:val="00263940"/>
    <w:rsid w:val="0026394D"/>
    <w:rsid w:val="00263A71"/>
    <w:rsid w:val="00263A89"/>
    <w:rsid w:val="00263AE2"/>
    <w:rsid w:val="002642BA"/>
    <w:rsid w:val="00264694"/>
    <w:rsid w:val="002649CA"/>
    <w:rsid w:val="00264A18"/>
    <w:rsid w:val="00264E6D"/>
    <w:rsid w:val="002650AF"/>
    <w:rsid w:val="00265254"/>
    <w:rsid w:val="002655CB"/>
    <w:rsid w:val="002655D0"/>
    <w:rsid w:val="00265A71"/>
    <w:rsid w:val="00265CC4"/>
    <w:rsid w:val="00266120"/>
    <w:rsid w:val="002661A9"/>
    <w:rsid w:val="00267192"/>
    <w:rsid w:val="002676B1"/>
    <w:rsid w:val="00267B35"/>
    <w:rsid w:val="00267D52"/>
    <w:rsid w:val="00267DB0"/>
    <w:rsid w:val="00267E32"/>
    <w:rsid w:val="00270194"/>
    <w:rsid w:val="00270A8C"/>
    <w:rsid w:val="00270F8F"/>
    <w:rsid w:val="002712DB"/>
    <w:rsid w:val="00271801"/>
    <w:rsid w:val="002718D7"/>
    <w:rsid w:val="002719AA"/>
    <w:rsid w:val="00272DD3"/>
    <w:rsid w:val="0027337D"/>
    <w:rsid w:val="00273652"/>
    <w:rsid w:val="002738D5"/>
    <w:rsid w:val="002739C5"/>
    <w:rsid w:val="002739E1"/>
    <w:rsid w:val="0027429E"/>
    <w:rsid w:val="002742D1"/>
    <w:rsid w:val="00274427"/>
    <w:rsid w:val="0027455C"/>
    <w:rsid w:val="00274707"/>
    <w:rsid w:val="00274C54"/>
    <w:rsid w:val="00274E18"/>
    <w:rsid w:val="002754D0"/>
    <w:rsid w:val="00275591"/>
    <w:rsid w:val="00275698"/>
    <w:rsid w:val="00275713"/>
    <w:rsid w:val="00276005"/>
    <w:rsid w:val="002761B1"/>
    <w:rsid w:val="00276907"/>
    <w:rsid w:val="00277300"/>
    <w:rsid w:val="002773CC"/>
    <w:rsid w:val="00277434"/>
    <w:rsid w:val="002775B9"/>
    <w:rsid w:val="00277D1B"/>
    <w:rsid w:val="00277F66"/>
    <w:rsid w:val="0028065B"/>
    <w:rsid w:val="00280A51"/>
    <w:rsid w:val="00280BBB"/>
    <w:rsid w:val="00280E1B"/>
    <w:rsid w:val="00280FD1"/>
    <w:rsid w:val="00281034"/>
    <w:rsid w:val="00281106"/>
    <w:rsid w:val="00281805"/>
    <w:rsid w:val="002829E7"/>
    <w:rsid w:val="00282D82"/>
    <w:rsid w:val="002833BB"/>
    <w:rsid w:val="00283624"/>
    <w:rsid w:val="00283C97"/>
    <w:rsid w:val="00284057"/>
    <w:rsid w:val="002844B2"/>
    <w:rsid w:val="002846FD"/>
    <w:rsid w:val="00284B67"/>
    <w:rsid w:val="00284E7C"/>
    <w:rsid w:val="0028500E"/>
    <w:rsid w:val="00285022"/>
    <w:rsid w:val="002850B3"/>
    <w:rsid w:val="00285138"/>
    <w:rsid w:val="002854A8"/>
    <w:rsid w:val="0028588E"/>
    <w:rsid w:val="00285924"/>
    <w:rsid w:val="00285A02"/>
    <w:rsid w:val="00285BEE"/>
    <w:rsid w:val="00285DDD"/>
    <w:rsid w:val="002861CD"/>
    <w:rsid w:val="0028678B"/>
    <w:rsid w:val="002867A5"/>
    <w:rsid w:val="00286A13"/>
    <w:rsid w:val="00286DE0"/>
    <w:rsid w:val="00286E40"/>
    <w:rsid w:val="00286F8C"/>
    <w:rsid w:val="0028703E"/>
    <w:rsid w:val="00287287"/>
    <w:rsid w:val="00290526"/>
    <w:rsid w:val="00290564"/>
    <w:rsid w:val="002912E7"/>
    <w:rsid w:val="0029171C"/>
    <w:rsid w:val="00291ACB"/>
    <w:rsid w:val="0029211D"/>
    <w:rsid w:val="0029293D"/>
    <w:rsid w:val="002929B1"/>
    <w:rsid w:val="00292C9C"/>
    <w:rsid w:val="00292DEC"/>
    <w:rsid w:val="0029336E"/>
    <w:rsid w:val="00293AA2"/>
    <w:rsid w:val="00293D25"/>
    <w:rsid w:val="00294048"/>
    <w:rsid w:val="0029410D"/>
    <w:rsid w:val="00294166"/>
    <w:rsid w:val="00294553"/>
    <w:rsid w:val="002945BB"/>
    <w:rsid w:val="0029485F"/>
    <w:rsid w:val="002948F8"/>
    <w:rsid w:val="00294E49"/>
    <w:rsid w:val="0029533F"/>
    <w:rsid w:val="002956D0"/>
    <w:rsid w:val="00295A7B"/>
    <w:rsid w:val="00295C02"/>
    <w:rsid w:val="00295DDE"/>
    <w:rsid w:val="002966BA"/>
    <w:rsid w:val="0029699C"/>
    <w:rsid w:val="00296ABC"/>
    <w:rsid w:val="00296B4C"/>
    <w:rsid w:val="00296CCE"/>
    <w:rsid w:val="00296D38"/>
    <w:rsid w:val="00296DC1"/>
    <w:rsid w:val="00296E27"/>
    <w:rsid w:val="00297458"/>
    <w:rsid w:val="00297956"/>
    <w:rsid w:val="00297B0A"/>
    <w:rsid w:val="00297FEC"/>
    <w:rsid w:val="002A015F"/>
    <w:rsid w:val="002A07E5"/>
    <w:rsid w:val="002A0D78"/>
    <w:rsid w:val="002A0DE3"/>
    <w:rsid w:val="002A0E56"/>
    <w:rsid w:val="002A0EB6"/>
    <w:rsid w:val="002A0F67"/>
    <w:rsid w:val="002A1580"/>
    <w:rsid w:val="002A1ED5"/>
    <w:rsid w:val="002A1F0A"/>
    <w:rsid w:val="002A2312"/>
    <w:rsid w:val="002A23BE"/>
    <w:rsid w:val="002A2445"/>
    <w:rsid w:val="002A286E"/>
    <w:rsid w:val="002A28D7"/>
    <w:rsid w:val="002A2C5E"/>
    <w:rsid w:val="002A3092"/>
    <w:rsid w:val="002A3765"/>
    <w:rsid w:val="002A384B"/>
    <w:rsid w:val="002A3980"/>
    <w:rsid w:val="002A3A68"/>
    <w:rsid w:val="002A3DA0"/>
    <w:rsid w:val="002A4153"/>
    <w:rsid w:val="002A41DE"/>
    <w:rsid w:val="002A4B7E"/>
    <w:rsid w:val="002A4C29"/>
    <w:rsid w:val="002A4ECB"/>
    <w:rsid w:val="002A5208"/>
    <w:rsid w:val="002A52CF"/>
    <w:rsid w:val="002A53F6"/>
    <w:rsid w:val="002A56A6"/>
    <w:rsid w:val="002A66F2"/>
    <w:rsid w:val="002A6FC1"/>
    <w:rsid w:val="002A7065"/>
    <w:rsid w:val="002A7BEC"/>
    <w:rsid w:val="002A7D14"/>
    <w:rsid w:val="002B0347"/>
    <w:rsid w:val="002B03D3"/>
    <w:rsid w:val="002B0637"/>
    <w:rsid w:val="002B0789"/>
    <w:rsid w:val="002B0D85"/>
    <w:rsid w:val="002B0D94"/>
    <w:rsid w:val="002B0FDB"/>
    <w:rsid w:val="002B1121"/>
    <w:rsid w:val="002B12FC"/>
    <w:rsid w:val="002B1BAC"/>
    <w:rsid w:val="002B1BB5"/>
    <w:rsid w:val="002B1EA7"/>
    <w:rsid w:val="002B2170"/>
    <w:rsid w:val="002B2227"/>
    <w:rsid w:val="002B23CD"/>
    <w:rsid w:val="002B2719"/>
    <w:rsid w:val="002B2C77"/>
    <w:rsid w:val="002B2E85"/>
    <w:rsid w:val="002B2F2F"/>
    <w:rsid w:val="002B30AF"/>
    <w:rsid w:val="002B368E"/>
    <w:rsid w:val="002B3F33"/>
    <w:rsid w:val="002B41E5"/>
    <w:rsid w:val="002B4380"/>
    <w:rsid w:val="002B4FE0"/>
    <w:rsid w:val="002B5039"/>
    <w:rsid w:val="002B511D"/>
    <w:rsid w:val="002B55D3"/>
    <w:rsid w:val="002B59AF"/>
    <w:rsid w:val="002B5B9D"/>
    <w:rsid w:val="002B5C12"/>
    <w:rsid w:val="002B5E40"/>
    <w:rsid w:val="002B65FD"/>
    <w:rsid w:val="002B682B"/>
    <w:rsid w:val="002B6A68"/>
    <w:rsid w:val="002B75E5"/>
    <w:rsid w:val="002B76B0"/>
    <w:rsid w:val="002B7827"/>
    <w:rsid w:val="002B7E89"/>
    <w:rsid w:val="002C0002"/>
    <w:rsid w:val="002C03C3"/>
    <w:rsid w:val="002C0788"/>
    <w:rsid w:val="002C0928"/>
    <w:rsid w:val="002C0CC9"/>
    <w:rsid w:val="002C23E6"/>
    <w:rsid w:val="002C2900"/>
    <w:rsid w:val="002C2984"/>
    <w:rsid w:val="002C2AF4"/>
    <w:rsid w:val="002C2AF5"/>
    <w:rsid w:val="002C2C0B"/>
    <w:rsid w:val="002C2C21"/>
    <w:rsid w:val="002C3182"/>
    <w:rsid w:val="002C3297"/>
    <w:rsid w:val="002C3562"/>
    <w:rsid w:val="002C356D"/>
    <w:rsid w:val="002C37AE"/>
    <w:rsid w:val="002C39DE"/>
    <w:rsid w:val="002C4498"/>
    <w:rsid w:val="002C4510"/>
    <w:rsid w:val="002C5443"/>
    <w:rsid w:val="002C58FF"/>
    <w:rsid w:val="002C5D23"/>
    <w:rsid w:val="002C6644"/>
    <w:rsid w:val="002C6687"/>
    <w:rsid w:val="002C67AA"/>
    <w:rsid w:val="002C6AE2"/>
    <w:rsid w:val="002C6C86"/>
    <w:rsid w:val="002C6E3E"/>
    <w:rsid w:val="002C6FB3"/>
    <w:rsid w:val="002C70DE"/>
    <w:rsid w:val="002C721B"/>
    <w:rsid w:val="002C7B3B"/>
    <w:rsid w:val="002D0257"/>
    <w:rsid w:val="002D0640"/>
    <w:rsid w:val="002D133E"/>
    <w:rsid w:val="002D1349"/>
    <w:rsid w:val="002D186F"/>
    <w:rsid w:val="002D1A59"/>
    <w:rsid w:val="002D1AFC"/>
    <w:rsid w:val="002D1F48"/>
    <w:rsid w:val="002D2978"/>
    <w:rsid w:val="002D2E7C"/>
    <w:rsid w:val="002D2F84"/>
    <w:rsid w:val="002D305D"/>
    <w:rsid w:val="002D30D2"/>
    <w:rsid w:val="002D3C59"/>
    <w:rsid w:val="002D47D1"/>
    <w:rsid w:val="002D4830"/>
    <w:rsid w:val="002D484C"/>
    <w:rsid w:val="002D48DC"/>
    <w:rsid w:val="002D4BA0"/>
    <w:rsid w:val="002D4C36"/>
    <w:rsid w:val="002D4E38"/>
    <w:rsid w:val="002D5455"/>
    <w:rsid w:val="002D55DC"/>
    <w:rsid w:val="002D5914"/>
    <w:rsid w:val="002D5926"/>
    <w:rsid w:val="002D606B"/>
    <w:rsid w:val="002D6506"/>
    <w:rsid w:val="002D65E2"/>
    <w:rsid w:val="002D69A8"/>
    <w:rsid w:val="002D6F0B"/>
    <w:rsid w:val="002D70C8"/>
    <w:rsid w:val="002D71E5"/>
    <w:rsid w:val="002D74AE"/>
    <w:rsid w:val="002D7595"/>
    <w:rsid w:val="002E04E4"/>
    <w:rsid w:val="002E0678"/>
    <w:rsid w:val="002E06EA"/>
    <w:rsid w:val="002E0EC7"/>
    <w:rsid w:val="002E0F3C"/>
    <w:rsid w:val="002E1E31"/>
    <w:rsid w:val="002E1FCA"/>
    <w:rsid w:val="002E2443"/>
    <w:rsid w:val="002E2E91"/>
    <w:rsid w:val="002E3009"/>
    <w:rsid w:val="002E317B"/>
    <w:rsid w:val="002E325D"/>
    <w:rsid w:val="002E34A9"/>
    <w:rsid w:val="002E39AF"/>
    <w:rsid w:val="002E3EBD"/>
    <w:rsid w:val="002E3FE9"/>
    <w:rsid w:val="002E4184"/>
    <w:rsid w:val="002E4636"/>
    <w:rsid w:val="002E48DB"/>
    <w:rsid w:val="002E496D"/>
    <w:rsid w:val="002E49AC"/>
    <w:rsid w:val="002E4A7C"/>
    <w:rsid w:val="002E53FA"/>
    <w:rsid w:val="002E54C1"/>
    <w:rsid w:val="002E5665"/>
    <w:rsid w:val="002E5687"/>
    <w:rsid w:val="002E5D85"/>
    <w:rsid w:val="002E6085"/>
    <w:rsid w:val="002E612F"/>
    <w:rsid w:val="002E62E5"/>
    <w:rsid w:val="002E6554"/>
    <w:rsid w:val="002E688C"/>
    <w:rsid w:val="002E6B1A"/>
    <w:rsid w:val="002E6E4C"/>
    <w:rsid w:val="002E6FB5"/>
    <w:rsid w:val="002E7651"/>
    <w:rsid w:val="002E7814"/>
    <w:rsid w:val="002E7938"/>
    <w:rsid w:val="002E7E86"/>
    <w:rsid w:val="002F040C"/>
    <w:rsid w:val="002F042B"/>
    <w:rsid w:val="002F0560"/>
    <w:rsid w:val="002F06BC"/>
    <w:rsid w:val="002F06C8"/>
    <w:rsid w:val="002F0729"/>
    <w:rsid w:val="002F0762"/>
    <w:rsid w:val="002F0AE0"/>
    <w:rsid w:val="002F0B13"/>
    <w:rsid w:val="002F0FD9"/>
    <w:rsid w:val="002F13BD"/>
    <w:rsid w:val="002F1877"/>
    <w:rsid w:val="002F1BB1"/>
    <w:rsid w:val="002F1E70"/>
    <w:rsid w:val="002F1EEE"/>
    <w:rsid w:val="002F2029"/>
    <w:rsid w:val="002F244F"/>
    <w:rsid w:val="002F24CD"/>
    <w:rsid w:val="002F253F"/>
    <w:rsid w:val="002F255F"/>
    <w:rsid w:val="002F287C"/>
    <w:rsid w:val="002F2B29"/>
    <w:rsid w:val="002F324F"/>
    <w:rsid w:val="002F36C6"/>
    <w:rsid w:val="002F372F"/>
    <w:rsid w:val="002F3832"/>
    <w:rsid w:val="002F3AE8"/>
    <w:rsid w:val="002F3AEF"/>
    <w:rsid w:val="002F3DD5"/>
    <w:rsid w:val="002F441D"/>
    <w:rsid w:val="002F48F9"/>
    <w:rsid w:val="002F4965"/>
    <w:rsid w:val="002F49FE"/>
    <w:rsid w:val="002F4FE5"/>
    <w:rsid w:val="002F50A2"/>
    <w:rsid w:val="002F5209"/>
    <w:rsid w:val="002F5229"/>
    <w:rsid w:val="002F53BC"/>
    <w:rsid w:val="002F5488"/>
    <w:rsid w:val="002F57EA"/>
    <w:rsid w:val="002F617D"/>
    <w:rsid w:val="002F6241"/>
    <w:rsid w:val="002F64D9"/>
    <w:rsid w:val="002F64EF"/>
    <w:rsid w:val="002F6532"/>
    <w:rsid w:val="002F663E"/>
    <w:rsid w:val="002F68B7"/>
    <w:rsid w:val="002F6C79"/>
    <w:rsid w:val="002F6DE2"/>
    <w:rsid w:val="002F73DA"/>
    <w:rsid w:val="002F7AF4"/>
    <w:rsid w:val="002F7B72"/>
    <w:rsid w:val="002F7BDE"/>
    <w:rsid w:val="002F7DED"/>
    <w:rsid w:val="002F7FAE"/>
    <w:rsid w:val="002F7FE7"/>
    <w:rsid w:val="00300192"/>
    <w:rsid w:val="00300BD5"/>
    <w:rsid w:val="00300C7A"/>
    <w:rsid w:val="00300C85"/>
    <w:rsid w:val="00300E04"/>
    <w:rsid w:val="00301032"/>
    <w:rsid w:val="003015F9"/>
    <w:rsid w:val="003016BE"/>
    <w:rsid w:val="003016E4"/>
    <w:rsid w:val="00301C92"/>
    <w:rsid w:val="00301DE7"/>
    <w:rsid w:val="00301FC6"/>
    <w:rsid w:val="0030213F"/>
    <w:rsid w:val="00302792"/>
    <w:rsid w:val="00302B1D"/>
    <w:rsid w:val="003034B8"/>
    <w:rsid w:val="00303956"/>
    <w:rsid w:val="00303A08"/>
    <w:rsid w:val="00303C97"/>
    <w:rsid w:val="003040CE"/>
    <w:rsid w:val="003044EC"/>
    <w:rsid w:val="00304560"/>
    <w:rsid w:val="0030461A"/>
    <w:rsid w:val="00304AC9"/>
    <w:rsid w:val="00304B1B"/>
    <w:rsid w:val="00304DAA"/>
    <w:rsid w:val="00304FB0"/>
    <w:rsid w:val="00305152"/>
    <w:rsid w:val="00305468"/>
    <w:rsid w:val="0030583E"/>
    <w:rsid w:val="003064B9"/>
    <w:rsid w:val="00306A72"/>
    <w:rsid w:val="00306C8F"/>
    <w:rsid w:val="00307342"/>
    <w:rsid w:val="003078BA"/>
    <w:rsid w:val="00307947"/>
    <w:rsid w:val="00307EA9"/>
    <w:rsid w:val="00307EF7"/>
    <w:rsid w:val="003101BA"/>
    <w:rsid w:val="003104CE"/>
    <w:rsid w:val="0031077D"/>
    <w:rsid w:val="00310CB5"/>
    <w:rsid w:val="00311660"/>
    <w:rsid w:val="00311B66"/>
    <w:rsid w:val="00311D6C"/>
    <w:rsid w:val="00312923"/>
    <w:rsid w:val="00312951"/>
    <w:rsid w:val="003129C8"/>
    <w:rsid w:val="00312CE9"/>
    <w:rsid w:val="00312DF0"/>
    <w:rsid w:val="00312F56"/>
    <w:rsid w:val="0031332A"/>
    <w:rsid w:val="00313376"/>
    <w:rsid w:val="00313A39"/>
    <w:rsid w:val="00313CF6"/>
    <w:rsid w:val="00313F0B"/>
    <w:rsid w:val="003143FE"/>
    <w:rsid w:val="0031451A"/>
    <w:rsid w:val="003148B4"/>
    <w:rsid w:val="00314B53"/>
    <w:rsid w:val="00314C28"/>
    <w:rsid w:val="00314C9C"/>
    <w:rsid w:val="00315011"/>
    <w:rsid w:val="00315012"/>
    <w:rsid w:val="00315962"/>
    <w:rsid w:val="003160AC"/>
    <w:rsid w:val="003162CE"/>
    <w:rsid w:val="0031635D"/>
    <w:rsid w:val="003165A8"/>
    <w:rsid w:val="00316D75"/>
    <w:rsid w:val="003172D2"/>
    <w:rsid w:val="00317557"/>
    <w:rsid w:val="00317F88"/>
    <w:rsid w:val="00320384"/>
    <w:rsid w:val="00320621"/>
    <w:rsid w:val="003208D8"/>
    <w:rsid w:val="003209F1"/>
    <w:rsid w:val="00320E90"/>
    <w:rsid w:val="003214B3"/>
    <w:rsid w:val="00321560"/>
    <w:rsid w:val="0032161C"/>
    <w:rsid w:val="00321915"/>
    <w:rsid w:val="00322AF2"/>
    <w:rsid w:val="00322D6F"/>
    <w:rsid w:val="00322F73"/>
    <w:rsid w:val="00323163"/>
    <w:rsid w:val="00323D6B"/>
    <w:rsid w:val="00323F40"/>
    <w:rsid w:val="003240C2"/>
    <w:rsid w:val="003241D7"/>
    <w:rsid w:val="0032425A"/>
    <w:rsid w:val="00324DE0"/>
    <w:rsid w:val="003252AA"/>
    <w:rsid w:val="00325809"/>
    <w:rsid w:val="003261AB"/>
    <w:rsid w:val="00326263"/>
    <w:rsid w:val="0032639E"/>
    <w:rsid w:val="00326402"/>
    <w:rsid w:val="003264B0"/>
    <w:rsid w:val="0032701D"/>
    <w:rsid w:val="00327193"/>
    <w:rsid w:val="003273BB"/>
    <w:rsid w:val="00327501"/>
    <w:rsid w:val="00327EB6"/>
    <w:rsid w:val="00330183"/>
    <w:rsid w:val="00330309"/>
    <w:rsid w:val="00330397"/>
    <w:rsid w:val="003303C2"/>
    <w:rsid w:val="00330AF1"/>
    <w:rsid w:val="00330BBC"/>
    <w:rsid w:val="00331097"/>
    <w:rsid w:val="003317CD"/>
    <w:rsid w:val="00331B44"/>
    <w:rsid w:val="00331D99"/>
    <w:rsid w:val="00332038"/>
    <w:rsid w:val="003321C4"/>
    <w:rsid w:val="00332726"/>
    <w:rsid w:val="00332B44"/>
    <w:rsid w:val="00332DE4"/>
    <w:rsid w:val="003330A3"/>
    <w:rsid w:val="0033344A"/>
    <w:rsid w:val="00333A77"/>
    <w:rsid w:val="00333DE6"/>
    <w:rsid w:val="003344F4"/>
    <w:rsid w:val="003347EB"/>
    <w:rsid w:val="0033483B"/>
    <w:rsid w:val="0033490A"/>
    <w:rsid w:val="00334AF1"/>
    <w:rsid w:val="00334BCA"/>
    <w:rsid w:val="00334BE5"/>
    <w:rsid w:val="00334DE5"/>
    <w:rsid w:val="00334E7A"/>
    <w:rsid w:val="00334E83"/>
    <w:rsid w:val="003350F2"/>
    <w:rsid w:val="0033519E"/>
    <w:rsid w:val="00335BCC"/>
    <w:rsid w:val="00335FD7"/>
    <w:rsid w:val="0033623F"/>
    <w:rsid w:val="00336271"/>
    <w:rsid w:val="003364B2"/>
    <w:rsid w:val="003364CD"/>
    <w:rsid w:val="0033697B"/>
    <w:rsid w:val="00336F75"/>
    <w:rsid w:val="003370E7"/>
    <w:rsid w:val="003375B5"/>
    <w:rsid w:val="00337800"/>
    <w:rsid w:val="00337824"/>
    <w:rsid w:val="00340089"/>
    <w:rsid w:val="0034010B"/>
    <w:rsid w:val="003401A6"/>
    <w:rsid w:val="003403BE"/>
    <w:rsid w:val="00340450"/>
    <w:rsid w:val="003408BD"/>
    <w:rsid w:val="00340974"/>
    <w:rsid w:val="003412B3"/>
    <w:rsid w:val="003416F1"/>
    <w:rsid w:val="003416FB"/>
    <w:rsid w:val="003418FB"/>
    <w:rsid w:val="00341B30"/>
    <w:rsid w:val="00341F7A"/>
    <w:rsid w:val="00341FA5"/>
    <w:rsid w:val="00342636"/>
    <w:rsid w:val="00342839"/>
    <w:rsid w:val="00342AB7"/>
    <w:rsid w:val="00342CCF"/>
    <w:rsid w:val="003434F6"/>
    <w:rsid w:val="00343BFB"/>
    <w:rsid w:val="00343C22"/>
    <w:rsid w:val="00344875"/>
    <w:rsid w:val="003450A1"/>
    <w:rsid w:val="003452A9"/>
    <w:rsid w:val="003453FD"/>
    <w:rsid w:val="00345535"/>
    <w:rsid w:val="00345596"/>
    <w:rsid w:val="00345B5B"/>
    <w:rsid w:val="00345BB8"/>
    <w:rsid w:val="00345D1B"/>
    <w:rsid w:val="00345EDF"/>
    <w:rsid w:val="00346A9C"/>
    <w:rsid w:val="00346BAA"/>
    <w:rsid w:val="00346E35"/>
    <w:rsid w:val="00346F2F"/>
    <w:rsid w:val="003472AA"/>
    <w:rsid w:val="00347497"/>
    <w:rsid w:val="00347874"/>
    <w:rsid w:val="00347946"/>
    <w:rsid w:val="00347E04"/>
    <w:rsid w:val="003506A2"/>
    <w:rsid w:val="003506AF"/>
    <w:rsid w:val="0035081B"/>
    <w:rsid w:val="00350855"/>
    <w:rsid w:val="0035091D"/>
    <w:rsid w:val="00350AAF"/>
    <w:rsid w:val="003515ED"/>
    <w:rsid w:val="00351C00"/>
    <w:rsid w:val="003525C1"/>
    <w:rsid w:val="00352807"/>
    <w:rsid w:val="00352959"/>
    <w:rsid w:val="003529FD"/>
    <w:rsid w:val="00352B96"/>
    <w:rsid w:val="00352C07"/>
    <w:rsid w:val="00352F2F"/>
    <w:rsid w:val="0035316A"/>
    <w:rsid w:val="0035361C"/>
    <w:rsid w:val="00353CCC"/>
    <w:rsid w:val="0035476E"/>
    <w:rsid w:val="003547E1"/>
    <w:rsid w:val="00354802"/>
    <w:rsid w:val="00354973"/>
    <w:rsid w:val="0035497D"/>
    <w:rsid w:val="00354B24"/>
    <w:rsid w:val="00354BF6"/>
    <w:rsid w:val="00354D1A"/>
    <w:rsid w:val="00355575"/>
    <w:rsid w:val="00355830"/>
    <w:rsid w:val="00355914"/>
    <w:rsid w:val="0035598A"/>
    <w:rsid w:val="00355B5F"/>
    <w:rsid w:val="0035607D"/>
    <w:rsid w:val="0035609A"/>
    <w:rsid w:val="0035695F"/>
    <w:rsid w:val="0035752D"/>
    <w:rsid w:val="00357C3D"/>
    <w:rsid w:val="00360578"/>
    <w:rsid w:val="003612D2"/>
    <w:rsid w:val="00361A3C"/>
    <w:rsid w:val="00361C86"/>
    <w:rsid w:val="00361D1C"/>
    <w:rsid w:val="00361F50"/>
    <w:rsid w:val="00362AC6"/>
    <w:rsid w:val="00362DE7"/>
    <w:rsid w:val="00363378"/>
    <w:rsid w:val="00363460"/>
    <w:rsid w:val="00363EC5"/>
    <w:rsid w:val="00363F80"/>
    <w:rsid w:val="003641E4"/>
    <w:rsid w:val="003647E5"/>
    <w:rsid w:val="0036482D"/>
    <w:rsid w:val="00364B37"/>
    <w:rsid w:val="00364B4E"/>
    <w:rsid w:val="00364E6D"/>
    <w:rsid w:val="00365408"/>
    <w:rsid w:val="0036553C"/>
    <w:rsid w:val="00365B20"/>
    <w:rsid w:val="00365D4C"/>
    <w:rsid w:val="00365DAB"/>
    <w:rsid w:val="00365EE2"/>
    <w:rsid w:val="0036644D"/>
    <w:rsid w:val="0036647A"/>
    <w:rsid w:val="003674E5"/>
    <w:rsid w:val="00367BD8"/>
    <w:rsid w:val="00370403"/>
    <w:rsid w:val="003704B5"/>
    <w:rsid w:val="003704F2"/>
    <w:rsid w:val="0037066A"/>
    <w:rsid w:val="0037075B"/>
    <w:rsid w:val="00370C8C"/>
    <w:rsid w:val="0037142E"/>
    <w:rsid w:val="00371730"/>
    <w:rsid w:val="00371B6C"/>
    <w:rsid w:val="003725A7"/>
    <w:rsid w:val="003728F7"/>
    <w:rsid w:val="00373272"/>
    <w:rsid w:val="003732A8"/>
    <w:rsid w:val="0037334E"/>
    <w:rsid w:val="00373A16"/>
    <w:rsid w:val="00373FD9"/>
    <w:rsid w:val="00374323"/>
    <w:rsid w:val="00375DE8"/>
    <w:rsid w:val="00375E7A"/>
    <w:rsid w:val="003761CF"/>
    <w:rsid w:val="00376C1A"/>
    <w:rsid w:val="00376DDE"/>
    <w:rsid w:val="003772ED"/>
    <w:rsid w:val="00377376"/>
    <w:rsid w:val="003775F4"/>
    <w:rsid w:val="00377CD8"/>
    <w:rsid w:val="003803FA"/>
    <w:rsid w:val="00380416"/>
    <w:rsid w:val="00380A10"/>
    <w:rsid w:val="0038109C"/>
    <w:rsid w:val="00381DE2"/>
    <w:rsid w:val="00381E16"/>
    <w:rsid w:val="00381FAC"/>
    <w:rsid w:val="00382BD0"/>
    <w:rsid w:val="00383CDF"/>
    <w:rsid w:val="00384871"/>
    <w:rsid w:val="00384A31"/>
    <w:rsid w:val="00384CF5"/>
    <w:rsid w:val="00385216"/>
    <w:rsid w:val="00385283"/>
    <w:rsid w:val="00385C4D"/>
    <w:rsid w:val="00385E34"/>
    <w:rsid w:val="00385EF9"/>
    <w:rsid w:val="00386522"/>
    <w:rsid w:val="00386DBD"/>
    <w:rsid w:val="003872C7"/>
    <w:rsid w:val="003873DE"/>
    <w:rsid w:val="00387445"/>
    <w:rsid w:val="003874B0"/>
    <w:rsid w:val="00387607"/>
    <w:rsid w:val="00387CC1"/>
    <w:rsid w:val="00387DE6"/>
    <w:rsid w:val="0039047D"/>
    <w:rsid w:val="00390799"/>
    <w:rsid w:val="00390980"/>
    <w:rsid w:val="00390AF8"/>
    <w:rsid w:val="003913C6"/>
    <w:rsid w:val="00392157"/>
    <w:rsid w:val="003921B9"/>
    <w:rsid w:val="00392741"/>
    <w:rsid w:val="00392BCC"/>
    <w:rsid w:val="00393049"/>
    <w:rsid w:val="00393102"/>
    <w:rsid w:val="00393520"/>
    <w:rsid w:val="00393A92"/>
    <w:rsid w:val="00393B43"/>
    <w:rsid w:val="00393FD6"/>
    <w:rsid w:val="00393FE1"/>
    <w:rsid w:val="003942B5"/>
    <w:rsid w:val="0039451B"/>
    <w:rsid w:val="0039483E"/>
    <w:rsid w:val="00394C02"/>
    <w:rsid w:val="00394C13"/>
    <w:rsid w:val="00394D99"/>
    <w:rsid w:val="003954FA"/>
    <w:rsid w:val="003955DC"/>
    <w:rsid w:val="00395917"/>
    <w:rsid w:val="00395C51"/>
    <w:rsid w:val="0039623B"/>
    <w:rsid w:val="003964A4"/>
    <w:rsid w:val="00396796"/>
    <w:rsid w:val="003967A9"/>
    <w:rsid w:val="00396A30"/>
    <w:rsid w:val="00396EC6"/>
    <w:rsid w:val="0039732D"/>
    <w:rsid w:val="00397539"/>
    <w:rsid w:val="003A0262"/>
    <w:rsid w:val="003A0273"/>
    <w:rsid w:val="003A0378"/>
    <w:rsid w:val="003A0428"/>
    <w:rsid w:val="003A0537"/>
    <w:rsid w:val="003A0C1C"/>
    <w:rsid w:val="003A0DA0"/>
    <w:rsid w:val="003A0DCF"/>
    <w:rsid w:val="003A1251"/>
    <w:rsid w:val="003A1965"/>
    <w:rsid w:val="003A1CD5"/>
    <w:rsid w:val="003A1FC2"/>
    <w:rsid w:val="003A21E1"/>
    <w:rsid w:val="003A224C"/>
    <w:rsid w:val="003A239A"/>
    <w:rsid w:val="003A248F"/>
    <w:rsid w:val="003A255E"/>
    <w:rsid w:val="003A26C2"/>
    <w:rsid w:val="003A2E95"/>
    <w:rsid w:val="003A3141"/>
    <w:rsid w:val="003A3447"/>
    <w:rsid w:val="003A3948"/>
    <w:rsid w:val="003A3988"/>
    <w:rsid w:val="003A3C2F"/>
    <w:rsid w:val="003A3DFF"/>
    <w:rsid w:val="003A3E57"/>
    <w:rsid w:val="003A3F96"/>
    <w:rsid w:val="003A413B"/>
    <w:rsid w:val="003A436E"/>
    <w:rsid w:val="003A4C30"/>
    <w:rsid w:val="003A4F49"/>
    <w:rsid w:val="003A515B"/>
    <w:rsid w:val="003A5614"/>
    <w:rsid w:val="003A5C39"/>
    <w:rsid w:val="003A5D67"/>
    <w:rsid w:val="003A5F71"/>
    <w:rsid w:val="003A604F"/>
    <w:rsid w:val="003A6B43"/>
    <w:rsid w:val="003A6BCD"/>
    <w:rsid w:val="003A7213"/>
    <w:rsid w:val="003A72C0"/>
    <w:rsid w:val="003A7392"/>
    <w:rsid w:val="003A7563"/>
    <w:rsid w:val="003A7639"/>
    <w:rsid w:val="003A7F1D"/>
    <w:rsid w:val="003B0048"/>
    <w:rsid w:val="003B03D7"/>
    <w:rsid w:val="003B076A"/>
    <w:rsid w:val="003B0A23"/>
    <w:rsid w:val="003B0FD9"/>
    <w:rsid w:val="003B1F43"/>
    <w:rsid w:val="003B228D"/>
    <w:rsid w:val="003B2614"/>
    <w:rsid w:val="003B2847"/>
    <w:rsid w:val="003B2B92"/>
    <w:rsid w:val="003B2C6A"/>
    <w:rsid w:val="003B2C98"/>
    <w:rsid w:val="003B354D"/>
    <w:rsid w:val="003B38A0"/>
    <w:rsid w:val="003B3D45"/>
    <w:rsid w:val="003B3D76"/>
    <w:rsid w:val="003B3EAD"/>
    <w:rsid w:val="003B50F2"/>
    <w:rsid w:val="003B5377"/>
    <w:rsid w:val="003B53AD"/>
    <w:rsid w:val="003B5838"/>
    <w:rsid w:val="003B5905"/>
    <w:rsid w:val="003B5926"/>
    <w:rsid w:val="003B59F8"/>
    <w:rsid w:val="003B5D3C"/>
    <w:rsid w:val="003B5E72"/>
    <w:rsid w:val="003B601B"/>
    <w:rsid w:val="003B612E"/>
    <w:rsid w:val="003B69EE"/>
    <w:rsid w:val="003B6BC7"/>
    <w:rsid w:val="003B6BF4"/>
    <w:rsid w:val="003B6D13"/>
    <w:rsid w:val="003B7322"/>
    <w:rsid w:val="003B76B4"/>
    <w:rsid w:val="003B76CF"/>
    <w:rsid w:val="003B7A00"/>
    <w:rsid w:val="003B7B22"/>
    <w:rsid w:val="003C07CB"/>
    <w:rsid w:val="003C1270"/>
    <w:rsid w:val="003C14DD"/>
    <w:rsid w:val="003C16E1"/>
    <w:rsid w:val="003C2036"/>
    <w:rsid w:val="003C206A"/>
    <w:rsid w:val="003C2199"/>
    <w:rsid w:val="003C227B"/>
    <w:rsid w:val="003C2426"/>
    <w:rsid w:val="003C2570"/>
    <w:rsid w:val="003C3640"/>
    <w:rsid w:val="003C378F"/>
    <w:rsid w:val="003C3AA9"/>
    <w:rsid w:val="003C3AED"/>
    <w:rsid w:val="003C3CF8"/>
    <w:rsid w:val="003C4598"/>
    <w:rsid w:val="003C49F1"/>
    <w:rsid w:val="003C4C84"/>
    <w:rsid w:val="003C50D9"/>
    <w:rsid w:val="003C539B"/>
    <w:rsid w:val="003C67C9"/>
    <w:rsid w:val="003C6811"/>
    <w:rsid w:val="003C6D23"/>
    <w:rsid w:val="003C70EA"/>
    <w:rsid w:val="003C74C7"/>
    <w:rsid w:val="003C78B7"/>
    <w:rsid w:val="003D01A0"/>
    <w:rsid w:val="003D0933"/>
    <w:rsid w:val="003D0B1E"/>
    <w:rsid w:val="003D0C0A"/>
    <w:rsid w:val="003D0E14"/>
    <w:rsid w:val="003D1AE0"/>
    <w:rsid w:val="003D1CDE"/>
    <w:rsid w:val="003D1EF6"/>
    <w:rsid w:val="003D2040"/>
    <w:rsid w:val="003D2264"/>
    <w:rsid w:val="003D2732"/>
    <w:rsid w:val="003D298B"/>
    <w:rsid w:val="003D2B5C"/>
    <w:rsid w:val="003D2B84"/>
    <w:rsid w:val="003D330C"/>
    <w:rsid w:val="003D37E3"/>
    <w:rsid w:val="003D3C6C"/>
    <w:rsid w:val="003D3F60"/>
    <w:rsid w:val="003D4026"/>
    <w:rsid w:val="003D4F41"/>
    <w:rsid w:val="003D542C"/>
    <w:rsid w:val="003D5D3A"/>
    <w:rsid w:val="003D62DB"/>
    <w:rsid w:val="003D65AE"/>
    <w:rsid w:val="003D6A29"/>
    <w:rsid w:val="003D6C5F"/>
    <w:rsid w:val="003D7285"/>
    <w:rsid w:val="003D76BC"/>
    <w:rsid w:val="003D7884"/>
    <w:rsid w:val="003E0424"/>
    <w:rsid w:val="003E0514"/>
    <w:rsid w:val="003E0950"/>
    <w:rsid w:val="003E0ADF"/>
    <w:rsid w:val="003E0C6E"/>
    <w:rsid w:val="003E19C2"/>
    <w:rsid w:val="003E1A69"/>
    <w:rsid w:val="003E1F77"/>
    <w:rsid w:val="003E23BE"/>
    <w:rsid w:val="003E274E"/>
    <w:rsid w:val="003E2851"/>
    <w:rsid w:val="003E2F2C"/>
    <w:rsid w:val="003E35C7"/>
    <w:rsid w:val="003E3709"/>
    <w:rsid w:val="003E3A34"/>
    <w:rsid w:val="003E3B3B"/>
    <w:rsid w:val="003E3FF1"/>
    <w:rsid w:val="003E4557"/>
    <w:rsid w:val="003E468D"/>
    <w:rsid w:val="003E4938"/>
    <w:rsid w:val="003E495C"/>
    <w:rsid w:val="003E5134"/>
    <w:rsid w:val="003E5711"/>
    <w:rsid w:val="003E5B17"/>
    <w:rsid w:val="003E5E3C"/>
    <w:rsid w:val="003E5E8E"/>
    <w:rsid w:val="003E6064"/>
    <w:rsid w:val="003E6CAA"/>
    <w:rsid w:val="003E6D08"/>
    <w:rsid w:val="003E6D12"/>
    <w:rsid w:val="003E6FC5"/>
    <w:rsid w:val="003E70E5"/>
    <w:rsid w:val="003E7261"/>
    <w:rsid w:val="003E73B2"/>
    <w:rsid w:val="003E73E5"/>
    <w:rsid w:val="003E74B7"/>
    <w:rsid w:val="003E7BBF"/>
    <w:rsid w:val="003E7CFE"/>
    <w:rsid w:val="003F0070"/>
    <w:rsid w:val="003F03F1"/>
    <w:rsid w:val="003F0664"/>
    <w:rsid w:val="003F0947"/>
    <w:rsid w:val="003F115D"/>
    <w:rsid w:val="003F11E8"/>
    <w:rsid w:val="003F1599"/>
    <w:rsid w:val="003F166A"/>
    <w:rsid w:val="003F193D"/>
    <w:rsid w:val="003F1BC1"/>
    <w:rsid w:val="003F2215"/>
    <w:rsid w:val="003F2B4D"/>
    <w:rsid w:val="003F2D37"/>
    <w:rsid w:val="003F2E2C"/>
    <w:rsid w:val="003F318A"/>
    <w:rsid w:val="003F3200"/>
    <w:rsid w:val="003F3397"/>
    <w:rsid w:val="003F36B5"/>
    <w:rsid w:val="003F3F50"/>
    <w:rsid w:val="003F3FB3"/>
    <w:rsid w:val="003F49FF"/>
    <w:rsid w:val="003F4D6A"/>
    <w:rsid w:val="003F4F99"/>
    <w:rsid w:val="003F54B8"/>
    <w:rsid w:val="003F5547"/>
    <w:rsid w:val="003F55F1"/>
    <w:rsid w:val="003F57CA"/>
    <w:rsid w:val="003F59A2"/>
    <w:rsid w:val="003F5D76"/>
    <w:rsid w:val="003F60D6"/>
    <w:rsid w:val="003F66B5"/>
    <w:rsid w:val="003F6E30"/>
    <w:rsid w:val="003F76D9"/>
    <w:rsid w:val="003F7795"/>
    <w:rsid w:val="003F77C8"/>
    <w:rsid w:val="004000AF"/>
    <w:rsid w:val="0040039B"/>
    <w:rsid w:val="00400424"/>
    <w:rsid w:val="00400517"/>
    <w:rsid w:val="00400618"/>
    <w:rsid w:val="0040087A"/>
    <w:rsid w:val="00400ACC"/>
    <w:rsid w:val="00400C0D"/>
    <w:rsid w:val="004011AA"/>
    <w:rsid w:val="00401430"/>
    <w:rsid w:val="004018FE"/>
    <w:rsid w:val="00401CE9"/>
    <w:rsid w:val="00401DDD"/>
    <w:rsid w:val="00401ECF"/>
    <w:rsid w:val="004022EB"/>
    <w:rsid w:val="004024C3"/>
    <w:rsid w:val="0040304E"/>
    <w:rsid w:val="004031A7"/>
    <w:rsid w:val="00403209"/>
    <w:rsid w:val="004035EB"/>
    <w:rsid w:val="0040396F"/>
    <w:rsid w:val="00403BDD"/>
    <w:rsid w:val="00403D50"/>
    <w:rsid w:val="004043CE"/>
    <w:rsid w:val="00404778"/>
    <w:rsid w:val="0040496C"/>
    <w:rsid w:val="004057BB"/>
    <w:rsid w:val="00405A1F"/>
    <w:rsid w:val="00405AE6"/>
    <w:rsid w:val="00405C88"/>
    <w:rsid w:val="00405F98"/>
    <w:rsid w:val="0040618F"/>
    <w:rsid w:val="004064BA"/>
    <w:rsid w:val="00406931"/>
    <w:rsid w:val="00406CA2"/>
    <w:rsid w:val="00406DD0"/>
    <w:rsid w:val="0040731E"/>
    <w:rsid w:val="004076D9"/>
    <w:rsid w:val="004078EC"/>
    <w:rsid w:val="0041032B"/>
    <w:rsid w:val="0041034B"/>
    <w:rsid w:val="004103DC"/>
    <w:rsid w:val="00410498"/>
    <w:rsid w:val="00410DD7"/>
    <w:rsid w:val="004116CD"/>
    <w:rsid w:val="00411902"/>
    <w:rsid w:val="00411964"/>
    <w:rsid w:val="004127C1"/>
    <w:rsid w:val="004129FF"/>
    <w:rsid w:val="00412D55"/>
    <w:rsid w:val="0041306E"/>
    <w:rsid w:val="004130BD"/>
    <w:rsid w:val="00413276"/>
    <w:rsid w:val="00413940"/>
    <w:rsid w:val="00413959"/>
    <w:rsid w:val="00413D03"/>
    <w:rsid w:val="00414087"/>
    <w:rsid w:val="00414407"/>
    <w:rsid w:val="00414BA8"/>
    <w:rsid w:val="004156AB"/>
    <w:rsid w:val="00415D5C"/>
    <w:rsid w:val="00416097"/>
    <w:rsid w:val="004161A7"/>
    <w:rsid w:val="00416544"/>
    <w:rsid w:val="00416E04"/>
    <w:rsid w:val="00417013"/>
    <w:rsid w:val="0041732C"/>
    <w:rsid w:val="00417356"/>
    <w:rsid w:val="004175B2"/>
    <w:rsid w:val="0041763E"/>
    <w:rsid w:val="0041789E"/>
    <w:rsid w:val="004203C2"/>
    <w:rsid w:val="00420C32"/>
    <w:rsid w:val="00420E2B"/>
    <w:rsid w:val="0042110C"/>
    <w:rsid w:val="00421224"/>
    <w:rsid w:val="0042194D"/>
    <w:rsid w:val="00421983"/>
    <w:rsid w:val="004219AD"/>
    <w:rsid w:val="004224B1"/>
    <w:rsid w:val="0042271C"/>
    <w:rsid w:val="004229B5"/>
    <w:rsid w:val="00422B02"/>
    <w:rsid w:val="00422CC1"/>
    <w:rsid w:val="00422F14"/>
    <w:rsid w:val="0042311C"/>
    <w:rsid w:val="004234FA"/>
    <w:rsid w:val="004236F2"/>
    <w:rsid w:val="004240E9"/>
    <w:rsid w:val="004241C3"/>
    <w:rsid w:val="0042448A"/>
    <w:rsid w:val="004248D0"/>
    <w:rsid w:val="00424A7A"/>
    <w:rsid w:val="00424E24"/>
    <w:rsid w:val="00424F73"/>
    <w:rsid w:val="00425E5F"/>
    <w:rsid w:val="0042622A"/>
    <w:rsid w:val="00426272"/>
    <w:rsid w:val="004262B3"/>
    <w:rsid w:val="0042648E"/>
    <w:rsid w:val="004264EB"/>
    <w:rsid w:val="00427494"/>
    <w:rsid w:val="00427650"/>
    <w:rsid w:val="004278D2"/>
    <w:rsid w:val="00427E39"/>
    <w:rsid w:val="00430768"/>
    <w:rsid w:val="0043095A"/>
    <w:rsid w:val="004319C8"/>
    <w:rsid w:val="00431AE8"/>
    <w:rsid w:val="00431CD3"/>
    <w:rsid w:val="004320CF"/>
    <w:rsid w:val="00432599"/>
    <w:rsid w:val="00432A82"/>
    <w:rsid w:val="004332CC"/>
    <w:rsid w:val="00433448"/>
    <w:rsid w:val="00433583"/>
    <w:rsid w:val="00433737"/>
    <w:rsid w:val="00433E84"/>
    <w:rsid w:val="00433F54"/>
    <w:rsid w:val="00434869"/>
    <w:rsid w:val="00434920"/>
    <w:rsid w:val="00434A6B"/>
    <w:rsid w:val="00434E3B"/>
    <w:rsid w:val="0043516E"/>
    <w:rsid w:val="004351C3"/>
    <w:rsid w:val="004356D4"/>
    <w:rsid w:val="0043596F"/>
    <w:rsid w:val="00435B37"/>
    <w:rsid w:val="00435FEA"/>
    <w:rsid w:val="00436840"/>
    <w:rsid w:val="00436BB2"/>
    <w:rsid w:val="00436F97"/>
    <w:rsid w:val="004371CA"/>
    <w:rsid w:val="0043758C"/>
    <w:rsid w:val="00437E65"/>
    <w:rsid w:val="00440307"/>
    <w:rsid w:val="0044034E"/>
    <w:rsid w:val="0044041B"/>
    <w:rsid w:val="0044079C"/>
    <w:rsid w:val="00440B0B"/>
    <w:rsid w:val="00440DD2"/>
    <w:rsid w:val="00440EAF"/>
    <w:rsid w:val="00441243"/>
    <w:rsid w:val="00441644"/>
    <w:rsid w:val="00441835"/>
    <w:rsid w:val="00441B12"/>
    <w:rsid w:val="00441C07"/>
    <w:rsid w:val="00442003"/>
    <w:rsid w:val="00442149"/>
    <w:rsid w:val="0044239F"/>
    <w:rsid w:val="0044263D"/>
    <w:rsid w:val="00442657"/>
    <w:rsid w:val="0044267C"/>
    <w:rsid w:val="00442734"/>
    <w:rsid w:val="0044280E"/>
    <w:rsid w:val="00442CC5"/>
    <w:rsid w:val="00442D90"/>
    <w:rsid w:val="00442DC5"/>
    <w:rsid w:val="00443347"/>
    <w:rsid w:val="00443680"/>
    <w:rsid w:val="00443A16"/>
    <w:rsid w:val="0044405D"/>
    <w:rsid w:val="00444A06"/>
    <w:rsid w:val="00444D91"/>
    <w:rsid w:val="004451BE"/>
    <w:rsid w:val="00445BD8"/>
    <w:rsid w:val="00445ED1"/>
    <w:rsid w:val="00446D4F"/>
    <w:rsid w:val="00447036"/>
    <w:rsid w:val="004477BB"/>
    <w:rsid w:val="00447987"/>
    <w:rsid w:val="00450306"/>
    <w:rsid w:val="004503D9"/>
    <w:rsid w:val="00450A1B"/>
    <w:rsid w:val="00450E9D"/>
    <w:rsid w:val="00450F56"/>
    <w:rsid w:val="00451480"/>
    <w:rsid w:val="004514D4"/>
    <w:rsid w:val="004516F6"/>
    <w:rsid w:val="00451A7E"/>
    <w:rsid w:val="00451BC1"/>
    <w:rsid w:val="00451D0D"/>
    <w:rsid w:val="00451FE3"/>
    <w:rsid w:val="00451FE7"/>
    <w:rsid w:val="0045203E"/>
    <w:rsid w:val="00452234"/>
    <w:rsid w:val="004522B1"/>
    <w:rsid w:val="004526AB"/>
    <w:rsid w:val="004528B5"/>
    <w:rsid w:val="00452A64"/>
    <w:rsid w:val="00452C1C"/>
    <w:rsid w:val="00453232"/>
    <w:rsid w:val="00453576"/>
    <w:rsid w:val="00453869"/>
    <w:rsid w:val="00453DB7"/>
    <w:rsid w:val="00453F7C"/>
    <w:rsid w:val="00454728"/>
    <w:rsid w:val="00454FD5"/>
    <w:rsid w:val="00455575"/>
    <w:rsid w:val="0045560A"/>
    <w:rsid w:val="004566AC"/>
    <w:rsid w:val="00456E00"/>
    <w:rsid w:val="004572BF"/>
    <w:rsid w:val="0045771C"/>
    <w:rsid w:val="00457B31"/>
    <w:rsid w:val="00457C28"/>
    <w:rsid w:val="00460D02"/>
    <w:rsid w:val="00460EB4"/>
    <w:rsid w:val="00461120"/>
    <w:rsid w:val="00461D6C"/>
    <w:rsid w:val="00461E2F"/>
    <w:rsid w:val="00462020"/>
    <w:rsid w:val="00462591"/>
    <w:rsid w:val="004626AB"/>
    <w:rsid w:val="00463339"/>
    <w:rsid w:val="0046361A"/>
    <w:rsid w:val="00463AB0"/>
    <w:rsid w:val="004640E6"/>
    <w:rsid w:val="00464123"/>
    <w:rsid w:val="00464206"/>
    <w:rsid w:val="00464417"/>
    <w:rsid w:val="00464752"/>
    <w:rsid w:val="004647DB"/>
    <w:rsid w:val="00464B08"/>
    <w:rsid w:val="00464C69"/>
    <w:rsid w:val="00464E1B"/>
    <w:rsid w:val="00465ED3"/>
    <w:rsid w:val="004661D2"/>
    <w:rsid w:val="00466436"/>
    <w:rsid w:val="004664FF"/>
    <w:rsid w:val="00466651"/>
    <w:rsid w:val="0046668E"/>
    <w:rsid w:val="004666C3"/>
    <w:rsid w:val="00466E72"/>
    <w:rsid w:val="0046745C"/>
    <w:rsid w:val="00467734"/>
    <w:rsid w:val="004678EC"/>
    <w:rsid w:val="00467F50"/>
    <w:rsid w:val="0047109B"/>
    <w:rsid w:val="00471425"/>
    <w:rsid w:val="00471823"/>
    <w:rsid w:val="00472BD2"/>
    <w:rsid w:val="00473083"/>
    <w:rsid w:val="00473479"/>
    <w:rsid w:val="0047356E"/>
    <w:rsid w:val="00473677"/>
    <w:rsid w:val="0047385B"/>
    <w:rsid w:val="00473A4E"/>
    <w:rsid w:val="0047463A"/>
    <w:rsid w:val="00474696"/>
    <w:rsid w:val="00474AE1"/>
    <w:rsid w:val="00474D97"/>
    <w:rsid w:val="004751F0"/>
    <w:rsid w:val="00475A7E"/>
    <w:rsid w:val="00475B57"/>
    <w:rsid w:val="00475F76"/>
    <w:rsid w:val="004760B1"/>
    <w:rsid w:val="00476134"/>
    <w:rsid w:val="0047622B"/>
    <w:rsid w:val="004762B4"/>
    <w:rsid w:val="004763E4"/>
    <w:rsid w:val="00476A85"/>
    <w:rsid w:val="0047711C"/>
    <w:rsid w:val="00477463"/>
    <w:rsid w:val="00477CAB"/>
    <w:rsid w:val="00477EC8"/>
    <w:rsid w:val="00480139"/>
    <w:rsid w:val="00480385"/>
    <w:rsid w:val="00480550"/>
    <w:rsid w:val="00480EB1"/>
    <w:rsid w:val="00480F12"/>
    <w:rsid w:val="004811F2"/>
    <w:rsid w:val="004815AB"/>
    <w:rsid w:val="00481932"/>
    <w:rsid w:val="00481959"/>
    <w:rsid w:val="00481ABF"/>
    <w:rsid w:val="00481BDF"/>
    <w:rsid w:val="00481F3E"/>
    <w:rsid w:val="00482395"/>
    <w:rsid w:val="004826D5"/>
    <w:rsid w:val="00482705"/>
    <w:rsid w:val="00482763"/>
    <w:rsid w:val="00482E2C"/>
    <w:rsid w:val="00482EC8"/>
    <w:rsid w:val="004833A7"/>
    <w:rsid w:val="00483911"/>
    <w:rsid w:val="00483D9B"/>
    <w:rsid w:val="004843BA"/>
    <w:rsid w:val="00484591"/>
    <w:rsid w:val="0048488D"/>
    <w:rsid w:val="004848D2"/>
    <w:rsid w:val="00484EA2"/>
    <w:rsid w:val="00485410"/>
    <w:rsid w:val="004855CF"/>
    <w:rsid w:val="0048562A"/>
    <w:rsid w:val="004858D2"/>
    <w:rsid w:val="00485D37"/>
    <w:rsid w:val="00485D95"/>
    <w:rsid w:val="00485F03"/>
    <w:rsid w:val="0048655E"/>
    <w:rsid w:val="00486595"/>
    <w:rsid w:val="004865A8"/>
    <w:rsid w:val="00486AEC"/>
    <w:rsid w:val="00486C40"/>
    <w:rsid w:val="004871CA"/>
    <w:rsid w:val="0048747B"/>
    <w:rsid w:val="004879D3"/>
    <w:rsid w:val="00487B30"/>
    <w:rsid w:val="004902F7"/>
    <w:rsid w:val="00490523"/>
    <w:rsid w:val="0049070A"/>
    <w:rsid w:val="004908F8"/>
    <w:rsid w:val="00490A9F"/>
    <w:rsid w:val="00490AE0"/>
    <w:rsid w:val="004917E3"/>
    <w:rsid w:val="004918BD"/>
    <w:rsid w:val="004919DE"/>
    <w:rsid w:val="00491F5F"/>
    <w:rsid w:val="00491F9A"/>
    <w:rsid w:val="0049200C"/>
    <w:rsid w:val="00492868"/>
    <w:rsid w:val="00492D8F"/>
    <w:rsid w:val="00492DBB"/>
    <w:rsid w:val="00492EC4"/>
    <w:rsid w:val="00493098"/>
    <w:rsid w:val="0049327B"/>
    <w:rsid w:val="0049340E"/>
    <w:rsid w:val="004936D2"/>
    <w:rsid w:val="00493907"/>
    <w:rsid w:val="00493C9A"/>
    <w:rsid w:val="00493E11"/>
    <w:rsid w:val="00493EA6"/>
    <w:rsid w:val="004942BD"/>
    <w:rsid w:val="00494423"/>
    <w:rsid w:val="00494AB2"/>
    <w:rsid w:val="0049501A"/>
    <w:rsid w:val="00495996"/>
    <w:rsid w:val="004966CB"/>
    <w:rsid w:val="004968C1"/>
    <w:rsid w:val="00496D5E"/>
    <w:rsid w:val="004971FB"/>
    <w:rsid w:val="00497587"/>
    <w:rsid w:val="004977BB"/>
    <w:rsid w:val="00497968"/>
    <w:rsid w:val="00497D5D"/>
    <w:rsid w:val="004A0202"/>
    <w:rsid w:val="004A0678"/>
    <w:rsid w:val="004A0695"/>
    <w:rsid w:val="004A06D5"/>
    <w:rsid w:val="004A0828"/>
    <w:rsid w:val="004A08F5"/>
    <w:rsid w:val="004A0D00"/>
    <w:rsid w:val="004A2713"/>
    <w:rsid w:val="004A2C0D"/>
    <w:rsid w:val="004A306F"/>
    <w:rsid w:val="004A30E9"/>
    <w:rsid w:val="004A34B0"/>
    <w:rsid w:val="004A3798"/>
    <w:rsid w:val="004A3CC7"/>
    <w:rsid w:val="004A4293"/>
    <w:rsid w:val="004A49F5"/>
    <w:rsid w:val="004A4E72"/>
    <w:rsid w:val="004A5168"/>
    <w:rsid w:val="004A5923"/>
    <w:rsid w:val="004A5A68"/>
    <w:rsid w:val="004A5C7B"/>
    <w:rsid w:val="004A5D87"/>
    <w:rsid w:val="004A63FC"/>
    <w:rsid w:val="004A689D"/>
    <w:rsid w:val="004A6DC3"/>
    <w:rsid w:val="004A70B7"/>
    <w:rsid w:val="004A71BD"/>
    <w:rsid w:val="004A7312"/>
    <w:rsid w:val="004A7BFC"/>
    <w:rsid w:val="004A7DBB"/>
    <w:rsid w:val="004B083E"/>
    <w:rsid w:val="004B0C39"/>
    <w:rsid w:val="004B0EC4"/>
    <w:rsid w:val="004B0FF2"/>
    <w:rsid w:val="004B17E6"/>
    <w:rsid w:val="004B23C8"/>
    <w:rsid w:val="004B24C7"/>
    <w:rsid w:val="004B268D"/>
    <w:rsid w:val="004B29CA"/>
    <w:rsid w:val="004B2D57"/>
    <w:rsid w:val="004B3287"/>
    <w:rsid w:val="004B32AD"/>
    <w:rsid w:val="004B3431"/>
    <w:rsid w:val="004B3771"/>
    <w:rsid w:val="004B3784"/>
    <w:rsid w:val="004B38C5"/>
    <w:rsid w:val="004B3A0E"/>
    <w:rsid w:val="004B46A4"/>
    <w:rsid w:val="004B4906"/>
    <w:rsid w:val="004B4C4E"/>
    <w:rsid w:val="004B4C76"/>
    <w:rsid w:val="004B4F95"/>
    <w:rsid w:val="004B5127"/>
    <w:rsid w:val="004B526C"/>
    <w:rsid w:val="004B53D3"/>
    <w:rsid w:val="004B544D"/>
    <w:rsid w:val="004B5932"/>
    <w:rsid w:val="004B59B6"/>
    <w:rsid w:val="004B627A"/>
    <w:rsid w:val="004B653D"/>
    <w:rsid w:val="004B65EB"/>
    <w:rsid w:val="004B6636"/>
    <w:rsid w:val="004B66D7"/>
    <w:rsid w:val="004B68B7"/>
    <w:rsid w:val="004B6B30"/>
    <w:rsid w:val="004B6B5A"/>
    <w:rsid w:val="004B70D1"/>
    <w:rsid w:val="004B7135"/>
    <w:rsid w:val="004B72E3"/>
    <w:rsid w:val="004B7437"/>
    <w:rsid w:val="004B77CD"/>
    <w:rsid w:val="004B7979"/>
    <w:rsid w:val="004C000D"/>
    <w:rsid w:val="004C03B8"/>
    <w:rsid w:val="004C03FC"/>
    <w:rsid w:val="004C0614"/>
    <w:rsid w:val="004C09AE"/>
    <w:rsid w:val="004C0A9A"/>
    <w:rsid w:val="004C0AE8"/>
    <w:rsid w:val="004C0C05"/>
    <w:rsid w:val="004C0C1B"/>
    <w:rsid w:val="004C1492"/>
    <w:rsid w:val="004C155E"/>
    <w:rsid w:val="004C16E4"/>
    <w:rsid w:val="004C170A"/>
    <w:rsid w:val="004C18EC"/>
    <w:rsid w:val="004C19C7"/>
    <w:rsid w:val="004C1B20"/>
    <w:rsid w:val="004C1C68"/>
    <w:rsid w:val="004C2406"/>
    <w:rsid w:val="004C2729"/>
    <w:rsid w:val="004C309B"/>
    <w:rsid w:val="004C3481"/>
    <w:rsid w:val="004C35A2"/>
    <w:rsid w:val="004C387D"/>
    <w:rsid w:val="004C3957"/>
    <w:rsid w:val="004C3993"/>
    <w:rsid w:val="004C3CDA"/>
    <w:rsid w:val="004C3D04"/>
    <w:rsid w:val="004C47AC"/>
    <w:rsid w:val="004C4F26"/>
    <w:rsid w:val="004C4FE6"/>
    <w:rsid w:val="004C51E1"/>
    <w:rsid w:val="004C559A"/>
    <w:rsid w:val="004C5777"/>
    <w:rsid w:val="004C5C5B"/>
    <w:rsid w:val="004C5E0B"/>
    <w:rsid w:val="004C5E52"/>
    <w:rsid w:val="004C5F3C"/>
    <w:rsid w:val="004C5F5F"/>
    <w:rsid w:val="004C5FB6"/>
    <w:rsid w:val="004C5FCC"/>
    <w:rsid w:val="004C6227"/>
    <w:rsid w:val="004C64C9"/>
    <w:rsid w:val="004C677D"/>
    <w:rsid w:val="004C6B8A"/>
    <w:rsid w:val="004C7003"/>
    <w:rsid w:val="004C79A5"/>
    <w:rsid w:val="004C7F7F"/>
    <w:rsid w:val="004D029C"/>
    <w:rsid w:val="004D036F"/>
    <w:rsid w:val="004D09A6"/>
    <w:rsid w:val="004D0A16"/>
    <w:rsid w:val="004D13B4"/>
    <w:rsid w:val="004D17A4"/>
    <w:rsid w:val="004D18C3"/>
    <w:rsid w:val="004D1D86"/>
    <w:rsid w:val="004D1EDE"/>
    <w:rsid w:val="004D1FAB"/>
    <w:rsid w:val="004D2283"/>
    <w:rsid w:val="004D23CD"/>
    <w:rsid w:val="004D2420"/>
    <w:rsid w:val="004D24CC"/>
    <w:rsid w:val="004D2AB4"/>
    <w:rsid w:val="004D3085"/>
    <w:rsid w:val="004D30BF"/>
    <w:rsid w:val="004D3227"/>
    <w:rsid w:val="004D37D3"/>
    <w:rsid w:val="004D37FB"/>
    <w:rsid w:val="004D3E2F"/>
    <w:rsid w:val="004D409D"/>
    <w:rsid w:val="004D435B"/>
    <w:rsid w:val="004D47DA"/>
    <w:rsid w:val="004D4831"/>
    <w:rsid w:val="004D4A0A"/>
    <w:rsid w:val="004D4C28"/>
    <w:rsid w:val="004D4CC4"/>
    <w:rsid w:val="004D5AA4"/>
    <w:rsid w:val="004D5B75"/>
    <w:rsid w:val="004D5CAB"/>
    <w:rsid w:val="004D5CDC"/>
    <w:rsid w:val="004D6435"/>
    <w:rsid w:val="004D69F3"/>
    <w:rsid w:val="004D6B69"/>
    <w:rsid w:val="004D6CF1"/>
    <w:rsid w:val="004D78AC"/>
    <w:rsid w:val="004E0314"/>
    <w:rsid w:val="004E051F"/>
    <w:rsid w:val="004E0744"/>
    <w:rsid w:val="004E084F"/>
    <w:rsid w:val="004E0A31"/>
    <w:rsid w:val="004E1E04"/>
    <w:rsid w:val="004E1FAE"/>
    <w:rsid w:val="004E26B3"/>
    <w:rsid w:val="004E2841"/>
    <w:rsid w:val="004E3318"/>
    <w:rsid w:val="004E360A"/>
    <w:rsid w:val="004E3629"/>
    <w:rsid w:val="004E3756"/>
    <w:rsid w:val="004E388A"/>
    <w:rsid w:val="004E38F3"/>
    <w:rsid w:val="004E3ADA"/>
    <w:rsid w:val="004E4162"/>
    <w:rsid w:val="004E4276"/>
    <w:rsid w:val="004E4362"/>
    <w:rsid w:val="004E43D3"/>
    <w:rsid w:val="004E44C4"/>
    <w:rsid w:val="004E480A"/>
    <w:rsid w:val="004E4F2E"/>
    <w:rsid w:val="004E5076"/>
    <w:rsid w:val="004E50FD"/>
    <w:rsid w:val="004E513E"/>
    <w:rsid w:val="004E5209"/>
    <w:rsid w:val="004E5291"/>
    <w:rsid w:val="004E565C"/>
    <w:rsid w:val="004E58A5"/>
    <w:rsid w:val="004E59F6"/>
    <w:rsid w:val="004E5FCE"/>
    <w:rsid w:val="004E6009"/>
    <w:rsid w:val="004E63B7"/>
    <w:rsid w:val="004E6493"/>
    <w:rsid w:val="004E6795"/>
    <w:rsid w:val="004E68AE"/>
    <w:rsid w:val="004E6ABA"/>
    <w:rsid w:val="004E6DD3"/>
    <w:rsid w:val="004E6DFD"/>
    <w:rsid w:val="004E76BC"/>
    <w:rsid w:val="004E7DE3"/>
    <w:rsid w:val="004E7E8D"/>
    <w:rsid w:val="004E7F2C"/>
    <w:rsid w:val="004F1403"/>
    <w:rsid w:val="004F2487"/>
    <w:rsid w:val="004F28E9"/>
    <w:rsid w:val="004F2BEC"/>
    <w:rsid w:val="004F2E49"/>
    <w:rsid w:val="004F2EB0"/>
    <w:rsid w:val="004F3D0E"/>
    <w:rsid w:val="004F41F6"/>
    <w:rsid w:val="004F46D8"/>
    <w:rsid w:val="004F4D1D"/>
    <w:rsid w:val="004F5137"/>
    <w:rsid w:val="004F552B"/>
    <w:rsid w:val="004F592D"/>
    <w:rsid w:val="004F5AF4"/>
    <w:rsid w:val="004F5B2C"/>
    <w:rsid w:val="004F5C69"/>
    <w:rsid w:val="004F5D4E"/>
    <w:rsid w:val="004F5D5A"/>
    <w:rsid w:val="004F5FCE"/>
    <w:rsid w:val="004F65C4"/>
    <w:rsid w:val="004F6975"/>
    <w:rsid w:val="004F6DEF"/>
    <w:rsid w:val="004F6F73"/>
    <w:rsid w:val="004F7473"/>
    <w:rsid w:val="004F7957"/>
    <w:rsid w:val="004F7A93"/>
    <w:rsid w:val="004F7DF5"/>
    <w:rsid w:val="004F7E5A"/>
    <w:rsid w:val="004F7F28"/>
    <w:rsid w:val="005007C4"/>
    <w:rsid w:val="00500CCB"/>
    <w:rsid w:val="0050123C"/>
    <w:rsid w:val="00501A49"/>
    <w:rsid w:val="00501B72"/>
    <w:rsid w:val="00501CC8"/>
    <w:rsid w:val="00502575"/>
    <w:rsid w:val="00502809"/>
    <w:rsid w:val="00502C1A"/>
    <w:rsid w:val="00502C9A"/>
    <w:rsid w:val="00502C9F"/>
    <w:rsid w:val="00503838"/>
    <w:rsid w:val="00503B7A"/>
    <w:rsid w:val="00503F0C"/>
    <w:rsid w:val="00504057"/>
    <w:rsid w:val="005042FE"/>
    <w:rsid w:val="00504797"/>
    <w:rsid w:val="005047BE"/>
    <w:rsid w:val="00504A4E"/>
    <w:rsid w:val="00505049"/>
    <w:rsid w:val="00505186"/>
    <w:rsid w:val="00505306"/>
    <w:rsid w:val="00505329"/>
    <w:rsid w:val="005054A1"/>
    <w:rsid w:val="005059E6"/>
    <w:rsid w:val="00505D4E"/>
    <w:rsid w:val="00505F06"/>
    <w:rsid w:val="005061D1"/>
    <w:rsid w:val="005063C0"/>
    <w:rsid w:val="00506452"/>
    <w:rsid w:val="00506C0E"/>
    <w:rsid w:val="0050705D"/>
    <w:rsid w:val="00507063"/>
    <w:rsid w:val="00507BCF"/>
    <w:rsid w:val="00507FEB"/>
    <w:rsid w:val="00510239"/>
    <w:rsid w:val="00510253"/>
    <w:rsid w:val="00510C59"/>
    <w:rsid w:val="00510D7C"/>
    <w:rsid w:val="00510F9A"/>
    <w:rsid w:val="00510FA3"/>
    <w:rsid w:val="00511867"/>
    <w:rsid w:val="00511A43"/>
    <w:rsid w:val="00511BA3"/>
    <w:rsid w:val="00512035"/>
    <w:rsid w:val="00512176"/>
    <w:rsid w:val="005123FB"/>
    <w:rsid w:val="005126DF"/>
    <w:rsid w:val="00512DDB"/>
    <w:rsid w:val="005130A6"/>
    <w:rsid w:val="00513148"/>
    <w:rsid w:val="0051390C"/>
    <w:rsid w:val="00513F17"/>
    <w:rsid w:val="00514263"/>
    <w:rsid w:val="00514443"/>
    <w:rsid w:val="00514454"/>
    <w:rsid w:val="00514F41"/>
    <w:rsid w:val="0051571A"/>
    <w:rsid w:val="00515863"/>
    <w:rsid w:val="00515B9D"/>
    <w:rsid w:val="00516211"/>
    <w:rsid w:val="00516238"/>
    <w:rsid w:val="00516283"/>
    <w:rsid w:val="005162A8"/>
    <w:rsid w:val="005165A4"/>
    <w:rsid w:val="005165EB"/>
    <w:rsid w:val="00516831"/>
    <w:rsid w:val="00516C7D"/>
    <w:rsid w:val="00516C81"/>
    <w:rsid w:val="00516EF1"/>
    <w:rsid w:val="0051744E"/>
    <w:rsid w:val="00517458"/>
    <w:rsid w:val="005174E4"/>
    <w:rsid w:val="0051764A"/>
    <w:rsid w:val="00517A12"/>
    <w:rsid w:val="00517D12"/>
    <w:rsid w:val="00517D71"/>
    <w:rsid w:val="00517DCD"/>
    <w:rsid w:val="00520087"/>
    <w:rsid w:val="005207A7"/>
    <w:rsid w:val="00520900"/>
    <w:rsid w:val="00520D8F"/>
    <w:rsid w:val="0052106C"/>
    <w:rsid w:val="00521348"/>
    <w:rsid w:val="00521710"/>
    <w:rsid w:val="00521870"/>
    <w:rsid w:val="00521A5C"/>
    <w:rsid w:val="00522018"/>
    <w:rsid w:val="00522779"/>
    <w:rsid w:val="00522C5A"/>
    <w:rsid w:val="00522CBF"/>
    <w:rsid w:val="00522E10"/>
    <w:rsid w:val="0052331B"/>
    <w:rsid w:val="0052333F"/>
    <w:rsid w:val="00523363"/>
    <w:rsid w:val="005235D7"/>
    <w:rsid w:val="005240C5"/>
    <w:rsid w:val="00524240"/>
    <w:rsid w:val="005249E8"/>
    <w:rsid w:val="00524DD8"/>
    <w:rsid w:val="005255AD"/>
    <w:rsid w:val="00525B4A"/>
    <w:rsid w:val="00525D3B"/>
    <w:rsid w:val="005263B6"/>
    <w:rsid w:val="00526840"/>
    <w:rsid w:val="00526A3B"/>
    <w:rsid w:val="00526A9C"/>
    <w:rsid w:val="005278CD"/>
    <w:rsid w:val="00530158"/>
    <w:rsid w:val="00530255"/>
    <w:rsid w:val="005308F8"/>
    <w:rsid w:val="00530D74"/>
    <w:rsid w:val="00530EDF"/>
    <w:rsid w:val="00530F95"/>
    <w:rsid w:val="00531267"/>
    <w:rsid w:val="00531D72"/>
    <w:rsid w:val="00532503"/>
    <w:rsid w:val="005326CD"/>
    <w:rsid w:val="00532C16"/>
    <w:rsid w:val="0053346D"/>
    <w:rsid w:val="005337B3"/>
    <w:rsid w:val="00533843"/>
    <w:rsid w:val="00533C04"/>
    <w:rsid w:val="005349A8"/>
    <w:rsid w:val="00534A97"/>
    <w:rsid w:val="0053516E"/>
    <w:rsid w:val="00535368"/>
    <w:rsid w:val="00535E2C"/>
    <w:rsid w:val="005362C2"/>
    <w:rsid w:val="00536696"/>
    <w:rsid w:val="005368A4"/>
    <w:rsid w:val="00537017"/>
    <w:rsid w:val="005370D4"/>
    <w:rsid w:val="005372F6"/>
    <w:rsid w:val="005375D6"/>
    <w:rsid w:val="005403FC"/>
    <w:rsid w:val="005405E0"/>
    <w:rsid w:val="00540742"/>
    <w:rsid w:val="00540C58"/>
    <w:rsid w:val="00540EAB"/>
    <w:rsid w:val="0054132A"/>
    <w:rsid w:val="005413ED"/>
    <w:rsid w:val="00541464"/>
    <w:rsid w:val="005416CD"/>
    <w:rsid w:val="00542CB6"/>
    <w:rsid w:val="00542D7C"/>
    <w:rsid w:val="00542E0E"/>
    <w:rsid w:val="00543244"/>
    <w:rsid w:val="00543412"/>
    <w:rsid w:val="00543589"/>
    <w:rsid w:val="0054373A"/>
    <w:rsid w:val="0054392C"/>
    <w:rsid w:val="00543A6D"/>
    <w:rsid w:val="00543B9A"/>
    <w:rsid w:val="00544033"/>
    <w:rsid w:val="005440BF"/>
    <w:rsid w:val="00544208"/>
    <w:rsid w:val="0054426E"/>
    <w:rsid w:val="00544509"/>
    <w:rsid w:val="005449FE"/>
    <w:rsid w:val="00544F1A"/>
    <w:rsid w:val="005451A3"/>
    <w:rsid w:val="0054539F"/>
    <w:rsid w:val="00545629"/>
    <w:rsid w:val="00545B11"/>
    <w:rsid w:val="00545BDD"/>
    <w:rsid w:val="00545F84"/>
    <w:rsid w:val="00546118"/>
    <w:rsid w:val="005464CA"/>
    <w:rsid w:val="00547616"/>
    <w:rsid w:val="0054777B"/>
    <w:rsid w:val="00547E93"/>
    <w:rsid w:val="00547F9D"/>
    <w:rsid w:val="005502C4"/>
    <w:rsid w:val="00550713"/>
    <w:rsid w:val="00550865"/>
    <w:rsid w:val="00550920"/>
    <w:rsid w:val="00550C13"/>
    <w:rsid w:val="00551208"/>
    <w:rsid w:val="00551A51"/>
    <w:rsid w:val="00551FDF"/>
    <w:rsid w:val="0055220D"/>
    <w:rsid w:val="00552B5B"/>
    <w:rsid w:val="00552DC1"/>
    <w:rsid w:val="0055308E"/>
    <w:rsid w:val="00553151"/>
    <w:rsid w:val="00553A26"/>
    <w:rsid w:val="0055418C"/>
    <w:rsid w:val="005543E5"/>
    <w:rsid w:val="00554451"/>
    <w:rsid w:val="00554535"/>
    <w:rsid w:val="005547A7"/>
    <w:rsid w:val="005549E8"/>
    <w:rsid w:val="00554BAD"/>
    <w:rsid w:val="00554BF2"/>
    <w:rsid w:val="00554E32"/>
    <w:rsid w:val="00555096"/>
    <w:rsid w:val="005552E4"/>
    <w:rsid w:val="00555C9A"/>
    <w:rsid w:val="00555DD3"/>
    <w:rsid w:val="00556A69"/>
    <w:rsid w:val="00556BDE"/>
    <w:rsid w:val="00556E91"/>
    <w:rsid w:val="0055739B"/>
    <w:rsid w:val="005577D5"/>
    <w:rsid w:val="00557B72"/>
    <w:rsid w:val="00557C52"/>
    <w:rsid w:val="00557F54"/>
    <w:rsid w:val="00560193"/>
    <w:rsid w:val="00560261"/>
    <w:rsid w:val="0056063E"/>
    <w:rsid w:val="00560C51"/>
    <w:rsid w:val="00560E79"/>
    <w:rsid w:val="005614D4"/>
    <w:rsid w:val="005616CF"/>
    <w:rsid w:val="00561904"/>
    <w:rsid w:val="00561E75"/>
    <w:rsid w:val="00561EDC"/>
    <w:rsid w:val="005628EA"/>
    <w:rsid w:val="00562C47"/>
    <w:rsid w:val="00562CF4"/>
    <w:rsid w:val="0056304C"/>
    <w:rsid w:val="005637A2"/>
    <w:rsid w:val="00563D22"/>
    <w:rsid w:val="00563DDC"/>
    <w:rsid w:val="00564236"/>
    <w:rsid w:val="005642C6"/>
    <w:rsid w:val="005644AA"/>
    <w:rsid w:val="0056455A"/>
    <w:rsid w:val="00564825"/>
    <w:rsid w:val="00564A66"/>
    <w:rsid w:val="00564C5B"/>
    <w:rsid w:val="00564CB9"/>
    <w:rsid w:val="00565145"/>
    <w:rsid w:val="0056575A"/>
    <w:rsid w:val="005659EA"/>
    <w:rsid w:val="00565AFF"/>
    <w:rsid w:val="00565E69"/>
    <w:rsid w:val="0056600C"/>
    <w:rsid w:val="0056609E"/>
    <w:rsid w:val="0056610E"/>
    <w:rsid w:val="005662CE"/>
    <w:rsid w:val="00566F66"/>
    <w:rsid w:val="005674D7"/>
    <w:rsid w:val="0056752A"/>
    <w:rsid w:val="00567840"/>
    <w:rsid w:val="00570E36"/>
    <w:rsid w:val="00571306"/>
    <w:rsid w:val="00571DEE"/>
    <w:rsid w:val="00571E75"/>
    <w:rsid w:val="00571F67"/>
    <w:rsid w:val="00572140"/>
    <w:rsid w:val="005725B4"/>
    <w:rsid w:val="00572989"/>
    <w:rsid w:val="00572D9A"/>
    <w:rsid w:val="00573084"/>
    <w:rsid w:val="0057371C"/>
    <w:rsid w:val="00573F07"/>
    <w:rsid w:val="00573F3E"/>
    <w:rsid w:val="00573F9C"/>
    <w:rsid w:val="00574040"/>
    <w:rsid w:val="005742AA"/>
    <w:rsid w:val="005743EC"/>
    <w:rsid w:val="005743F6"/>
    <w:rsid w:val="00574CA9"/>
    <w:rsid w:val="0057520C"/>
    <w:rsid w:val="00575B8E"/>
    <w:rsid w:val="00575C3F"/>
    <w:rsid w:val="00575CA0"/>
    <w:rsid w:val="00576554"/>
    <w:rsid w:val="005769E0"/>
    <w:rsid w:val="00576B06"/>
    <w:rsid w:val="00576D03"/>
    <w:rsid w:val="00577439"/>
    <w:rsid w:val="00577482"/>
    <w:rsid w:val="005775C0"/>
    <w:rsid w:val="0057791D"/>
    <w:rsid w:val="00577FDF"/>
    <w:rsid w:val="0058034B"/>
    <w:rsid w:val="00580509"/>
    <w:rsid w:val="005805A8"/>
    <w:rsid w:val="00580970"/>
    <w:rsid w:val="00580993"/>
    <w:rsid w:val="005809D5"/>
    <w:rsid w:val="00580AFF"/>
    <w:rsid w:val="00580C64"/>
    <w:rsid w:val="00580E73"/>
    <w:rsid w:val="00580F7F"/>
    <w:rsid w:val="00581082"/>
    <w:rsid w:val="00581ADE"/>
    <w:rsid w:val="00582620"/>
    <w:rsid w:val="0058264E"/>
    <w:rsid w:val="00582A5D"/>
    <w:rsid w:val="00582B79"/>
    <w:rsid w:val="00582C30"/>
    <w:rsid w:val="00582D07"/>
    <w:rsid w:val="00582E04"/>
    <w:rsid w:val="00584189"/>
    <w:rsid w:val="0058431E"/>
    <w:rsid w:val="00584551"/>
    <w:rsid w:val="00584CCA"/>
    <w:rsid w:val="0058552F"/>
    <w:rsid w:val="005856C1"/>
    <w:rsid w:val="00585A4C"/>
    <w:rsid w:val="00585BC1"/>
    <w:rsid w:val="00585DDB"/>
    <w:rsid w:val="005866C4"/>
    <w:rsid w:val="00586778"/>
    <w:rsid w:val="0058682F"/>
    <w:rsid w:val="00586A56"/>
    <w:rsid w:val="00586DE6"/>
    <w:rsid w:val="00586EC3"/>
    <w:rsid w:val="00586ECC"/>
    <w:rsid w:val="005870DA"/>
    <w:rsid w:val="00587951"/>
    <w:rsid w:val="00587C3E"/>
    <w:rsid w:val="00590155"/>
    <w:rsid w:val="00590188"/>
    <w:rsid w:val="00590689"/>
    <w:rsid w:val="00590DD6"/>
    <w:rsid w:val="005911AC"/>
    <w:rsid w:val="00591251"/>
    <w:rsid w:val="0059127E"/>
    <w:rsid w:val="005918DA"/>
    <w:rsid w:val="00591A0D"/>
    <w:rsid w:val="00592155"/>
    <w:rsid w:val="0059238E"/>
    <w:rsid w:val="005928D6"/>
    <w:rsid w:val="005930D9"/>
    <w:rsid w:val="00593234"/>
    <w:rsid w:val="00593411"/>
    <w:rsid w:val="0059356C"/>
    <w:rsid w:val="00593734"/>
    <w:rsid w:val="0059447B"/>
    <w:rsid w:val="0059487C"/>
    <w:rsid w:val="00594A5E"/>
    <w:rsid w:val="00594DB6"/>
    <w:rsid w:val="00594DD4"/>
    <w:rsid w:val="00594E46"/>
    <w:rsid w:val="00595034"/>
    <w:rsid w:val="005951B9"/>
    <w:rsid w:val="00595228"/>
    <w:rsid w:val="00595B15"/>
    <w:rsid w:val="00595D73"/>
    <w:rsid w:val="0059652F"/>
    <w:rsid w:val="00596C9B"/>
    <w:rsid w:val="00596E42"/>
    <w:rsid w:val="0059719E"/>
    <w:rsid w:val="0059778C"/>
    <w:rsid w:val="0059779B"/>
    <w:rsid w:val="00597C96"/>
    <w:rsid w:val="00597F24"/>
    <w:rsid w:val="00597F9C"/>
    <w:rsid w:val="005A01C1"/>
    <w:rsid w:val="005A0468"/>
    <w:rsid w:val="005A0F98"/>
    <w:rsid w:val="005A11E2"/>
    <w:rsid w:val="005A1429"/>
    <w:rsid w:val="005A14C4"/>
    <w:rsid w:val="005A1939"/>
    <w:rsid w:val="005A1BA3"/>
    <w:rsid w:val="005A217E"/>
    <w:rsid w:val="005A25E7"/>
    <w:rsid w:val="005A2C2E"/>
    <w:rsid w:val="005A3E76"/>
    <w:rsid w:val="005A4120"/>
    <w:rsid w:val="005A5865"/>
    <w:rsid w:val="005A5E51"/>
    <w:rsid w:val="005A610E"/>
    <w:rsid w:val="005A61EC"/>
    <w:rsid w:val="005A62DE"/>
    <w:rsid w:val="005A656B"/>
    <w:rsid w:val="005A6A88"/>
    <w:rsid w:val="005A7B1F"/>
    <w:rsid w:val="005A7CB1"/>
    <w:rsid w:val="005A7D0C"/>
    <w:rsid w:val="005A7F7F"/>
    <w:rsid w:val="005B0022"/>
    <w:rsid w:val="005B0081"/>
    <w:rsid w:val="005B009C"/>
    <w:rsid w:val="005B010D"/>
    <w:rsid w:val="005B06F0"/>
    <w:rsid w:val="005B159E"/>
    <w:rsid w:val="005B1A44"/>
    <w:rsid w:val="005B1ABD"/>
    <w:rsid w:val="005B1BA3"/>
    <w:rsid w:val="005B1EB6"/>
    <w:rsid w:val="005B20CE"/>
    <w:rsid w:val="005B22CE"/>
    <w:rsid w:val="005B28BE"/>
    <w:rsid w:val="005B2B3C"/>
    <w:rsid w:val="005B2F66"/>
    <w:rsid w:val="005B2FF6"/>
    <w:rsid w:val="005B3B5F"/>
    <w:rsid w:val="005B3C49"/>
    <w:rsid w:val="005B4555"/>
    <w:rsid w:val="005B4582"/>
    <w:rsid w:val="005B465D"/>
    <w:rsid w:val="005B4A98"/>
    <w:rsid w:val="005B515A"/>
    <w:rsid w:val="005B524D"/>
    <w:rsid w:val="005B52AF"/>
    <w:rsid w:val="005B532C"/>
    <w:rsid w:val="005B5743"/>
    <w:rsid w:val="005B5D0E"/>
    <w:rsid w:val="005B5DE4"/>
    <w:rsid w:val="005B6047"/>
    <w:rsid w:val="005B7412"/>
    <w:rsid w:val="005B7458"/>
    <w:rsid w:val="005B765B"/>
    <w:rsid w:val="005B79AA"/>
    <w:rsid w:val="005C0167"/>
    <w:rsid w:val="005C0384"/>
    <w:rsid w:val="005C03EA"/>
    <w:rsid w:val="005C0C6A"/>
    <w:rsid w:val="005C0D77"/>
    <w:rsid w:val="005C0E2C"/>
    <w:rsid w:val="005C1200"/>
    <w:rsid w:val="005C1997"/>
    <w:rsid w:val="005C1E44"/>
    <w:rsid w:val="005C2039"/>
    <w:rsid w:val="005C2157"/>
    <w:rsid w:val="005C23C2"/>
    <w:rsid w:val="005C24C2"/>
    <w:rsid w:val="005C273A"/>
    <w:rsid w:val="005C2EFE"/>
    <w:rsid w:val="005C3167"/>
    <w:rsid w:val="005C31F0"/>
    <w:rsid w:val="005C32C7"/>
    <w:rsid w:val="005C336E"/>
    <w:rsid w:val="005C40D1"/>
    <w:rsid w:val="005C45B4"/>
    <w:rsid w:val="005C4F48"/>
    <w:rsid w:val="005C4F69"/>
    <w:rsid w:val="005C564A"/>
    <w:rsid w:val="005C5DD5"/>
    <w:rsid w:val="005C6291"/>
    <w:rsid w:val="005C62C2"/>
    <w:rsid w:val="005C6564"/>
    <w:rsid w:val="005C6697"/>
    <w:rsid w:val="005C6830"/>
    <w:rsid w:val="005C6C85"/>
    <w:rsid w:val="005C73F8"/>
    <w:rsid w:val="005C7758"/>
    <w:rsid w:val="005C7E8A"/>
    <w:rsid w:val="005C7FB2"/>
    <w:rsid w:val="005D01FD"/>
    <w:rsid w:val="005D07A8"/>
    <w:rsid w:val="005D1405"/>
    <w:rsid w:val="005D1CFF"/>
    <w:rsid w:val="005D1F89"/>
    <w:rsid w:val="005D2417"/>
    <w:rsid w:val="005D251C"/>
    <w:rsid w:val="005D2936"/>
    <w:rsid w:val="005D2D39"/>
    <w:rsid w:val="005D2E60"/>
    <w:rsid w:val="005D3537"/>
    <w:rsid w:val="005D35F8"/>
    <w:rsid w:val="005D3DC4"/>
    <w:rsid w:val="005D3E7D"/>
    <w:rsid w:val="005D4170"/>
    <w:rsid w:val="005D4A7B"/>
    <w:rsid w:val="005D4D57"/>
    <w:rsid w:val="005D5965"/>
    <w:rsid w:val="005D5A71"/>
    <w:rsid w:val="005D5F51"/>
    <w:rsid w:val="005D606E"/>
    <w:rsid w:val="005D646B"/>
    <w:rsid w:val="005D66D9"/>
    <w:rsid w:val="005D6AD8"/>
    <w:rsid w:val="005D6B9C"/>
    <w:rsid w:val="005D6CB6"/>
    <w:rsid w:val="005D7241"/>
    <w:rsid w:val="005D72CE"/>
    <w:rsid w:val="005D730A"/>
    <w:rsid w:val="005D749E"/>
    <w:rsid w:val="005D7728"/>
    <w:rsid w:val="005D78D4"/>
    <w:rsid w:val="005D7D8E"/>
    <w:rsid w:val="005D7EDF"/>
    <w:rsid w:val="005DE13B"/>
    <w:rsid w:val="005E006A"/>
    <w:rsid w:val="005E0618"/>
    <w:rsid w:val="005E098D"/>
    <w:rsid w:val="005E0B62"/>
    <w:rsid w:val="005E0C39"/>
    <w:rsid w:val="005E0F10"/>
    <w:rsid w:val="005E104A"/>
    <w:rsid w:val="005E1998"/>
    <w:rsid w:val="005E1CAC"/>
    <w:rsid w:val="005E1D11"/>
    <w:rsid w:val="005E25BA"/>
    <w:rsid w:val="005E2854"/>
    <w:rsid w:val="005E28A3"/>
    <w:rsid w:val="005E2FA5"/>
    <w:rsid w:val="005E305A"/>
    <w:rsid w:val="005E314A"/>
    <w:rsid w:val="005E38DE"/>
    <w:rsid w:val="005E3F59"/>
    <w:rsid w:val="005E45FE"/>
    <w:rsid w:val="005E4A0D"/>
    <w:rsid w:val="005E4D59"/>
    <w:rsid w:val="005E4F59"/>
    <w:rsid w:val="005E527B"/>
    <w:rsid w:val="005E57DF"/>
    <w:rsid w:val="005E5C41"/>
    <w:rsid w:val="005E6739"/>
    <w:rsid w:val="005E68E9"/>
    <w:rsid w:val="005E6BA9"/>
    <w:rsid w:val="005E6F9F"/>
    <w:rsid w:val="005E7129"/>
    <w:rsid w:val="005E7AD8"/>
    <w:rsid w:val="005F028A"/>
    <w:rsid w:val="005F06B2"/>
    <w:rsid w:val="005F06B9"/>
    <w:rsid w:val="005F0A05"/>
    <w:rsid w:val="005F0B9C"/>
    <w:rsid w:val="005F0CFF"/>
    <w:rsid w:val="005F1155"/>
    <w:rsid w:val="005F151B"/>
    <w:rsid w:val="005F1645"/>
    <w:rsid w:val="005F16A5"/>
    <w:rsid w:val="005F19EB"/>
    <w:rsid w:val="005F1EB2"/>
    <w:rsid w:val="005F26CC"/>
    <w:rsid w:val="005F281F"/>
    <w:rsid w:val="005F2A19"/>
    <w:rsid w:val="005F2AA5"/>
    <w:rsid w:val="005F2AA8"/>
    <w:rsid w:val="005F2B11"/>
    <w:rsid w:val="005F2F87"/>
    <w:rsid w:val="005F37E7"/>
    <w:rsid w:val="005F3DDA"/>
    <w:rsid w:val="005F446C"/>
    <w:rsid w:val="005F48AE"/>
    <w:rsid w:val="005F4F32"/>
    <w:rsid w:val="005F5437"/>
    <w:rsid w:val="005F5DC3"/>
    <w:rsid w:val="005F61A6"/>
    <w:rsid w:val="005F6328"/>
    <w:rsid w:val="005F66BF"/>
    <w:rsid w:val="005F6F09"/>
    <w:rsid w:val="005F7015"/>
    <w:rsid w:val="005F716F"/>
    <w:rsid w:val="005F72ED"/>
    <w:rsid w:val="005F7C29"/>
    <w:rsid w:val="005F7FB3"/>
    <w:rsid w:val="0060002C"/>
    <w:rsid w:val="006001A0"/>
    <w:rsid w:val="006001FB"/>
    <w:rsid w:val="006002D3"/>
    <w:rsid w:val="00600306"/>
    <w:rsid w:val="0060058B"/>
    <w:rsid w:val="006008BF"/>
    <w:rsid w:val="00600D04"/>
    <w:rsid w:val="00600E4F"/>
    <w:rsid w:val="006018F6"/>
    <w:rsid w:val="006019D8"/>
    <w:rsid w:val="006025BF"/>
    <w:rsid w:val="0060266D"/>
    <w:rsid w:val="00602DBD"/>
    <w:rsid w:val="00603643"/>
    <w:rsid w:val="00603A60"/>
    <w:rsid w:val="00603C3C"/>
    <w:rsid w:val="00603D43"/>
    <w:rsid w:val="00603E62"/>
    <w:rsid w:val="0060441D"/>
    <w:rsid w:val="0060443F"/>
    <w:rsid w:val="00604DF4"/>
    <w:rsid w:val="00605031"/>
    <w:rsid w:val="0060588A"/>
    <w:rsid w:val="00605A11"/>
    <w:rsid w:val="00605AAA"/>
    <w:rsid w:val="00605C22"/>
    <w:rsid w:val="00605CE6"/>
    <w:rsid w:val="00605E5C"/>
    <w:rsid w:val="00605EFC"/>
    <w:rsid w:val="006064C9"/>
    <w:rsid w:val="006067E3"/>
    <w:rsid w:val="00606896"/>
    <w:rsid w:val="006069FC"/>
    <w:rsid w:val="00606B97"/>
    <w:rsid w:val="00606D07"/>
    <w:rsid w:val="006070D1"/>
    <w:rsid w:val="006076FE"/>
    <w:rsid w:val="006078EA"/>
    <w:rsid w:val="006079CF"/>
    <w:rsid w:val="00610039"/>
    <w:rsid w:val="0061049D"/>
    <w:rsid w:val="006106B5"/>
    <w:rsid w:val="006109F3"/>
    <w:rsid w:val="00610D0B"/>
    <w:rsid w:val="00610D29"/>
    <w:rsid w:val="006118C1"/>
    <w:rsid w:val="00611CA1"/>
    <w:rsid w:val="006120C3"/>
    <w:rsid w:val="00612818"/>
    <w:rsid w:val="00612969"/>
    <w:rsid w:val="00612A1E"/>
    <w:rsid w:val="00612B9D"/>
    <w:rsid w:val="0061313F"/>
    <w:rsid w:val="00613305"/>
    <w:rsid w:val="00613488"/>
    <w:rsid w:val="00613941"/>
    <w:rsid w:val="00613F83"/>
    <w:rsid w:val="006140CB"/>
    <w:rsid w:val="00614165"/>
    <w:rsid w:val="0061426C"/>
    <w:rsid w:val="00614616"/>
    <w:rsid w:val="006147BC"/>
    <w:rsid w:val="00614907"/>
    <w:rsid w:val="00614F9E"/>
    <w:rsid w:val="00615039"/>
    <w:rsid w:val="00615064"/>
    <w:rsid w:val="006157F4"/>
    <w:rsid w:val="00615803"/>
    <w:rsid w:val="00615B16"/>
    <w:rsid w:val="00615C74"/>
    <w:rsid w:val="0061639A"/>
    <w:rsid w:val="00616DFA"/>
    <w:rsid w:val="0061753E"/>
    <w:rsid w:val="0061760D"/>
    <w:rsid w:val="00617864"/>
    <w:rsid w:val="00620091"/>
    <w:rsid w:val="006201F2"/>
    <w:rsid w:val="006204EA"/>
    <w:rsid w:val="0062062C"/>
    <w:rsid w:val="00620930"/>
    <w:rsid w:val="00620BAF"/>
    <w:rsid w:val="00620BB5"/>
    <w:rsid w:val="00620C43"/>
    <w:rsid w:val="00620ED7"/>
    <w:rsid w:val="00621186"/>
    <w:rsid w:val="00621982"/>
    <w:rsid w:val="00621AE4"/>
    <w:rsid w:val="00621C32"/>
    <w:rsid w:val="0062220C"/>
    <w:rsid w:val="006222D0"/>
    <w:rsid w:val="006228B5"/>
    <w:rsid w:val="00622A9E"/>
    <w:rsid w:val="00622C03"/>
    <w:rsid w:val="00622E6F"/>
    <w:rsid w:val="006231E0"/>
    <w:rsid w:val="006234D7"/>
    <w:rsid w:val="00623CA6"/>
    <w:rsid w:val="00623F6E"/>
    <w:rsid w:val="006241DC"/>
    <w:rsid w:val="00624212"/>
    <w:rsid w:val="006243A5"/>
    <w:rsid w:val="006246FD"/>
    <w:rsid w:val="0062481C"/>
    <w:rsid w:val="00624FB1"/>
    <w:rsid w:val="00624FCC"/>
    <w:rsid w:val="00624FFF"/>
    <w:rsid w:val="0062527C"/>
    <w:rsid w:val="00625364"/>
    <w:rsid w:val="00625704"/>
    <w:rsid w:val="00625790"/>
    <w:rsid w:val="00625819"/>
    <w:rsid w:val="00625CCE"/>
    <w:rsid w:val="006269B4"/>
    <w:rsid w:val="00626A7B"/>
    <w:rsid w:val="00626B37"/>
    <w:rsid w:val="00626C07"/>
    <w:rsid w:val="00626F35"/>
    <w:rsid w:val="006271FD"/>
    <w:rsid w:val="00627AA1"/>
    <w:rsid w:val="00627C52"/>
    <w:rsid w:val="00627F5E"/>
    <w:rsid w:val="006305D0"/>
    <w:rsid w:val="00630AB7"/>
    <w:rsid w:val="00630C24"/>
    <w:rsid w:val="00630C2D"/>
    <w:rsid w:val="00630D2C"/>
    <w:rsid w:val="00630FAC"/>
    <w:rsid w:val="006311A6"/>
    <w:rsid w:val="00631335"/>
    <w:rsid w:val="00631428"/>
    <w:rsid w:val="0063156F"/>
    <w:rsid w:val="006316E9"/>
    <w:rsid w:val="006318A8"/>
    <w:rsid w:val="00631DEF"/>
    <w:rsid w:val="00632402"/>
    <w:rsid w:val="0063259C"/>
    <w:rsid w:val="006326AE"/>
    <w:rsid w:val="00633118"/>
    <w:rsid w:val="0063346A"/>
    <w:rsid w:val="006337D7"/>
    <w:rsid w:val="006338E0"/>
    <w:rsid w:val="00633B08"/>
    <w:rsid w:val="00633BB8"/>
    <w:rsid w:val="00633F0A"/>
    <w:rsid w:val="006345E1"/>
    <w:rsid w:val="00634A17"/>
    <w:rsid w:val="00634B3C"/>
    <w:rsid w:val="00634EF2"/>
    <w:rsid w:val="006357D5"/>
    <w:rsid w:val="00635886"/>
    <w:rsid w:val="006369F5"/>
    <w:rsid w:val="00636C65"/>
    <w:rsid w:val="0063710B"/>
    <w:rsid w:val="00637306"/>
    <w:rsid w:val="00637466"/>
    <w:rsid w:val="00637533"/>
    <w:rsid w:val="00637908"/>
    <w:rsid w:val="006379C8"/>
    <w:rsid w:val="006379F7"/>
    <w:rsid w:val="00637B10"/>
    <w:rsid w:val="00640707"/>
    <w:rsid w:val="00640992"/>
    <w:rsid w:val="00640D98"/>
    <w:rsid w:val="00640F6A"/>
    <w:rsid w:val="0064113B"/>
    <w:rsid w:val="00641436"/>
    <w:rsid w:val="006415E4"/>
    <w:rsid w:val="006418A2"/>
    <w:rsid w:val="0064195C"/>
    <w:rsid w:val="006419E5"/>
    <w:rsid w:val="00642BC2"/>
    <w:rsid w:val="00642C3B"/>
    <w:rsid w:val="006435EF"/>
    <w:rsid w:val="00643935"/>
    <w:rsid w:val="00643F42"/>
    <w:rsid w:val="0064400D"/>
    <w:rsid w:val="006441A5"/>
    <w:rsid w:val="006449D0"/>
    <w:rsid w:val="00644B0F"/>
    <w:rsid w:val="00644C63"/>
    <w:rsid w:val="00644D12"/>
    <w:rsid w:val="00644DC9"/>
    <w:rsid w:val="00644FBF"/>
    <w:rsid w:val="006452E6"/>
    <w:rsid w:val="00645548"/>
    <w:rsid w:val="00646E8A"/>
    <w:rsid w:val="00647049"/>
    <w:rsid w:val="0064727A"/>
    <w:rsid w:val="006473C1"/>
    <w:rsid w:val="006474EC"/>
    <w:rsid w:val="00647536"/>
    <w:rsid w:val="006475FC"/>
    <w:rsid w:val="0064796D"/>
    <w:rsid w:val="00647AF8"/>
    <w:rsid w:val="00647C99"/>
    <w:rsid w:val="00650216"/>
    <w:rsid w:val="006505AD"/>
    <w:rsid w:val="006507BF"/>
    <w:rsid w:val="006508B3"/>
    <w:rsid w:val="00650F95"/>
    <w:rsid w:val="00650FE1"/>
    <w:rsid w:val="00651160"/>
    <w:rsid w:val="0065121F"/>
    <w:rsid w:val="0065170A"/>
    <w:rsid w:val="00652557"/>
    <w:rsid w:val="006527D7"/>
    <w:rsid w:val="00652BC3"/>
    <w:rsid w:val="00652C16"/>
    <w:rsid w:val="00652F17"/>
    <w:rsid w:val="00653308"/>
    <w:rsid w:val="00653856"/>
    <w:rsid w:val="00653887"/>
    <w:rsid w:val="006539AF"/>
    <w:rsid w:val="00653CAB"/>
    <w:rsid w:val="00654837"/>
    <w:rsid w:val="00654E5D"/>
    <w:rsid w:val="006554ED"/>
    <w:rsid w:val="006556A1"/>
    <w:rsid w:val="00656320"/>
    <w:rsid w:val="0065634F"/>
    <w:rsid w:val="00656E43"/>
    <w:rsid w:val="00656F04"/>
    <w:rsid w:val="006575F2"/>
    <w:rsid w:val="00657619"/>
    <w:rsid w:val="006576A4"/>
    <w:rsid w:val="00657D64"/>
    <w:rsid w:val="00657E07"/>
    <w:rsid w:val="00660ADE"/>
    <w:rsid w:val="00660E84"/>
    <w:rsid w:val="006610C4"/>
    <w:rsid w:val="006615F0"/>
    <w:rsid w:val="00661B11"/>
    <w:rsid w:val="00661F9D"/>
    <w:rsid w:val="006620B6"/>
    <w:rsid w:val="006625C4"/>
    <w:rsid w:val="006627F7"/>
    <w:rsid w:val="00662A0D"/>
    <w:rsid w:val="00662AD2"/>
    <w:rsid w:val="0066432E"/>
    <w:rsid w:val="006644BE"/>
    <w:rsid w:val="006644CA"/>
    <w:rsid w:val="0066469B"/>
    <w:rsid w:val="006648A7"/>
    <w:rsid w:val="00664A56"/>
    <w:rsid w:val="00664EAD"/>
    <w:rsid w:val="006657C7"/>
    <w:rsid w:val="00665AD7"/>
    <w:rsid w:val="00665EF6"/>
    <w:rsid w:val="00666126"/>
    <w:rsid w:val="00666AF6"/>
    <w:rsid w:val="00666BDB"/>
    <w:rsid w:val="00667171"/>
    <w:rsid w:val="006677D5"/>
    <w:rsid w:val="00667E98"/>
    <w:rsid w:val="00670371"/>
    <w:rsid w:val="0067056E"/>
    <w:rsid w:val="00670A34"/>
    <w:rsid w:val="00670A4B"/>
    <w:rsid w:val="00670CD6"/>
    <w:rsid w:val="0067126A"/>
    <w:rsid w:val="00671822"/>
    <w:rsid w:val="006718C5"/>
    <w:rsid w:val="006720CB"/>
    <w:rsid w:val="006723FA"/>
    <w:rsid w:val="00672A82"/>
    <w:rsid w:val="00672FBF"/>
    <w:rsid w:val="0067338B"/>
    <w:rsid w:val="0067342B"/>
    <w:rsid w:val="00673491"/>
    <w:rsid w:val="00673D5B"/>
    <w:rsid w:val="00673E79"/>
    <w:rsid w:val="00673F84"/>
    <w:rsid w:val="00673FAE"/>
    <w:rsid w:val="006740C3"/>
    <w:rsid w:val="00674231"/>
    <w:rsid w:val="006749C6"/>
    <w:rsid w:val="00674C57"/>
    <w:rsid w:val="00674CB4"/>
    <w:rsid w:val="00674D21"/>
    <w:rsid w:val="00674D5E"/>
    <w:rsid w:val="006753AB"/>
    <w:rsid w:val="006753E9"/>
    <w:rsid w:val="006754BA"/>
    <w:rsid w:val="0067579C"/>
    <w:rsid w:val="00675BD5"/>
    <w:rsid w:val="00675DAE"/>
    <w:rsid w:val="00675F75"/>
    <w:rsid w:val="00676038"/>
    <w:rsid w:val="00676202"/>
    <w:rsid w:val="00676A9E"/>
    <w:rsid w:val="00676D46"/>
    <w:rsid w:val="006772DD"/>
    <w:rsid w:val="00677B92"/>
    <w:rsid w:val="00677EE6"/>
    <w:rsid w:val="0068007A"/>
    <w:rsid w:val="00680176"/>
    <w:rsid w:val="006801B7"/>
    <w:rsid w:val="006801FF"/>
    <w:rsid w:val="0068024B"/>
    <w:rsid w:val="00680469"/>
    <w:rsid w:val="0068077E"/>
    <w:rsid w:val="00681335"/>
    <w:rsid w:val="00681472"/>
    <w:rsid w:val="00681634"/>
    <w:rsid w:val="0068166D"/>
    <w:rsid w:val="00681C3F"/>
    <w:rsid w:val="006824C1"/>
    <w:rsid w:val="006827DE"/>
    <w:rsid w:val="00682C24"/>
    <w:rsid w:val="006830B8"/>
    <w:rsid w:val="0068333A"/>
    <w:rsid w:val="00683DBD"/>
    <w:rsid w:val="00684775"/>
    <w:rsid w:val="00684ACB"/>
    <w:rsid w:val="00685078"/>
    <w:rsid w:val="0068521C"/>
    <w:rsid w:val="00685520"/>
    <w:rsid w:val="006857F0"/>
    <w:rsid w:val="006858D0"/>
    <w:rsid w:val="00685A07"/>
    <w:rsid w:val="00685A33"/>
    <w:rsid w:val="00685A7E"/>
    <w:rsid w:val="00685BEA"/>
    <w:rsid w:val="006864C9"/>
    <w:rsid w:val="006865C1"/>
    <w:rsid w:val="00686A81"/>
    <w:rsid w:val="00686C7E"/>
    <w:rsid w:val="00686FBF"/>
    <w:rsid w:val="0068762E"/>
    <w:rsid w:val="00687691"/>
    <w:rsid w:val="00687F9B"/>
    <w:rsid w:val="00690268"/>
    <w:rsid w:val="0069081A"/>
    <w:rsid w:val="006911AB"/>
    <w:rsid w:val="00691B1D"/>
    <w:rsid w:val="006921FF"/>
    <w:rsid w:val="0069240E"/>
    <w:rsid w:val="00692A01"/>
    <w:rsid w:val="00692AF7"/>
    <w:rsid w:val="00692EA5"/>
    <w:rsid w:val="0069303F"/>
    <w:rsid w:val="0069337C"/>
    <w:rsid w:val="006946FA"/>
    <w:rsid w:val="006947F2"/>
    <w:rsid w:val="006948C7"/>
    <w:rsid w:val="00694BD5"/>
    <w:rsid w:val="00694C19"/>
    <w:rsid w:val="00694E1B"/>
    <w:rsid w:val="0069517A"/>
    <w:rsid w:val="00695517"/>
    <w:rsid w:val="00695754"/>
    <w:rsid w:val="006958BB"/>
    <w:rsid w:val="00695C7F"/>
    <w:rsid w:val="00696038"/>
    <w:rsid w:val="00696050"/>
    <w:rsid w:val="00696793"/>
    <w:rsid w:val="006967FD"/>
    <w:rsid w:val="00696C5A"/>
    <w:rsid w:val="006971F3"/>
    <w:rsid w:val="006974A8"/>
    <w:rsid w:val="00697B5A"/>
    <w:rsid w:val="00697EDB"/>
    <w:rsid w:val="00697FD5"/>
    <w:rsid w:val="006A0422"/>
    <w:rsid w:val="006A04DF"/>
    <w:rsid w:val="006A1089"/>
    <w:rsid w:val="006A110E"/>
    <w:rsid w:val="006A1534"/>
    <w:rsid w:val="006A155E"/>
    <w:rsid w:val="006A17C0"/>
    <w:rsid w:val="006A19AD"/>
    <w:rsid w:val="006A1DB4"/>
    <w:rsid w:val="006A1F32"/>
    <w:rsid w:val="006A23B7"/>
    <w:rsid w:val="006A2587"/>
    <w:rsid w:val="006A27B2"/>
    <w:rsid w:val="006A2842"/>
    <w:rsid w:val="006A2AE9"/>
    <w:rsid w:val="006A31BF"/>
    <w:rsid w:val="006A3545"/>
    <w:rsid w:val="006A3567"/>
    <w:rsid w:val="006A35EB"/>
    <w:rsid w:val="006A371E"/>
    <w:rsid w:val="006A3D27"/>
    <w:rsid w:val="006A44A7"/>
    <w:rsid w:val="006A44D8"/>
    <w:rsid w:val="006A4719"/>
    <w:rsid w:val="006A4AB1"/>
    <w:rsid w:val="006A51A1"/>
    <w:rsid w:val="006A54A7"/>
    <w:rsid w:val="006A54CA"/>
    <w:rsid w:val="006A557F"/>
    <w:rsid w:val="006A59ED"/>
    <w:rsid w:val="006A5D41"/>
    <w:rsid w:val="006A5DFD"/>
    <w:rsid w:val="006A5F21"/>
    <w:rsid w:val="006A6695"/>
    <w:rsid w:val="006A6697"/>
    <w:rsid w:val="006A6C24"/>
    <w:rsid w:val="006A716A"/>
    <w:rsid w:val="006A7268"/>
    <w:rsid w:val="006B0088"/>
    <w:rsid w:val="006B032E"/>
    <w:rsid w:val="006B04DE"/>
    <w:rsid w:val="006B04EE"/>
    <w:rsid w:val="006B0A79"/>
    <w:rsid w:val="006B1850"/>
    <w:rsid w:val="006B188D"/>
    <w:rsid w:val="006B1905"/>
    <w:rsid w:val="006B191A"/>
    <w:rsid w:val="006B1AC2"/>
    <w:rsid w:val="006B1AFB"/>
    <w:rsid w:val="006B1CEE"/>
    <w:rsid w:val="006B1EEB"/>
    <w:rsid w:val="006B2599"/>
    <w:rsid w:val="006B2877"/>
    <w:rsid w:val="006B291D"/>
    <w:rsid w:val="006B2C7B"/>
    <w:rsid w:val="006B2F1C"/>
    <w:rsid w:val="006B2F1E"/>
    <w:rsid w:val="006B2F5C"/>
    <w:rsid w:val="006B368E"/>
    <w:rsid w:val="006B36C6"/>
    <w:rsid w:val="006B3972"/>
    <w:rsid w:val="006B3AC5"/>
    <w:rsid w:val="006B4117"/>
    <w:rsid w:val="006B436C"/>
    <w:rsid w:val="006B44C8"/>
    <w:rsid w:val="006B4581"/>
    <w:rsid w:val="006B46B8"/>
    <w:rsid w:val="006B4E35"/>
    <w:rsid w:val="006B5021"/>
    <w:rsid w:val="006B50D7"/>
    <w:rsid w:val="006B530E"/>
    <w:rsid w:val="006B57E3"/>
    <w:rsid w:val="006B5826"/>
    <w:rsid w:val="006B59E5"/>
    <w:rsid w:val="006B5C80"/>
    <w:rsid w:val="006B5CCE"/>
    <w:rsid w:val="006B62CB"/>
    <w:rsid w:val="006B6F3F"/>
    <w:rsid w:val="006B7293"/>
    <w:rsid w:val="006B731C"/>
    <w:rsid w:val="006B76B0"/>
    <w:rsid w:val="006B7C8E"/>
    <w:rsid w:val="006C006C"/>
    <w:rsid w:val="006C03D5"/>
    <w:rsid w:val="006C051E"/>
    <w:rsid w:val="006C160A"/>
    <w:rsid w:val="006C18E6"/>
    <w:rsid w:val="006C19A4"/>
    <w:rsid w:val="006C1B94"/>
    <w:rsid w:val="006C1FB4"/>
    <w:rsid w:val="006C2016"/>
    <w:rsid w:val="006C21B5"/>
    <w:rsid w:val="006C2317"/>
    <w:rsid w:val="006C2826"/>
    <w:rsid w:val="006C285F"/>
    <w:rsid w:val="006C29C0"/>
    <w:rsid w:val="006C2ACF"/>
    <w:rsid w:val="006C2B2A"/>
    <w:rsid w:val="006C31DE"/>
    <w:rsid w:val="006C3659"/>
    <w:rsid w:val="006C36B8"/>
    <w:rsid w:val="006C3A0E"/>
    <w:rsid w:val="006C42B2"/>
    <w:rsid w:val="006C4780"/>
    <w:rsid w:val="006C4A2B"/>
    <w:rsid w:val="006C4DFD"/>
    <w:rsid w:val="006C4E3D"/>
    <w:rsid w:val="006C4E4F"/>
    <w:rsid w:val="006C4F38"/>
    <w:rsid w:val="006C5043"/>
    <w:rsid w:val="006C529C"/>
    <w:rsid w:val="006C5688"/>
    <w:rsid w:val="006C5A90"/>
    <w:rsid w:val="006C5BC5"/>
    <w:rsid w:val="006C60B3"/>
    <w:rsid w:val="006C6438"/>
    <w:rsid w:val="006C6F17"/>
    <w:rsid w:val="006C700F"/>
    <w:rsid w:val="006C71A5"/>
    <w:rsid w:val="006C71AA"/>
    <w:rsid w:val="006C7C0D"/>
    <w:rsid w:val="006D0088"/>
    <w:rsid w:val="006D03D6"/>
    <w:rsid w:val="006D04DD"/>
    <w:rsid w:val="006D0874"/>
    <w:rsid w:val="006D098C"/>
    <w:rsid w:val="006D23C7"/>
    <w:rsid w:val="006D2AF0"/>
    <w:rsid w:val="006D2B57"/>
    <w:rsid w:val="006D2C86"/>
    <w:rsid w:val="006D3069"/>
    <w:rsid w:val="006D3375"/>
    <w:rsid w:val="006D3DD6"/>
    <w:rsid w:val="006D4403"/>
    <w:rsid w:val="006D452F"/>
    <w:rsid w:val="006D45AD"/>
    <w:rsid w:val="006D4927"/>
    <w:rsid w:val="006D4A17"/>
    <w:rsid w:val="006D4C14"/>
    <w:rsid w:val="006D506E"/>
    <w:rsid w:val="006D5AED"/>
    <w:rsid w:val="006D5D10"/>
    <w:rsid w:val="006D6111"/>
    <w:rsid w:val="006D628A"/>
    <w:rsid w:val="006D636E"/>
    <w:rsid w:val="006D6700"/>
    <w:rsid w:val="006D6F26"/>
    <w:rsid w:val="006D7065"/>
    <w:rsid w:val="006D73BE"/>
    <w:rsid w:val="006D7551"/>
    <w:rsid w:val="006E0170"/>
    <w:rsid w:val="006E01EF"/>
    <w:rsid w:val="006E034D"/>
    <w:rsid w:val="006E0F60"/>
    <w:rsid w:val="006E1208"/>
    <w:rsid w:val="006E1279"/>
    <w:rsid w:val="006E1306"/>
    <w:rsid w:val="006E1982"/>
    <w:rsid w:val="006E19B3"/>
    <w:rsid w:val="006E205A"/>
    <w:rsid w:val="006E22AD"/>
    <w:rsid w:val="006E26D7"/>
    <w:rsid w:val="006E2918"/>
    <w:rsid w:val="006E329D"/>
    <w:rsid w:val="006E371C"/>
    <w:rsid w:val="006E371F"/>
    <w:rsid w:val="006E3BA2"/>
    <w:rsid w:val="006E3C26"/>
    <w:rsid w:val="006E3F19"/>
    <w:rsid w:val="006E4603"/>
    <w:rsid w:val="006E460A"/>
    <w:rsid w:val="006E46CE"/>
    <w:rsid w:val="006E4C31"/>
    <w:rsid w:val="006E4C7D"/>
    <w:rsid w:val="006E4D0D"/>
    <w:rsid w:val="006E5094"/>
    <w:rsid w:val="006E5525"/>
    <w:rsid w:val="006E587F"/>
    <w:rsid w:val="006E6666"/>
    <w:rsid w:val="006E69F9"/>
    <w:rsid w:val="006E6B05"/>
    <w:rsid w:val="006E7049"/>
    <w:rsid w:val="006E712F"/>
    <w:rsid w:val="006E71A1"/>
    <w:rsid w:val="006E76D3"/>
    <w:rsid w:val="006E7B8D"/>
    <w:rsid w:val="006F033D"/>
    <w:rsid w:val="006F03B6"/>
    <w:rsid w:val="006F0986"/>
    <w:rsid w:val="006F0A9B"/>
    <w:rsid w:val="006F0FC9"/>
    <w:rsid w:val="006F1104"/>
    <w:rsid w:val="006F1308"/>
    <w:rsid w:val="006F16F2"/>
    <w:rsid w:val="006F195F"/>
    <w:rsid w:val="006F206F"/>
    <w:rsid w:val="006F2190"/>
    <w:rsid w:val="006F21FE"/>
    <w:rsid w:val="006F23B5"/>
    <w:rsid w:val="006F2592"/>
    <w:rsid w:val="006F2AB0"/>
    <w:rsid w:val="006F2D26"/>
    <w:rsid w:val="006F2FF6"/>
    <w:rsid w:val="006F37AE"/>
    <w:rsid w:val="006F384F"/>
    <w:rsid w:val="006F38AB"/>
    <w:rsid w:val="006F3A17"/>
    <w:rsid w:val="006F3DFC"/>
    <w:rsid w:val="006F3F96"/>
    <w:rsid w:val="006F412F"/>
    <w:rsid w:val="006F417B"/>
    <w:rsid w:val="006F4660"/>
    <w:rsid w:val="006F472E"/>
    <w:rsid w:val="006F4B39"/>
    <w:rsid w:val="006F57BB"/>
    <w:rsid w:val="006F57F7"/>
    <w:rsid w:val="006F5892"/>
    <w:rsid w:val="006F5F91"/>
    <w:rsid w:val="006F6637"/>
    <w:rsid w:val="006F6718"/>
    <w:rsid w:val="006F7038"/>
    <w:rsid w:val="006F71A1"/>
    <w:rsid w:val="006F7245"/>
    <w:rsid w:val="006F72DB"/>
    <w:rsid w:val="006F741A"/>
    <w:rsid w:val="006F77FC"/>
    <w:rsid w:val="006F7BFA"/>
    <w:rsid w:val="00700326"/>
    <w:rsid w:val="007005DD"/>
    <w:rsid w:val="00700824"/>
    <w:rsid w:val="00700A07"/>
    <w:rsid w:val="00700C62"/>
    <w:rsid w:val="00700F76"/>
    <w:rsid w:val="007010EE"/>
    <w:rsid w:val="007015A1"/>
    <w:rsid w:val="00701682"/>
    <w:rsid w:val="00701760"/>
    <w:rsid w:val="00701928"/>
    <w:rsid w:val="0070192D"/>
    <w:rsid w:val="00702791"/>
    <w:rsid w:val="0070290B"/>
    <w:rsid w:val="00702DC3"/>
    <w:rsid w:val="00703D1B"/>
    <w:rsid w:val="00704340"/>
    <w:rsid w:val="00704409"/>
    <w:rsid w:val="007047A6"/>
    <w:rsid w:val="00704DFF"/>
    <w:rsid w:val="00705117"/>
    <w:rsid w:val="007053CD"/>
    <w:rsid w:val="00705422"/>
    <w:rsid w:val="007054F3"/>
    <w:rsid w:val="00705799"/>
    <w:rsid w:val="00705A17"/>
    <w:rsid w:val="00705B1E"/>
    <w:rsid w:val="00705D00"/>
    <w:rsid w:val="0070603E"/>
    <w:rsid w:val="007060C4"/>
    <w:rsid w:val="00706316"/>
    <w:rsid w:val="00706413"/>
    <w:rsid w:val="00706447"/>
    <w:rsid w:val="00706769"/>
    <w:rsid w:val="007068DF"/>
    <w:rsid w:val="00706A6B"/>
    <w:rsid w:val="00706C97"/>
    <w:rsid w:val="007071FE"/>
    <w:rsid w:val="0070744B"/>
    <w:rsid w:val="00707460"/>
    <w:rsid w:val="00707A12"/>
    <w:rsid w:val="00707F1E"/>
    <w:rsid w:val="00707F49"/>
    <w:rsid w:val="007102A2"/>
    <w:rsid w:val="00710414"/>
    <w:rsid w:val="007105FA"/>
    <w:rsid w:val="00710CA6"/>
    <w:rsid w:val="00710F1D"/>
    <w:rsid w:val="0071183A"/>
    <w:rsid w:val="00711AD5"/>
    <w:rsid w:val="00711C4C"/>
    <w:rsid w:val="00711F82"/>
    <w:rsid w:val="007127BD"/>
    <w:rsid w:val="007129D9"/>
    <w:rsid w:val="00712A82"/>
    <w:rsid w:val="00712AA5"/>
    <w:rsid w:val="007131C0"/>
    <w:rsid w:val="00713691"/>
    <w:rsid w:val="00713753"/>
    <w:rsid w:val="00713AC5"/>
    <w:rsid w:val="00713B10"/>
    <w:rsid w:val="00713C4B"/>
    <w:rsid w:val="00713C5C"/>
    <w:rsid w:val="00713FDA"/>
    <w:rsid w:val="00714631"/>
    <w:rsid w:val="00714881"/>
    <w:rsid w:val="00714A9C"/>
    <w:rsid w:val="00714E91"/>
    <w:rsid w:val="007151FB"/>
    <w:rsid w:val="007152E2"/>
    <w:rsid w:val="00715C3F"/>
    <w:rsid w:val="00716263"/>
    <w:rsid w:val="007162DE"/>
    <w:rsid w:val="00716849"/>
    <w:rsid w:val="007169F0"/>
    <w:rsid w:val="00716BC0"/>
    <w:rsid w:val="00716C0C"/>
    <w:rsid w:val="00716D39"/>
    <w:rsid w:val="00716F38"/>
    <w:rsid w:val="00716F65"/>
    <w:rsid w:val="00717619"/>
    <w:rsid w:val="00717905"/>
    <w:rsid w:val="00720591"/>
    <w:rsid w:val="007205E8"/>
    <w:rsid w:val="007207D2"/>
    <w:rsid w:val="00720A76"/>
    <w:rsid w:val="00721B74"/>
    <w:rsid w:val="00721FA9"/>
    <w:rsid w:val="0072214E"/>
    <w:rsid w:val="00722AF5"/>
    <w:rsid w:val="007233C5"/>
    <w:rsid w:val="00723712"/>
    <w:rsid w:val="0072375C"/>
    <w:rsid w:val="00723AC2"/>
    <w:rsid w:val="00723D08"/>
    <w:rsid w:val="00723E69"/>
    <w:rsid w:val="0072404A"/>
    <w:rsid w:val="0072483D"/>
    <w:rsid w:val="00724C52"/>
    <w:rsid w:val="00724E3E"/>
    <w:rsid w:val="00725096"/>
    <w:rsid w:val="00725600"/>
    <w:rsid w:val="00725746"/>
    <w:rsid w:val="0072589A"/>
    <w:rsid w:val="00726511"/>
    <w:rsid w:val="00726600"/>
    <w:rsid w:val="007267C8"/>
    <w:rsid w:val="00726D72"/>
    <w:rsid w:val="00726FAE"/>
    <w:rsid w:val="00727043"/>
    <w:rsid w:val="007272A2"/>
    <w:rsid w:val="007272B3"/>
    <w:rsid w:val="00727382"/>
    <w:rsid w:val="00727B47"/>
    <w:rsid w:val="00730408"/>
    <w:rsid w:val="00730847"/>
    <w:rsid w:val="00730BC4"/>
    <w:rsid w:val="00730DED"/>
    <w:rsid w:val="00730EAE"/>
    <w:rsid w:val="00730F54"/>
    <w:rsid w:val="0073103B"/>
    <w:rsid w:val="00731730"/>
    <w:rsid w:val="0073198C"/>
    <w:rsid w:val="00731A66"/>
    <w:rsid w:val="00731C10"/>
    <w:rsid w:val="00732199"/>
    <w:rsid w:val="00732372"/>
    <w:rsid w:val="0073282F"/>
    <w:rsid w:val="0073284B"/>
    <w:rsid w:val="007329D1"/>
    <w:rsid w:val="00732AC3"/>
    <w:rsid w:val="00732D3E"/>
    <w:rsid w:val="0073325B"/>
    <w:rsid w:val="0073349E"/>
    <w:rsid w:val="007339A9"/>
    <w:rsid w:val="0073412B"/>
    <w:rsid w:val="007341E8"/>
    <w:rsid w:val="00734255"/>
    <w:rsid w:val="007348E7"/>
    <w:rsid w:val="007349FB"/>
    <w:rsid w:val="00734B7E"/>
    <w:rsid w:val="00734D7E"/>
    <w:rsid w:val="007357FE"/>
    <w:rsid w:val="0073582A"/>
    <w:rsid w:val="00735846"/>
    <w:rsid w:val="00735945"/>
    <w:rsid w:val="007361AD"/>
    <w:rsid w:val="007366F0"/>
    <w:rsid w:val="00736920"/>
    <w:rsid w:val="007369F6"/>
    <w:rsid w:val="00736DEC"/>
    <w:rsid w:val="007378AF"/>
    <w:rsid w:val="00737989"/>
    <w:rsid w:val="00737C44"/>
    <w:rsid w:val="00740449"/>
    <w:rsid w:val="007408C9"/>
    <w:rsid w:val="00740CC2"/>
    <w:rsid w:val="007413B3"/>
    <w:rsid w:val="007418D7"/>
    <w:rsid w:val="00741962"/>
    <w:rsid w:val="00741B47"/>
    <w:rsid w:val="00741EDB"/>
    <w:rsid w:val="00741EEC"/>
    <w:rsid w:val="007424A6"/>
    <w:rsid w:val="00742602"/>
    <w:rsid w:val="00742622"/>
    <w:rsid w:val="00742B02"/>
    <w:rsid w:val="00742BB8"/>
    <w:rsid w:val="00742F5B"/>
    <w:rsid w:val="0074363A"/>
    <w:rsid w:val="00743A72"/>
    <w:rsid w:val="00743CFF"/>
    <w:rsid w:val="00744143"/>
    <w:rsid w:val="007448E8"/>
    <w:rsid w:val="00744BAD"/>
    <w:rsid w:val="00744C7D"/>
    <w:rsid w:val="00744DCA"/>
    <w:rsid w:val="00745000"/>
    <w:rsid w:val="0074590F"/>
    <w:rsid w:val="0074637A"/>
    <w:rsid w:val="0074656A"/>
    <w:rsid w:val="00746615"/>
    <w:rsid w:val="00746DF1"/>
    <w:rsid w:val="0074733C"/>
    <w:rsid w:val="00747FD3"/>
    <w:rsid w:val="007506B2"/>
    <w:rsid w:val="00750739"/>
    <w:rsid w:val="00750BB2"/>
    <w:rsid w:val="00750C52"/>
    <w:rsid w:val="0075116B"/>
    <w:rsid w:val="00751278"/>
    <w:rsid w:val="0075127C"/>
    <w:rsid w:val="0075145D"/>
    <w:rsid w:val="007516DE"/>
    <w:rsid w:val="00751840"/>
    <w:rsid w:val="00751EE8"/>
    <w:rsid w:val="00751EEA"/>
    <w:rsid w:val="00751FDD"/>
    <w:rsid w:val="00752311"/>
    <w:rsid w:val="0075258C"/>
    <w:rsid w:val="007525C2"/>
    <w:rsid w:val="007525F6"/>
    <w:rsid w:val="0075280A"/>
    <w:rsid w:val="00752875"/>
    <w:rsid w:val="007531E2"/>
    <w:rsid w:val="007533E2"/>
    <w:rsid w:val="00753813"/>
    <w:rsid w:val="00753DBE"/>
    <w:rsid w:val="00753E55"/>
    <w:rsid w:val="007542ED"/>
    <w:rsid w:val="007547E2"/>
    <w:rsid w:val="00754DE9"/>
    <w:rsid w:val="0075565F"/>
    <w:rsid w:val="007559C3"/>
    <w:rsid w:val="00755AA8"/>
    <w:rsid w:val="00756343"/>
    <w:rsid w:val="007569FF"/>
    <w:rsid w:val="00756BAC"/>
    <w:rsid w:val="00756C6F"/>
    <w:rsid w:val="00756EFD"/>
    <w:rsid w:val="00757647"/>
    <w:rsid w:val="007577E0"/>
    <w:rsid w:val="00757889"/>
    <w:rsid w:val="00757B43"/>
    <w:rsid w:val="00757D55"/>
    <w:rsid w:val="00760569"/>
    <w:rsid w:val="007613D1"/>
    <w:rsid w:val="007614B6"/>
    <w:rsid w:val="00761D8C"/>
    <w:rsid w:val="00761E36"/>
    <w:rsid w:val="00761F76"/>
    <w:rsid w:val="0076226F"/>
    <w:rsid w:val="0076264E"/>
    <w:rsid w:val="00763B84"/>
    <w:rsid w:val="00763B8E"/>
    <w:rsid w:val="00763D15"/>
    <w:rsid w:val="00763E34"/>
    <w:rsid w:val="0076403B"/>
    <w:rsid w:val="00764447"/>
    <w:rsid w:val="00764B3E"/>
    <w:rsid w:val="00765347"/>
    <w:rsid w:val="0076554C"/>
    <w:rsid w:val="00765B70"/>
    <w:rsid w:val="00765C13"/>
    <w:rsid w:val="007661F1"/>
    <w:rsid w:val="0076778C"/>
    <w:rsid w:val="007701BC"/>
    <w:rsid w:val="007704AD"/>
    <w:rsid w:val="0077094D"/>
    <w:rsid w:val="00770C49"/>
    <w:rsid w:val="00770C73"/>
    <w:rsid w:val="00771122"/>
    <w:rsid w:val="007711DD"/>
    <w:rsid w:val="007716DD"/>
    <w:rsid w:val="00771B13"/>
    <w:rsid w:val="00771C37"/>
    <w:rsid w:val="00771D0B"/>
    <w:rsid w:val="00772377"/>
    <w:rsid w:val="007724E5"/>
    <w:rsid w:val="007728D2"/>
    <w:rsid w:val="00772EE4"/>
    <w:rsid w:val="00773331"/>
    <w:rsid w:val="00773BD8"/>
    <w:rsid w:val="00773C01"/>
    <w:rsid w:val="00773E5F"/>
    <w:rsid w:val="00773F9E"/>
    <w:rsid w:val="0077432D"/>
    <w:rsid w:val="00774435"/>
    <w:rsid w:val="00774921"/>
    <w:rsid w:val="007749CA"/>
    <w:rsid w:val="00774F97"/>
    <w:rsid w:val="00775207"/>
    <w:rsid w:val="007752FC"/>
    <w:rsid w:val="007753D9"/>
    <w:rsid w:val="00775984"/>
    <w:rsid w:val="00775F01"/>
    <w:rsid w:val="00776242"/>
    <w:rsid w:val="007765B7"/>
    <w:rsid w:val="007766F5"/>
    <w:rsid w:val="00776949"/>
    <w:rsid w:val="00776BCD"/>
    <w:rsid w:val="00776C95"/>
    <w:rsid w:val="00777B4B"/>
    <w:rsid w:val="00777C4F"/>
    <w:rsid w:val="00777E9F"/>
    <w:rsid w:val="0078022D"/>
    <w:rsid w:val="007803FA"/>
    <w:rsid w:val="00780441"/>
    <w:rsid w:val="00780DFC"/>
    <w:rsid w:val="00780E8F"/>
    <w:rsid w:val="007810EA"/>
    <w:rsid w:val="007814D2"/>
    <w:rsid w:val="007814DB"/>
    <w:rsid w:val="0078150A"/>
    <w:rsid w:val="007815D4"/>
    <w:rsid w:val="00781A84"/>
    <w:rsid w:val="00782467"/>
    <w:rsid w:val="00783200"/>
    <w:rsid w:val="007834E3"/>
    <w:rsid w:val="00783752"/>
    <w:rsid w:val="0078392D"/>
    <w:rsid w:val="00783F11"/>
    <w:rsid w:val="00783F35"/>
    <w:rsid w:val="0078424A"/>
    <w:rsid w:val="00784283"/>
    <w:rsid w:val="00784364"/>
    <w:rsid w:val="00784485"/>
    <w:rsid w:val="00784576"/>
    <w:rsid w:val="00784669"/>
    <w:rsid w:val="007850BA"/>
    <w:rsid w:val="0078556A"/>
    <w:rsid w:val="00785A25"/>
    <w:rsid w:val="007862DE"/>
    <w:rsid w:val="007863FF"/>
    <w:rsid w:val="00786432"/>
    <w:rsid w:val="00786713"/>
    <w:rsid w:val="007867BF"/>
    <w:rsid w:val="00786889"/>
    <w:rsid w:val="00786A69"/>
    <w:rsid w:val="00786B49"/>
    <w:rsid w:val="00786B4C"/>
    <w:rsid w:val="00786C61"/>
    <w:rsid w:val="00787113"/>
    <w:rsid w:val="007879E6"/>
    <w:rsid w:val="00787CA9"/>
    <w:rsid w:val="007903C7"/>
    <w:rsid w:val="00790911"/>
    <w:rsid w:val="007909F2"/>
    <w:rsid w:val="00790D59"/>
    <w:rsid w:val="00790D68"/>
    <w:rsid w:val="00790E2A"/>
    <w:rsid w:val="00790EBA"/>
    <w:rsid w:val="00791419"/>
    <w:rsid w:val="0079158D"/>
    <w:rsid w:val="00791755"/>
    <w:rsid w:val="00791D3F"/>
    <w:rsid w:val="00791E2C"/>
    <w:rsid w:val="00791F1F"/>
    <w:rsid w:val="0079220E"/>
    <w:rsid w:val="007925A3"/>
    <w:rsid w:val="007925A7"/>
    <w:rsid w:val="00792757"/>
    <w:rsid w:val="007928BC"/>
    <w:rsid w:val="00792DBF"/>
    <w:rsid w:val="00792FDA"/>
    <w:rsid w:val="00793268"/>
    <w:rsid w:val="007932EF"/>
    <w:rsid w:val="0079361C"/>
    <w:rsid w:val="00793EC9"/>
    <w:rsid w:val="0079438D"/>
    <w:rsid w:val="007948EB"/>
    <w:rsid w:val="00794DA8"/>
    <w:rsid w:val="00795605"/>
    <w:rsid w:val="0079575F"/>
    <w:rsid w:val="00795985"/>
    <w:rsid w:val="00795CDE"/>
    <w:rsid w:val="0079667C"/>
    <w:rsid w:val="00796AA2"/>
    <w:rsid w:val="00796CCE"/>
    <w:rsid w:val="00796F40"/>
    <w:rsid w:val="00797646"/>
    <w:rsid w:val="007976B7"/>
    <w:rsid w:val="00797B07"/>
    <w:rsid w:val="00797BB5"/>
    <w:rsid w:val="00797E31"/>
    <w:rsid w:val="00797F96"/>
    <w:rsid w:val="007A03A2"/>
    <w:rsid w:val="007A0847"/>
    <w:rsid w:val="007A0B1D"/>
    <w:rsid w:val="007A0E1D"/>
    <w:rsid w:val="007A0F1B"/>
    <w:rsid w:val="007A0F45"/>
    <w:rsid w:val="007A13FF"/>
    <w:rsid w:val="007A15E7"/>
    <w:rsid w:val="007A187B"/>
    <w:rsid w:val="007A198B"/>
    <w:rsid w:val="007A1B3E"/>
    <w:rsid w:val="007A1EEC"/>
    <w:rsid w:val="007A204A"/>
    <w:rsid w:val="007A2189"/>
    <w:rsid w:val="007A29B9"/>
    <w:rsid w:val="007A2D21"/>
    <w:rsid w:val="007A2E66"/>
    <w:rsid w:val="007A3341"/>
    <w:rsid w:val="007A37B2"/>
    <w:rsid w:val="007A45C5"/>
    <w:rsid w:val="007A4E87"/>
    <w:rsid w:val="007A51C3"/>
    <w:rsid w:val="007A523C"/>
    <w:rsid w:val="007A571E"/>
    <w:rsid w:val="007A5928"/>
    <w:rsid w:val="007A5C6A"/>
    <w:rsid w:val="007A5F7D"/>
    <w:rsid w:val="007A6147"/>
    <w:rsid w:val="007A6810"/>
    <w:rsid w:val="007A6CF3"/>
    <w:rsid w:val="007A6DC0"/>
    <w:rsid w:val="007A72D9"/>
    <w:rsid w:val="007A7422"/>
    <w:rsid w:val="007A7DB6"/>
    <w:rsid w:val="007B0815"/>
    <w:rsid w:val="007B112D"/>
    <w:rsid w:val="007B16FC"/>
    <w:rsid w:val="007B174B"/>
    <w:rsid w:val="007B23EB"/>
    <w:rsid w:val="007B2C53"/>
    <w:rsid w:val="007B2E1B"/>
    <w:rsid w:val="007B2E82"/>
    <w:rsid w:val="007B2EEA"/>
    <w:rsid w:val="007B318D"/>
    <w:rsid w:val="007B3A9F"/>
    <w:rsid w:val="007B3B54"/>
    <w:rsid w:val="007B3B8A"/>
    <w:rsid w:val="007B3D08"/>
    <w:rsid w:val="007B3F0D"/>
    <w:rsid w:val="007B4036"/>
    <w:rsid w:val="007B4184"/>
    <w:rsid w:val="007B430C"/>
    <w:rsid w:val="007B4466"/>
    <w:rsid w:val="007B44C4"/>
    <w:rsid w:val="007B4E94"/>
    <w:rsid w:val="007B4EB4"/>
    <w:rsid w:val="007B5103"/>
    <w:rsid w:val="007B52C3"/>
    <w:rsid w:val="007B5734"/>
    <w:rsid w:val="007B5C00"/>
    <w:rsid w:val="007B5EA3"/>
    <w:rsid w:val="007B5ED5"/>
    <w:rsid w:val="007B61E1"/>
    <w:rsid w:val="007B62E4"/>
    <w:rsid w:val="007B64F2"/>
    <w:rsid w:val="007B69BE"/>
    <w:rsid w:val="007B6B93"/>
    <w:rsid w:val="007B6C2B"/>
    <w:rsid w:val="007B6D19"/>
    <w:rsid w:val="007B6D35"/>
    <w:rsid w:val="007B70C6"/>
    <w:rsid w:val="007B71D5"/>
    <w:rsid w:val="007B7250"/>
    <w:rsid w:val="007B77CA"/>
    <w:rsid w:val="007B7A9D"/>
    <w:rsid w:val="007B7C10"/>
    <w:rsid w:val="007C02D3"/>
    <w:rsid w:val="007C02DE"/>
    <w:rsid w:val="007C0436"/>
    <w:rsid w:val="007C05F1"/>
    <w:rsid w:val="007C06DB"/>
    <w:rsid w:val="007C075F"/>
    <w:rsid w:val="007C0D19"/>
    <w:rsid w:val="007C1523"/>
    <w:rsid w:val="007C16E4"/>
    <w:rsid w:val="007C17AE"/>
    <w:rsid w:val="007C1AE6"/>
    <w:rsid w:val="007C1AFD"/>
    <w:rsid w:val="007C1CA5"/>
    <w:rsid w:val="007C23A4"/>
    <w:rsid w:val="007C2421"/>
    <w:rsid w:val="007C2927"/>
    <w:rsid w:val="007C294C"/>
    <w:rsid w:val="007C2F85"/>
    <w:rsid w:val="007C34E5"/>
    <w:rsid w:val="007C3AB6"/>
    <w:rsid w:val="007C3C8D"/>
    <w:rsid w:val="007C401B"/>
    <w:rsid w:val="007C407C"/>
    <w:rsid w:val="007C4206"/>
    <w:rsid w:val="007C421A"/>
    <w:rsid w:val="007C477F"/>
    <w:rsid w:val="007C49DA"/>
    <w:rsid w:val="007C4B29"/>
    <w:rsid w:val="007C4BA5"/>
    <w:rsid w:val="007C4ED5"/>
    <w:rsid w:val="007C509E"/>
    <w:rsid w:val="007C510A"/>
    <w:rsid w:val="007C58E4"/>
    <w:rsid w:val="007C5945"/>
    <w:rsid w:val="007C5ACD"/>
    <w:rsid w:val="007C5E5C"/>
    <w:rsid w:val="007C5FF2"/>
    <w:rsid w:val="007C6088"/>
    <w:rsid w:val="007C6200"/>
    <w:rsid w:val="007C66D8"/>
    <w:rsid w:val="007C6D51"/>
    <w:rsid w:val="007C6D52"/>
    <w:rsid w:val="007C75DC"/>
    <w:rsid w:val="007C76CE"/>
    <w:rsid w:val="007C79B3"/>
    <w:rsid w:val="007C7A06"/>
    <w:rsid w:val="007C7BB9"/>
    <w:rsid w:val="007D0F2A"/>
    <w:rsid w:val="007D14A1"/>
    <w:rsid w:val="007D1683"/>
    <w:rsid w:val="007D18A6"/>
    <w:rsid w:val="007D20EB"/>
    <w:rsid w:val="007D250B"/>
    <w:rsid w:val="007D2B27"/>
    <w:rsid w:val="007D2BF3"/>
    <w:rsid w:val="007D3672"/>
    <w:rsid w:val="007D369D"/>
    <w:rsid w:val="007D4534"/>
    <w:rsid w:val="007D4F9F"/>
    <w:rsid w:val="007D50C6"/>
    <w:rsid w:val="007D527C"/>
    <w:rsid w:val="007D5406"/>
    <w:rsid w:val="007D540D"/>
    <w:rsid w:val="007D5A3F"/>
    <w:rsid w:val="007D6190"/>
    <w:rsid w:val="007D66A0"/>
    <w:rsid w:val="007D7806"/>
    <w:rsid w:val="007D7863"/>
    <w:rsid w:val="007D7D62"/>
    <w:rsid w:val="007D7E93"/>
    <w:rsid w:val="007E0139"/>
    <w:rsid w:val="007E0167"/>
    <w:rsid w:val="007E01FE"/>
    <w:rsid w:val="007E046D"/>
    <w:rsid w:val="007E05B0"/>
    <w:rsid w:val="007E05F3"/>
    <w:rsid w:val="007E0756"/>
    <w:rsid w:val="007E098B"/>
    <w:rsid w:val="007E0B01"/>
    <w:rsid w:val="007E0F38"/>
    <w:rsid w:val="007E13F6"/>
    <w:rsid w:val="007E145B"/>
    <w:rsid w:val="007E1503"/>
    <w:rsid w:val="007E15EF"/>
    <w:rsid w:val="007E15F9"/>
    <w:rsid w:val="007E179F"/>
    <w:rsid w:val="007E18B5"/>
    <w:rsid w:val="007E1C45"/>
    <w:rsid w:val="007E3054"/>
    <w:rsid w:val="007E3982"/>
    <w:rsid w:val="007E3B9F"/>
    <w:rsid w:val="007E3BC5"/>
    <w:rsid w:val="007E3EAD"/>
    <w:rsid w:val="007E410F"/>
    <w:rsid w:val="007E47F5"/>
    <w:rsid w:val="007E4DAC"/>
    <w:rsid w:val="007E5517"/>
    <w:rsid w:val="007E56B0"/>
    <w:rsid w:val="007E5A06"/>
    <w:rsid w:val="007E5EB2"/>
    <w:rsid w:val="007E5F1A"/>
    <w:rsid w:val="007E62EB"/>
    <w:rsid w:val="007E65D9"/>
    <w:rsid w:val="007E6CAE"/>
    <w:rsid w:val="007E6DF7"/>
    <w:rsid w:val="007E6E84"/>
    <w:rsid w:val="007E6EF6"/>
    <w:rsid w:val="007E7134"/>
    <w:rsid w:val="007E744F"/>
    <w:rsid w:val="007E7458"/>
    <w:rsid w:val="007E75EF"/>
    <w:rsid w:val="007E79B5"/>
    <w:rsid w:val="007E7AA0"/>
    <w:rsid w:val="007E7BEE"/>
    <w:rsid w:val="007E7D22"/>
    <w:rsid w:val="007E7D75"/>
    <w:rsid w:val="007F098A"/>
    <w:rsid w:val="007F0A20"/>
    <w:rsid w:val="007F0F37"/>
    <w:rsid w:val="007F130B"/>
    <w:rsid w:val="007F1370"/>
    <w:rsid w:val="007F16BC"/>
    <w:rsid w:val="007F16F5"/>
    <w:rsid w:val="007F17A2"/>
    <w:rsid w:val="007F1F02"/>
    <w:rsid w:val="007F1F7A"/>
    <w:rsid w:val="007F201D"/>
    <w:rsid w:val="007F2ACC"/>
    <w:rsid w:val="007F2B1A"/>
    <w:rsid w:val="007F2D29"/>
    <w:rsid w:val="007F3076"/>
    <w:rsid w:val="007F330E"/>
    <w:rsid w:val="007F3473"/>
    <w:rsid w:val="007F34AA"/>
    <w:rsid w:val="007F373B"/>
    <w:rsid w:val="007F3D19"/>
    <w:rsid w:val="007F3E01"/>
    <w:rsid w:val="007F40E7"/>
    <w:rsid w:val="007F447E"/>
    <w:rsid w:val="007F4704"/>
    <w:rsid w:val="007F4D7A"/>
    <w:rsid w:val="007F4F72"/>
    <w:rsid w:val="007F5295"/>
    <w:rsid w:val="007F59FB"/>
    <w:rsid w:val="007F5BF7"/>
    <w:rsid w:val="007F5FB7"/>
    <w:rsid w:val="007F6028"/>
    <w:rsid w:val="007F63B5"/>
    <w:rsid w:val="007F6CA0"/>
    <w:rsid w:val="007F70CB"/>
    <w:rsid w:val="00800165"/>
    <w:rsid w:val="008001E2"/>
    <w:rsid w:val="0080020D"/>
    <w:rsid w:val="00800480"/>
    <w:rsid w:val="0080085A"/>
    <w:rsid w:val="00800A31"/>
    <w:rsid w:val="00800CC3"/>
    <w:rsid w:val="00801047"/>
    <w:rsid w:val="00801170"/>
    <w:rsid w:val="008014A9"/>
    <w:rsid w:val="00801B4C"/>
    <w:rsid w:val="00801CAF"/>
    <w:rsid w:val="00801DBF"/>
    <w:rsid w:val="00801EAA"/>
    <w:rsid w:val="00802066"/>
    <w:rsid w:val="008027DF"/>
    <w:rsid w:val="00803012"/>
    <w:rsid w:val="0080321B"/>
    <w:rsid w:val="008036B1"/>
    <w:rsid w:val="0080370A"/>
    <w:rsid w:val="00803869"/>
    <w:rsid w:val="008039D1"/>
    <w:rsid w:val="008039E8"/>
    <w:rsid w:val="00803F8A"/>
    <w:rsid w:val="008043AD"/>
    <w:rsid w:val="00804646"/>
    <w:rsid w:val="00804781"/>
    <w:rsid w:val="00804AA0"/>
    <w:rsid w:val="00805F0C"/>
    <w:rsid w:val="00805FDD"/>
    <w:rsid w:val="008060C9"/>
    <w:rsid w:val="00806289"/>
    <w:rsid w:val="008062EB"/>
    <w:rsid w:val="00806636"/>
    <w:rsid w:val="00806A25"/>
    <w:rsid w:val="00806A70"/>
    <w:rsid w:val="0080752E"/>
    <w:rsid w:val="00807666"/>
    <w:rsid w:val="0080792F"/>
    <w:rsid w:val="00807D44"/>
    <w:rsid w:val="00807EA4"/>
    <w:rsid w:val="00810384"/>
    <w:rsid w:val="0081051C"/>
    <w:rsid w:val="00810560"/>
    <w:rsid w:val="00810812"/>
    <w:rsid w:val="008108DD"/>
    <w:rsid w:val="0081104B"/>
    <w:rsid w:val="00811223"/>
    <w:rsid w:val="008117F3"/>
    <w:rsid w:val="0081185C"/>
    <w:rsid w:val="00811E9C"/>
    <w:rsid w:val="00812528"/>
    <w:rsid w:val="00812768"/>
    <w:rsid w:val="0081290C"/>
    <w:rsid w:val="00812932"/>
    <w:rsid w:val="00813133"/>
    <w:rsid w:val="00813252"/>
    <w:rsid w:val="00813478"/>
    <w:rsid w:val="00814684"/>
    <w:rsid w:val="008147AA"/>
    <w:rsid w:val="00814A0D"/>
    <w:rsid w:val="00814ACB"/>
    <w:rsid w:val="00814D06"/>
    <w:rsid w:val="00814E6F"/>
    <w:rsid w:val="0081525A"/>
    <w:rsid w:val="00815318"/>
    <w:rsid w:val="00815977"/>
    <w:rsid w:val="008159F5"/>
    <w:rsid w:val="00815AF1"/>
    <w:rsid w:val="00815B27"/>
    <w:rsid w:val="0081667D"/>
    <w:rsid w:val="0081699E"/>
    <w:rsid w:val="008174FC"/>
    <w:rsid w:val="00817DEE"/>
    <w:rsid w:val="008205C2"/>
    <w:rsid w:val="00820965"/>
    <w:rsid w:val="00820A43"/>
    <w:rsid w:val="00820F16"/>
    <w:rsid w:val="00821A9C"/>
    <w:rsid w:val="00822035"/>
    <w:rsid w:val="00822411"/>
    <w:rsid w:val="00822E44"/>
    <w:rsid w:val="00822EB1"/>
    <w:rsid w:val="008234A7"/>
    <w:rsid w:val="0082375E"/>
    <w:rsid w:val="0082388D"/>
    <w:rsid w:val="008238B0"/>
    <w:rsid w:val="00823925"/>
    <w:rsid w:val="00823C82"/>
    <w:rsid w:val="008241D5"/>
    <w:rsid w:val="0082432E"/>
    <w:rsid w:val="00824E0E"/>
    <w:rsid w:val="00824FD2"/>
    <w:rsid w:val="0082566E"/>
    <w:rsid w:val="00825894"/>
    <w:rsid w:val="00825BC2"/>
    <w:rsid w:val="00826191"/>
    <w:rsid w:val="00826B7B"/>
    <w:rsid w:val="00826BC3"/>
    <w:rsid w:val="00826E1C"/>
    <w:rsid w:val="00827378"/>
    <w:rsid w:val="00827913"/>
    <w:rsid w:val="00830002"/>
    <w:rsid w:val="00830481"/>
    <w:rsid w:val="008308A2"/>
    <w:rsid w:val="00830BE1"/>
    <w:rsid w:val="00830F90"/>
    <w:rsid w:val="00831008"/>
    <w:rsid w:val="008312F3"/>
    <w:rsid w:val="008313F7"/>
    <w:rsid w:val="00831730"/>
    <w:rsid w:val="00831BC6"/>
    <w:rsid w:val="00831C85"/>
    <w:rsid w:val="0083247C"/>
    <w:rsid w:val="00832A47"/>
    <w:rsid w:val="00832E47"/>
    <w:rsid w:val="0083308E"/>
    <w:rsid w:val="00833496"/>
    <w:rsid w:val="008338D5"/>
    <w:rsid w:val="00833BF8"/>
    <w:rsid w:val="00833CED"/>
    <w:rsid w:val="00834028"/>
    <w:rsid w:val="00834387"/>
    <w:rsid w:val="0083449B"/>
    <w:rsid w:val="00834552"/>
    <w:rsid w:val="008347D0"/>
    <w:rsid w:val="00834916"/>
    <w:rsid w:val="00834927"/>
    <w:rsid w:val="00834937"/>
    <w:rsid w:val="00835071"/>
    <w:rsid w:val="00835771"/>
    <w:rsid w:val="00835C38"/>
    <w:rsid w:val="008360D8"/>
    <w:rsid w:val="0083612E"/>
    <w:rsid w:val="00836171"/>
    <w:rsid w:val="00836554"/>
    <w:rsid w:val="0083671D"/>
    <w:rsid w:val="008367B0"/>
    <w:rsid w:val="00836A51"/>
    <w:rsid w:val="008377CB"/>
    <w:rsid w:val="00837F5C"/>
    <w:rsid w:val="0084004E"/>
    <w:rsid w:val="0084007F"/>
    <w:rsid w:val="00840BB6"/>
    <w:rsid w:val="00840FF8"/>
    <w:rsid w:val="00841A03"/>
    <w:rsid w:val="00841AE2"/>
    <w:rsid w:val="00841B6F"/>
    <w:rsid w:val="00841B73"/>
    <w:rsid w:val="00841BAA"/>
    <w:rsid w:val="008425B7"/>
    <w:rsid w:val="00842A11"/>
    <w:rsid w:val="00842F88"/>
    <w:rsid w:val="0084317F"/>
    <w:rsid w:val="0084333C"/>
    <w:rsid w:val="008433D2"/>
    <w:rsid w:val="008434BA"/>
    <w:rsid w:val="0084350A"/>
    <w:rsid w:val="0084364D"/>
    <w:rsid w:val="00843B0B"/>
    <w:rsid w:val="008444BF"/>
    <w:rsid w:val="008445F8"/>
    <w:rsid w:val="0084489C"/>
    <w:rsid w:val="008449BE"/>
    <w:rsid w:val="008456C7"/>
    <w:rsid w:val="00845E1C"/>
    <w:rsid w:val="00845F0F"/>
    <w:rsid w:val="00846330"/>
    <w:rsid w:val="0084633C"/>
    <w:rsid w:val="008464E1"/>
    <w:rsid w:val="00846510"/>
    <w:rsid w:val="00846635"/>
    <w:rsid w:val="00846869"/>
    <w:rsid w:val="00846BBC"/>
    <w:rsid w:val="00846C67"/>
    <w:rsid w:val="00846F4D"/>
    <w:rsid w:val="00847013"/>
    <w:rsid w:val="00847128"/>
    <w:rsid w:val="00847657"/>
    <w:rsid w:val="00847E26"/>
    <w:rsid w:val="00850317"/>
    <w:rsid w:val="008507DD"/>
    <w:rsid w:val="00850EDF"/>
    <w:rsid w:val="00851811"/>
    <w:rsid w:val="00851A8A"/>
    <w:rsid w:val="00851B0E"/>
    <w:rsid w:val="00851D1F"/>
    <w:rsid w:val="00851E28"/>
    <w:rsid w:val="00852717"/>
    <w:rsid w:val="008529B1"/>
    <w:rsid w:val="008531C2"/>
    <w:rsid w:val="00853505"/>
    <w:rsid w:val="00853526"/>
    <w:rsid w:val="00853738"/>
    <w:rsid w:val="00853A7A"/>
    <w:rsid w:val="00853D46"/>
    <w:rsid w:val="00853FBB"/>
    <w:rsid w:val="008543F2"/>
    <w:rsid w:val="00854EF3"/>
    <w:rsid w:val="008551B0"/>
    <w:rsid w:val="008552FB"/>
    <w:rsid w:val="00855647"/>
    <w:rsid w:val="0085568B"/>
    <w:rsid w:val="00855890"/>
    <w:rsid w:val="00855A80"/>
    <w:rsid w:val="00855F68"/>
    <w:rsid w:val="0085694C"/>
    <w:rsid w:val="00856AFC"/>
    <w:rsid w:val="00856DF7"/>
    <w:rsid w:val="008572D8"/>
    <w:rsid w:val="00857D72"/>
    <w:rsid w:val="0086018A"/>
    <w:rsid w:val="00860417"/>
    <w:rsid w:val="00860545"/>
    <w:rsid w:val="00860566"/>
    <w:rsid w:val="008605C6"/>
    <w:rsid w:val="008609CF"/>
    <w:rsid w:val="00860AAB"/>
    <w:rsid w:val="00861386"/>
    <w:rsid w:val="00861706"/>
    <w:rsid w:val="00861773"/>
    <w:rsid w:val="00861CC8"/>
    <w:rsid w:val="008625A9"/>
    <w:rsid w:val="00862696"/>
    <w:rsid w:val="0086333C"/>
    <w:rsid w:val="00863AC8"/>
    <w:rsid w:val="00863BBB"/>
    <w:rsid w:val="00863FAE"/>
    <w:rsid w:val="00864175"/>
    <w:rsid w:val="008641D1"/>
    <w:rsid w:val="008641F8"/>
    <w:rsid w:val="00864305"/>
    <w:rsid w:val="00864706"/>
    <w:rsid w:val="008648D8"/>
    <w:rsid w:val="0086490A"/>
    <w:rsid w:val="00864D53"/>
    <w:rsid w:val="0086532E"/>
    <w:rsid w:val="008653CD"/>
    <w:rsid w:val="00865A81"/>
    <w:rsid w:val="00865D70"/>
    <w:rsid w:val="00866596"/>
    <w:rsid w:val="008665FB"/>
    <w:rsid w:val="00866640"/>
    <w:rsid w:val="00866AF7"/>
    <w:rsid w:val="00866C39"/>
    <w:rsid w:val="008670BC"/>
    <w:rsid w:val="0086748C"/>
    <w:rsid w:val="00867529"/>
    <w:rsid w:val="008676ED"/>
    <w:rsid w:val="00867839"/>
    <w:rsid w:val="00867866"/>
    <w:rsid w:val="00867C59"/>
    <w:rsid w:val="00867DFB"/>
    <w:rsid w:val="00870031"/>
    <w:rsid w:val="0087056A"/>
    <w:rsid w:val="008708AF"/>
    <w:rsid w:val="00870A41"/>
    <w:rsid w:val="00870B7F"/>
    <w:rsid w:val="00871984"/>
    <w:rsid w:val="00871CCE"/>
    <w:rsid w:val="00871EA8"/>
    <w:rsid w:val="00871F08"/>
    <w:rsid w:val="008723D1"/>
    <w:rsid w:val="0087240C"/>
    <w:rsid w:val="008727D4"/>
    <w:rsid w:val="00872A79"/>
    <w:rsid w:val="00873192"/>
    <w:rsid w:val="00873770"/>
    <w:rsid w:val="00873A29"/>
    <w:rsid w:val="0087408B"/>
    <w:rsid w:val="008743EE"/>
    <w:rsid w:val="0087486B"/>
    <w:rsid w:val="00874D22"/>
    <w:rsid w:val="00874E3E"/>
    <w:rsid w:val="008750B2"/>
    <w:rsid w:val="008752BC"/>
    <w:rsid w:val="00875528"/>
    <w:rsid w:val="00875543"/>
    <w:rsid w:val="00875661"/>
    <w:rsid w:val="0087578E"/>
    <w:rsid w:val="00875A5D"/>
    <w:rsid w:val="00875CD2"/>
    <w:rsid w:val="00876081"/>
    <w:rsid w:val="008766B7"/>
    <w:rsid w:val="00876986"/>
    <w:rsid w:val="00876C36"/>
    <w:rsid w:val="00876FBF"/>
    <w:rsid w:val="008772FF"/>
    <w:rsid w:val="008773EF"/>
    <w:rsid w:val="00877511"/>
    <w:rsid w:val="00877BF1"/>
    <w:rsid w:val="00877DE0"/>
    <w:rsid w:val="0088029E"/>
    <w:rsid w:val="00880698"/>
    <w:rsid w:val="00880BE9"/>
    <w:rsid w:val="00880CC0"/>
    <w:rsid w:val="00880DA5"/>
    <w:rsid w:val="00880EFF"/>
    <w:rsid w:val="008810F4"/>
    <w:rsid w:val="00881703"/>
    <w:rsid w:val="008818D2"/>
    <w:rsid w:val="00881CBE"/>
    <w:rsid w:val="00881D2F"/>
    <w:rsid w:val="00881FE5"/>
    <w:rsid w:val="0088289E"/>
    <w:rsid w:val="00882EF8"/>
    <w:rsid w:val="00883437"/>
    <w:rsid w:val="0088349F"/>
    <w:rsid w:val="00883606"/>
    <w:rsid w:val="0088363F"/>
    <w:rsid w:val="00883CE3"/>
    <w:rsid w:val="00883CF5"/>
    <w:rsid w:val="00884416"/>
    <w:rsid w:val="00884646"/>
    <w:rsid w:val="008849F2"/>
    <w:rsid w:val="00884AB5"/>
    <w:rsid w:val="00884DA4"/>
    <w:rsid w:val="00884F50"/>
    <w:rsid w:val="00885333"/>
    <w:rsid w:val="008853C5"/>
    <w:rsid w:val="008857C6"/>
    <w:rsid w:val="00885A82"/>
    <w:rsid w:val="00885B3C"/>
    <w:rsid w:val="00885B45"/>
    <w:rsid w:val="00885B92"/>
    <w:rsid w:val="0088647A"/>
    <w:rsid w:val="008867CB"/>
    <w:rsid w:val="00886C66"/>
    <w:rsid w:val="00887201"/>
    <w:rsid w:val="00887712"/>
    <w:rsid w:val="00887828"/>
    <w:rsid w:val="00887A4F"/>
    <w:rsid w:val="00887CA0"/>
    <w:rsid w:val="0089000F"/>
    <w:rsid w:val="0089010C"/>
    <w:rsid w:val="0089086F"/>
    <w:rsid w:val="00890889"/>
    <w:rsid w:val="008909C1"/>
    <w:rsid w:val="00890A89"/>
    <w:rsid w:val="008911D1"/>
    <w:rsid w:val="00891326"/>
    <w:rsid w:val="00891834"/>
    <w:rsid w:val="0089193F"/>
    <w:rsid w:val="00891E5A"/>
    <w:rsid w:val="008921B0"/>
    <w:rsid w:val="0089255B"/>
    <w:rsid w:val="00892ECA"/>
    <w:rsid w:val="00892EEC"/>
    <w:rsid w:val="00893055"/>
    <w:rsid w:val="0089321D"/>
    <w:rsid w:val="00893522"/>
    <w:rsid w:val="00894041"/>
    <w:rsid w:val="00894265"/>
    <w:rsid w:val="00894BD4"/>
    <w:rsid w:val="00894D96"/>
    <w:rsid w:val="00894ED0"/>
    <w:rsid w:val="00894F80"/>
    <w:rsid w:val="00895055"/>
    <w:rsid w:val="0089512F"/>
    <w:rsid w:val="00895891"/>
    <w:rsid w:val="00895B34"/>
    <w:rsid w:val="00895E2F"/>
    <w:rsid w:val="0089684C"/>
    <w:rsid w:val="00896D42"/>
    <w:rsid w:val="00896E4D"/>
    <w:rsid w:val="00897436"/>
    <w:rsid w:val="0089762C"/>
    <w:rsid w:val="008976B1"/>
    <w:rsid w:val="00897713"/>
    <w:rsid w:val="00897727"/>
    <w:rsid w:val="00897F2B"/>
    <w:rsid w:val="008A0633"/>
    <w:rsid w:val="008A0A9E"/>
    <w:rsid w:val="008A0B1A"/>
    <w:rsid w:val="008A0DBE"/>
    <w:rsid w:val="008A0E5E"/>
    <w:rsid w:val="008A0FC3"/>
    <w:rsid w:val="008A1128"/>
    <w:rsid w:val="008A1152"/>
    <w:rsid w:val="008A129B"/>
    <w:rsid w:val="008A1D0C"/>
    <w:rsid w:val="008A1DBD"/>
    <w:rsid w:val="008A235D"/>
    <w:rsid w:val="008A23A8"/>
    <w:rsid w:val="008A2717"/>
    <w:rsid w:val="008A290F"/>
    <w:rsid w:val="008A2914"/>
    <w:rsid w:val="008A29EF"/>
    <w:rsid w:val="008A2CDF"/>
    <w:rsid w:val="008A2D76"/>
    <w:rsid w:val="008A323E"/>
    <w:rsid w:val="008A3608"/>
    <w:rsid w:val="008A3AC7"/>
    <w:rsid w:val="008A427D"/>
    <w:rsid w:val="008A4556"/>
    <w:rsid w:val="008A45FF"/>
    <w:rsid w:val="008A4888"/>
    <w:rsid w:val="008A4CE9"/>
    <w:rsid w:val="008A4DD8"/>
    <w:rsid w:val="008A4E8A"/>
    <w:rsid w:val="008A5046"/>
    <w:rsid w:val="008A52BB"/>
    <w:rsid w:val="008A5906"/>
    <w:rsid w:val="008A5ADE"/>
    <w:rsid w:val="008A5E13"/>
    <w:rsid w:val="008A5F5C"/>
    <w:rsid w:val="008A689C"/>
    <w:rsid w:val="008A77C0"/>
    <w:rsid w:val="008A78DA"/>
    <w:rsid w:val="008A78F3"/>
    <w:rsid w:val="008A79B6"/>
    <w:rsid w:val="008A7D62"/>
    <w:rsid w:val="008B004A"/>
    <w:rsid w:val="008B0963"/>
    <w:rsid w:val="008B0ECD"/>
    <w:rsid w:val="008B12EE"/>
    <w:rsid w:val="008B15B1"/>
    <w:rsid w:val="008B1689"/>
    <w:rsid w:val="008B16FD"/>
    <w:rsid w:val="008B1C8A"/>
    <w:rsid w:val="008B1D1C"/>
    <w:rsid w:val="008B1DB8"/>
    <w:rsid w:val="008B299C"/>
    <w:rsid w:val="008B2B50"/>
    <w:rsid w:val="008B2C10"/>
    <w:rsid w:val="008B2DB5"/>
    <w:rsid w:val="008B2E32"/>
    <w:rsid w:val="008B3C6E"/>
    <w:rsid w:val="008B3DBE"/>
    <w:rsid w:val="008B3E9F"/>
    <w:rsid w:val="008B42FE"/>
    <w:rsid w:val="008B45DD"/>
    <w:rsid w:val="008B4639"/>
    <w:rsid w:val="008B4791"/>
    <w:rsid w:val="008B4CC3"/>
    <w:rsid w:val="008B53D1"/>
    <w:rsid w:val="008B548E"/>
    <w:rsid w:val="008B5DB6"/>
    <w:rsid w:val="008B6101"/>
    <w:rsid w:val="008B69DF"/>
    <w:rsid w:val="008B6B55"/>
    <w:rsid w:val="008B6BDF"/>
    <w:rsid w:val="008B6C3B"/>
    <w:rsid w:val="008B6DE0"/>
    <w:rsid w:val="008B70FF"/>
    <w:rsid w:val="008B72AA"/>
    <w:rsid w:val="008B73D6"/>
    <w:rsid w:val="008B76EA"/>
    <w:rsid w:val="008C0628"/>
    <w:rsid w:val="008C088F"/>
    <w:rsid w:val="008C09B9"/>
    <w:rsid w:val="008C0FF7"/>
    <w:rsid w:val="008C1449"/>
    <w:rsid w:val="008C168A"/>
    <w:rsid w:val="008C21A4"/>
    <w:rsid w:val="008C22DA"/>
    <w:rsid w:val="008C2565"/>
    <w:rsid w:val="008C2D09"/>
    <w:rsid w:val="008C2F17"/>
    <w:rsid w:val="008C3183"/>
    <w:rsid w:val="008C31F1"/>
    <w:rsid w:val="008C3AEF"/>
    <w:rsid w:val="008C3E7E"/>
    <w:rsid w:val="008C3FB4"/>
    <w:rsid w:val="008C42EA"/>
    <w:rsid w:val="008C47C0"/>
    <w:rsid w:val="008C48AB"/>
    <w:rsid w:val="008C4D26"/>
    <w:rsid w:val="008C4E44"/>
    <w:rsid w:val="008C5609"/>
    <w:rsid w:val="008C5D19"/>
    <w:rsid w:val="008C61B7"/>
    <w:rsid w:val="008C6A94"/>
    <w:rsid w:val="008C6AE6"/>
    <w:rsid w:val="008C6E91"/>
    <w:rsid w:val="008C7298"/>
    <w:rsid w:val="008C73C3"/>
    <w:rsid w:val="008C7899"/>
    <w:rsid w:val="008D0223"/>
    <w:rsid w:val="008D044B"/>
    <w:rsid w:val="008D08C8"/>
    <w:rsid w:val="008D0961"/>
    <w:rsid w:val="008D0B87"/>
    <w:rsid w:val="008D14CA"/>
    <w:rsid w:val="008D1D93"/>
    <w:rsid w:val="008D2300"/>
    <w:rsid w:val="008D233D"/>
    <w:rsid w:val="008D25D9"/>
    <w:rsid w:val="008D29A6"/>
    <w:rsid w:val="008D2B58"/>
    <w:rsid w:val="008D2F9A"/>
    <w:rsid w:val="008D3154"/>
    <w:rsid w:val="008D31AA"/>
    <w:rsid w:val="008D39FF"/>
    <w:rsid w:val="008D40B5"/>
    <w:rsid w:val="008D435E"/>
    <w:rsid w:val="008D47C5"/>
    <w:rsid w:val="008D4985"/>
    <w:rsid w:val="008D4D72"/>
    <w:rsid w:val="008D4F87"/>
    <w:rsid w:val="008D4FFB"/>
    <w:rsid w:val="008D5102"/>
    <w:rsid w:val="008D54F7"/>
    <w:rsid w:val="008D55FE"/>
    <w:rsid w:val="008D5688"/>
    <w:rsid w:val="008D5B1B"/>
    <w:rsid w:val="008D5DFC"/>
    <w:rsid w:val="008D5F46"/>
    <w:rsid w:val="008D609F"/>
    <w:rsid w:val="008D66A8"/>
    <w:rsid w:val="008D6FB8"/>
    <w:rsid w:val="008D73B1"/>
    <w:rsid w:val="008D7A0F"/>
    <w:rsid w:val="008D7C7D"/>
    <w:rsid w:val="008D7CD4"/>
    <w:rsid w:val="008E02A1"/>
    <w:rsid w:val="008E1383"/>
    <w:rsid w:val="008E19F3"/>
    <w:rsid w:val="008E1A26"/>
    <w:rsid w:val="008E1ABD"/>
    <w:rsid w:val="008E1BED"/>
    <w:rsid w:val="008E2108"/>
    <w:rsid w:val="008E27B3"/>
    <w:rsid w:val="008E2AEC"/>
    <w:rsid w:val="008E2FB9"/>
    <w:rsid w:val="008E30B9"/>
    <w:rsid w:val="008E3B2A"/>
    <w:rsid w:val="008E3BCD"/>
    <w:rsid w:val="008E3D5E"/>
    <w:rsid w:val="008E3DCC"/>
    <w:rsid w:val="008E403D"/>
    <w:rsid w:val="008E4132"/>
    <w:rsid w:val="008E4322"/>
    <w:rsid w:val="008E4438"/>
    <w:rsid w:val="008E4A4B"/>
    <w:rsid w:val="008E4CB5"/>
    <w:rsid w:val="008E4D68"/>
    <w:rsid w:val="008E4D8E"/>
    <w:rsid w:val="008E4E8E"/>
    <w:rsid w:val="008E51E1"/>
    <w:rsid w:val="008E52D8"/>
    <w:rsid w:val="008E5812"/>
    <w:rsid w:val="008E5937"/>
    <w:rsid w:val="008E6709"/>
    <w:rsid w:val="008E6765"/>
    <w:rsid w:val="008E68E9"/>
    <w:rsid w:val="008E6E4B"/>
    <w:rsid w:val="008E72E8"/>
    <w:rsid w:val="008E77FC"/>
    <w:rsid w:val="008E7821"/>
    <w:rsid w:val="008E7BA0"/>
    <w:rsid w:val="008E7E8A"/>
    <w:rsid w:val="008F0092"/>
    <w:rsid w:val="008F02AA"/>
    <w:rsid w:val="008F02B7"/>
    <w:rsid w:val="008F076D"/>
    <w:rsid w:val="008F0D14"/>
    <w:rsid w:val="008F121C"/>
    <w:rsid w:val="008F12A1"/>
    <w:rsid w:val="008F1739"/>
    <w:rsid w:val="008F1758"/>
    <w:rsid w:val="008F1807"/>
    <w:rsid w:val="008F1C8F"/>
    <w:rsid w:val="008F20DD"/>
    <w:rsid w:val="008F239D"/>
    <w:rsid w:val="008F23B2"/>
    <w:rsid w:val="008F2647"/>
    <w:rsid w:val="008F2820"/>
    <w:rsid w:val="008F2E64"/>
    <w:rsid w:val="008F2EB9"/>
    <w:rsid w:val="008F301C"/>
    <w:rsid w:val="008F345D"/>
    <w:rsid w:val="008F3558"/>
    <w:rsid w:val="008F36E7"/>
    <w:rsid w:val="008F3751"/>
    <w:rsid w:val="008F3FE0"/>
    <w:rsid w:val="008F42A6"/>
    <w:rsid w:val="008F42DB"/>
    <w:rsid w:val="008F45B8"/>
    <w:rsid w:val="008F49ED"/>
    <w:rsid w:val="008F4AB2"/>
    <w:rsid w:val="008F4BB8"/>
    <w:rsid w:val="008F4DA8"/>
    <w:rsid w:val="008F4EAE"/>
    <w:rsid w:val="008F4FDE"/>
    <w:rsid w:val="008F52B0"/>
    <w:rsid w:val="008F5560"/>
    <w:rsid w:val="008F5ECB"/>
    <w:rsid w:val="008F5EF9"/>
    <w:rsid w:val="008F5FA4"/>
    <w:rsid w:val="008F640C"/>
    <w:rsid w:val="008F679F"/>
    <w:rsid w:val="008F6A27"/>
    <w:rsid w:val="008F7402"/>
    <w:rsid w:val="008F7542"/>
    <w:rsid w:val="008F782F"/>
    <w:rsid w:val="009000CA"/>
    <w:rsid w:val="0090026F"/>
    <w:rsid w:val="009007E9"/>
    <w:rsid w:val="009009A6"/>
    <w:rsid w:val="00900C27"/>
    <w:rsid w:val="00900D4E"/>
    <w:rsid w:val="00900EF4"/>
    <w:rsid w:val="009012D6"/>
    <w:rsid w:val="009013E4"/>
    <w:rsid w:val="009017CF"/>
    <w:rsid w:val="00901C03"/>
    <w:rsid w:val="009021B6"/>
    <w:rsid w:val="0090225D"/>
    <w:rsid w:val="0090237D"/>
    <w:rsid w:val="0090240B"/>
    <w:rsid w:val="00902DB3"/>
    <w:rsid w:val="00902FAE"/>
    <w:rsid w:val="009037B7"/>
    <w:rsid w:val="00903A70"/>
    <w:rsid w:val="00903A8C"/>
    <w:rsid w:val="0090406A"/>
    <w:rsid w:val="00904CC7"/>
    <w:rsid w:val="0090582B"/>
    <w:rsid w:val="00905A1A"/>
    <w:rsid w:val="00905E4C"/>
    <w:rsid w:val="00906811"/>
    <w:rsid w:val="00906F30"/>
    <w:rsid w:val="00907994"/>
    <w:rsid w:val="009079F6"/>
    <w:rsid w:val="00907B3E"/>
    <w:rsid w:val="0091099C"/>
    <w:rsid w:val="00911172"/>
    <w:rsid w:val="0091151F"/>
    <w:rsid w:val="00911DB5"/>
    <w:rsid w:val="00911E53"/>
    <w:rsid w:val="00911F8A"/>
    <w:rsid w:val="0091225D"/>
    <w:rsid w:val="00912566"/>
    <w:rsid w:val="00912AC1"/>
    <w:rsid w:val="00912CB8"/>
    <w:rsid w:val="00912D7C"/>
    <w:rsid w:val="0091327F"/>
    <w:rsid w:val="00913555"/>
    <w:rsid w:val="009135B2"/>
    <w:rsid w:val="009137DE"/>
    <w:rsid w:val="009139AD"/>
    <w:rsid w:val="00913D56"/>
    <w:rsid w:val="0091474E"/>
    <w:rsid w:val="00914978"/>
    <w:rsid w:val="00914ABD"/>
    <w:rsid w:val="0091501D"/>
    <w:rsid w:val="009153A5"/>
    <w:rsid w:val="00915940"/>
    <w:rsid w:val="00915AA7"/>
    <w:rsid w:val="00915DAE"/>
    <w:rsid w:val="00915E14"/>
    <w:rsid w:val="00915FF9"/>
    <w:rsid w:val="00916074"/>
    <w:rsid w:val="00916099"/>
    <w:rsid w:val="009160F5"/>
    <w:rsid w:val="009161A5"/>
    <w:rsid w:val="009164B0"/>
    <w:rsid w:val="009164C3"/>
    <w:rsid w:val="0091664C"/>
    <w:rsid w:val="00916730"/>
    <w:rsid w:val="00916B4D"/>
    <w:rsid w:val="00916C03"/>
    <w:rsid w:val="009175D2"/>
    <w:rsid w:val="00917794"/>
    <w:rsid w:val="009179E5"/>
    <w:rsid w:val="00917AB9"/>
    <w:rsid w:val="00917B89"/>
    <w:rsid w:val="00920185"/>
    <w:rsid w:val="00920315"/>
    <w:rsid w:val="0092039C"/>
    <w:rsid w:val="009207F9"/>
    <w:rsid w:val="00920D82"/>
    <w:rsid w:val="00920F33"/>
    <w:rsid w:val="00921996"/>
    <w:rsid w:val="00921D5E"/>
    <w:rsid w:val="00922056"/>
    <w:rsid w:val="0092302A"/>
    <w:rsid w:val="009230A1"/>
    <w:rsid w:val="009232D2"/>
    <w:rsid w:val="0092376B"/>
    <w:rsid w:val="00923D2F"/>
    <w:rsid w:val="00923EF5"/>
    <w:rsid w:val="00924553"/>
    <w:rsid w:val="009247CD"/>
    <w:rsid w:val="00924B4B"/>
    <w:rsid w:val="009254C5"/>
    <w:rsid w:val="009257BD"/>
    <w:rsid w:val="00925A73"/>
    <w:rsid w:val="00925E56"/>
    <w:rsid w:val="00925E8D"/>
    <w:rsid w:val="0092604E"/>
    <w:rsid w:val="00926509"/>
    <w:rsid w:val="009269F7"/>
    <w:rsid w:val="00926C88"/>
    <w:rsid w:val="00926DD8"/>
    <w:rsid w:val="00926EAE"/>
    <w:rsid w:val="00926F88"/>
    <w:rsid w:val="0092731B"/>
    <w:rsid w:val="00927BA2"/>
    <w:rsid w:val="00930660"/>
    <w:rsid w:val="00931803"/>
    <w:rsid w:val="00931805"/>
    <w:rsid w:val="00931ED1"/>
    <w:rsid w:val="00932099"/>
    <w:rsid w:val="009322D6"/>
    <w:rsid w:val="0093278D"/>
    <w:rsid w:val="009328E5"/>
    <w:rsid w:val="00932EE6"/>
    <w:rsid w:val="00932F3D"/>
    <w:rsid w:val="009336E5"/>
    <w:rsid w:val="0093378D"/>
    <w:rsid w:val="009338E9"/>
    <w:rsid w:val="0093434B"/>
    <w:rsid w:val="009344A0"/>
    <w:rsid w:val="009346F1"/>
    <w:rsid w:val="00934A51"/>
    <w:rsid w:val="00934CFD"/>
    <w:rsid w:val="00934D4C"/>
    <w:rsid w:val="00935058"/>
    <w:rsid w:val="009353FC"/>
    <w:rsid w:val="009354C2"/>
    <w:rsid w:val="00935767"/>
    <w:rsid w:val="00935DF2"/>
    <w:rsid w:val="00935F4E"/>
    <w:rsid w:val="00936222"/>
    <w:rsid w:val="00936295"/>
    <w:rsid w:val="0093667F"/>
    <w:rsid w:val="009369D9"/>
    <w:rsid w:val="00936A53"/>
    <w:rsid w:val="00937374"/>
    <w:rsid w:val="009377A3"/>
    <w:rsid w:val="0093786A"/>
    <w:rsid w:val="009378A8"/>
    <w:rsid w:val="009378FC"/>
    <w:rsid w:val="00937AD6"/>
    <w:rsid w:val="00937E42"/>
    <w:rsid w:val="00940180"/>
    <w:rsid w:val="00940182"/>
    <w:rsid w:val="0094053A"/>
    <w:rsid w:val="00940540"/>
    <w:rsid w:val="00940923"/>
    <w:rsid w:val="00941A99"/>
    <w:rsid w:val="00941CEE"/>
    <w:rsid w:val="00941D13"/>
    <w:rsid w:val="0094206B"/>
    <w:rsid w:val="00942124"/>
    <w:rsid w:val="00942428"/>
    <w:rsid w:val="0094274C"/>
    <w:rsid w:val="00942B67"/>
    <w:rsid w:val="00942E1F"/>
    <w:rsid w:val="0094363C"/>
    <w:rsid w:val="00943983"/>
    <w:rsid w:val="00943A08"/>
    <w:rsid w:val="00943D7C"/>
    <w:rsid w:val="00943E46"/>
    <w:rsid w:val="0094401A"/>
    <w:rsid w:val="00944132"/>
    <w:rsid w:val="00944337"/>
    <w:rsid w:val="00944703"/>
    <w:rsid w:val="00944AB9"/>
    <w:rsid w:val="00944CC8"/>
    <w:rsid w:val="009454FB"/>
    <w:rsid w:val="009459DE"/>
    <w:rsid w:val="00945A35"/>
    <w:rsid w:val="00945AA7"/>
    <w:rsid w:val="00945D77"/>
    <w:rsid w:val="00946322"/>
    <w:rsid w:val="0094698C"/>
    <w:rsid w:val="00946C8F"/>
    <w:rsid w:val="00946E03"/>
    <w:rsid w:val="0094717D"/>
    <w:rsid w:val="00947406"/>
    <w:rsid w:val="00947878"/>
    <w:rsid w:val="00947951"/>
    <w:rsid w:val="00947B9B"/>
    <w:rsid w:val="0095023C"/>
    <w:rsid w:val="00950827"/>
    <w:rsid w:val="00950D62"/>
    <w:rsid w:val="00950F9F"/>
    <w:rsid w:val="0095122D"/>
    <w:rsid w:val="009517C2"/>
    <w:rsid w:val="00951EBA"/>
    <w:rsid w:val="009520E0"/>
    <w:rsid w:val="00952820"/>
    <w:rsid w:val="00952C15"/>
    <w:rsid w:val="00952F12"/>
    <w:rsid w:val="0095304C"/>
    <w:rsid w:val="0095329A"/>
    <w:rsid w:val="0095341A"/>
    <w:rsid w:val="009535B0"/>
    <w:rsid w:val="009535BC"/>
    <w:rsid w:val="009537C3"/>
    <w:rsid w:val="009538DC"/>
    <w:rsid w:val="0095431F"/>
    <w:rsid w:val="009547E6"/>
    <w:rsid w:val="00954F0A"/>
    <w:rsid w:val="00954F5A"/>
    <w:rsid w:val="00955070"/>
    <w:rsid w:val="00955233"/>
    <w:rsid w:val="00955882"/>
    <w:rsid w:val="00955B82"/>
    <w:rsid w:val="00955DF9"/>
    <w:rsid w:val="00955E83"/>
    <w:rsid w:val="0095600C"/>
    <w:rsid w:val="00956688"/>
    <w:rsid w:val="009567B7"/>
    <w:rsid w:val="00956842"/>
    <w:rsid w:val="00956DCB"/>
    <w:rsid w:val="00957511"/>
    <w:rsid w:val="0096008D"/>
    <w:rsid w:val="009603D7"/>
    <w:rsid w:val="00960A3D"/>
    <w:rsid w:val="00960B25"/>
    <w:rsid w:val="00960B3A"/>
    <w:rsid w:val="00960C59"/>
    <w:rsid w:val="00960D68"/>
    <w:rsid w:val="00961214"/>
    <w:rsid w:val="00961446"/>
    <w:rsid w:val="00961692"/>
    <w:rsid w:val="00961706"/>
    <w:rsid w:val="00961755"/>
    <w:rsid w:val="00962119"/>
    <w:rsid w:val="009625C0"/>
    <w:rsid w:val="009625FF"/>
    <w:rsid w:val="009629CD"/>
    <w:rsid w:val="00962A8A"/>
    <w:rsid w:val="00962AF5"/>
    <w:rsid w:val="00962BDA"/>
    <w:rsid w:val="00962DA3"/>
    <w:rsid w:val="009633C3"/>
    <w:rsid w:val="0096521F"/>
    <w:rsid w:val="0096547A"/>
    <w:rsid w:val="00965714"/>
    <w:rsid w:val="0096608C"/>
    <w:rsid w:val="009663EC"/>
    <w:rsid w:val="009665F1"/>
    <w:rsid w:val="00966D78"/>
    <w:rsid w:val="009672A4"/>
    <w:rsid w:val="00967616"/>
    <w:rsid w:val="00967696"/>
    <w:rsid w:val="00967D0B"/>
    <w:rsid w:val="00967D57"/>
    <w:rsid w:val="0097025B"/>
    <w:rsid w:val="00970400"/>
    <w:rsid w:val="00970C99"/>
    <w:rsid w:val="00970F79"/>
    <w:rsid w:val="00970FC3"/>
    <w:rsid w:val="00971143"/>
    <w:rsid w:val="00971768"/>
    <w:rsid w:val="00971B37"/>
    <w:rsid w:val="00971E2A"/>
    <w:rsid w:val="00971F1A"/>
    <w:rsid w:val="00971FB1"/>
    <w:rsid w:val="009720D9"/>
    <w:rsid w:val="0097212D"/>
    <w:rsid w:val="00972570"/>
    <w:rsid w:val="0097262E"/>
    <w:rsid w:val="009731A0"/>
    <w:rsid w:val="009731AB"/>
    <w:rsid w:val="00973572"/>
    <w:rsid w:val="00973AB7"/>
    <w:rsid w:val="00973B98"/>
    <w:rsid w:val="00973DB1"/>
    <w:rsid w:val="00973F31"/>
    <w:rsid w:val="00974228"/>
    <w:rsid w:val="0097470F"/>
    <w:rsid w:val="009748A4"/>
    <w:rsid w:val="00974C4A"/>
    <w:rsid w:val="00974F8A"/>
    <w:rsid w:val="009752ED"/>
    <w:rsid w:val="00976112"/>
    <w:rsid w:val="009761C8"/>
    <w:rsid w:val="00976441"/>
    <w:rsid w:val="009769D0"/>
    <w:rsid w:val="00976CA3"/>
    <w:rsid w:val="0097742D"/>
    <w:rsid w:val="0097784B"/>
    <w:rsid w:val="00977870"/>
    <w:rsid w:val="00977B4D"/>
    <w:rsid w:val="009803D8"/>
    <w:rsid w:val="00981099"/>
    <w:rsid w:val="0098127F"/>
    <w:rsid w:val="009818D9"/>
    <w:rsid w:val="0098239B"/>
    <w:rsid w:val="00982860"/>
    <w:rsid w:val="00983209"/>
    <w:rsid w:val="009833F6"/>
    <w:rsid w:val="00983D9D"/>
    <w:rsid w:val="00983DE5"/>
    <w:rsid w:val="00983E26"/>
    <w:rsid w:val="00983F06"/>
    <w:rsid w:val="00984387"/>
    <w:rsid w:val="009859E1"/>
    <w:rsid w:val="00985C75"/>
    <w:rsid w:val="00985D4F"/>
    <w:rsid w:val="009862DF"/>
    <w:rsid w:val="00986374"/>
    <w:rsid w:val="0098648D"/>
    <w:rsid w:val="0098664B"/>
    <w:rsid w:val="00986909"/>
    <w:rsid w:val="0098693C"/>
    <w:rsid w:val="0098696F"/>
    <w:rsid w:val="009870C4"/>
    <w:rsid w:val="0098728C"/>
    <w:rsid w:val="00987DF1"/>
    <w:rsid w:val="00990540"/>
    <w:rsid w:val="00990857"/>
    <w:rsid w:val="00990B15"/>
    <w:rsid w:val="0099130A"/>
    <w:rsid w:val="009915CB"/>
    <w:rsid w:val="009915DE"/>
    <w:rsid w:val="00991645"/>
    <w:rsid w:val="00991843"/>
    <w:rsid w:val="0099185E"/>
    <w:rsid w:val="009918C7"/>
    <w:rsid w:val="00991DF3"/>
    <w:rsid w:val="0099295D"/>
    <w:rsid w:val="00992CF7"/>
    <w:rsid w:val="0099319A"/>
    <w:rsid w:val="0099394E"/>
    <w:rsid w:val="00993EA6"/>
    <w:rsid w:val="00993EEC"/>
    <w:rsid w:val="009948A3"/>
    <w:rsid w:val="00994B57"/>
    <w:rsid w:val="00994E2A"/>
    <w:rsid w:val="0099500C"/>
    <w:rsid w:val="009953CA"/>
    <w:rsid w:val="0099558A"/>
    <w:rsid w:val="00995E68"/>
    <w:rsid w:val="009960E4"/>
    <w:rsid w:val="009960F6"/>
    <w:rsid w:val="00996114"/>
    <w:rsid w:val="009963DD"/>
    <w:rsid w:val="0099666C"/>
    <w:rsid w:val="0099698D"/>
    <w:rsid w:val="00997408"/>
    <w:rsid w:val="00997464"/>
    <w:rsid w:val="0099754A"/>
    <w:rsid w:val="00997875"/>
    <w:rsid w:val="00997AB0"/>
    <w:rsid w:val="00997BAA"/>
    <w:rsid w:val="00997C1C"/>
    <w:rsid w:val="009A049E"/>
    <w:rsid w:val="009A05DF"/>
    <w:rsid w:val="009A0780"/>
    <w:rsid w:val="009A0C98"/>
    <w:rsid w:val="009A11D6"/>
    <w:rsid w:val="009A132E"/>
    <w:rsid w:val="009A1777"/>
    <w:rsid w:val="009A1A4D"/>
    <w:rsid w:val="009A1E76"/>
    <w:rsid w:val="009A1FFD"/>
    <w:rsid w:val="009A203F"/>
    <w:rsid w:val="009A23DE"/>
    <w:rsid w:val="009A2578"/>
    <w:rsid w:val="009A2626"/>
    <w:rsid w:val="009A2871"/>
    <w:rsid w:val="009A2900"/>
    <w:rsid w:val="009A2950"/>
    <w:rsid w:val="009A2DF5"/>
    <w:rsid w:val="009A32E7"/>
    <w:rsid w:val="009A34F4"/>
    <w:rsid w:val="009A3505"/>
    <w:rsid w:val="009A352F"/>
    <w:rsid w:val="009A3715"/>
    <w:rsid w:val="009A3A6B"/>
    <w:rsid w:val="009A3F55"/>
    <w:rsid w:val="009A4C19"/>
    <w:rsid w:val="009A4C24"/>
    <w:rsid w:val="009A4C98"/>
    <w:rsid w:val="009A52A9"/>
    <w:rsid w:val="009A534D"/>
    <w:rsid w:val="009A570B"/>
    <w:rsid w:val="009A5B26"/>
    <w:rsid w:val="009A5C28"/>
    <w:rsid w:val="009A5CBC"/>
    <w:rsid w:val="009A6548"/>
    <w:rsid w:val="009A6964"/>
    <w:rsid w:val="009A727F"/>
    <w:rsid w:val="009A76C3"/>
    <w:rsid w:val="009A775F"/>
    <w:rsid w:val="009A77BD"/>
    <w:rsid w:val="009A7A0D"/>
    <w:rsid w:val="009B0717"/>
    <w:rsid w:val="009B07EA"/>
    <w:rsid w:val="009B09D6"/>
    <w:rsid w:val="009B0C3E"/>
    <w:rsid w:val="009B1537"/>
    <w:rsid w:val="009B1B2F"/>
    <w:rsid w:val="009B2A44"/>
    <w:rsid w:val="009B2ADD"/>
    <w:rsid w:val="009B3250"/>
    <w:rsid w:val="009B36C8"/>
    <w:rsid w:val="009B37A4"/>
    <w:rsid w:val="009B3DE7"/>
    <w:rsid w:val="009B3E0F"/>
    <w:rsid w:val="009B4243"/>
    <w:rsid w:val="009B459A"/>
    <w:rsid w:val="009B4CE6"/>
    <w:rsid w:val="009B4CF1"/>
    <w:rsid w:val="009B50C3"/>
    <w:rsid w:val="009B550D"/>
    <w:rsid w:val="009B5529"/>
    <w:rsid w:val="009B554A"/>
    <w:rsid w:val="009B5937"/>
    <w:rsid w:val="009B60B4"/>
    <w:rsid w:val="009B60C7"/>
    <w:rsid w:val="009B651C"/>
    <w:rsid w:val="009B6A6B"/>
    <w:rsid w:val="009B6F01"/>
    <w:rsid w:val="009B6F45"/>
    <w:rsid w:val="009B74DC"/>
    <w:rsid w:val="009B7B95"/>
    <w:rsid w:val="009C010F"/>
    <w:rsid w:val="009C0BBD"/>
    <w:rsid w:val="009C0E43"/>
    <w:rsid w:val="009C1102"/>
    <w:rsid w:val="009C1423"/>
    <w:rsid w:val="009C145C"/>
    <w:rsid w:val="009C1A3A"/>
    <w:rsid w:val="009C1F18"/>
    <w:rsid w:val="009C28EA"/>
    <w:rsid w:val="009C2FF1"/>
    <w:rsid w:val="009C35D0"/>
    <w:rsid w:val="009C367E"/>
    <w:rsid w:val="009C395F"/>
    <w:rsid w:val="009C3A81"/>
    <w:rsid w:val="009C3D0F"/>
    <w:rsid w:val="009C3F2B"/>
    <w:rsid w:val="009C41F5"/>
    <w:rsid w:val="009C44C7"/>
    <w:rsid w:val="009C4628"/>
    <w:rsid w:val="009C4820"/>
    <w:rsid w:val="009C4CB2"/>
    <w:rsid w:val="009C4D8A"/>
    <w:rsid w:val="009C4E0B"/>
    <w:rsid w:val="009C4EB2"/>
    <w:rsid w:val="009C5089"/>
    <w:rsid w:val="009C545F"/>
    <w:rsid w:val="009C5969"/>
    <w:rsid w:val="009C5E3D"/>
    <w:rsid w:val="009C6410"/>
    <w:rsid w:val="009C64CA"/>
    <w:rsid w:val="009C653C"/>
    <w:rsid w:val="009C673E"/>
    <w:rsid w:val="009C694A"/>
    <w:rsid w:val="009C6B91"/>
    <w:rsid w:val="009C7316"/>
    <w:rsid w:val="009C7421"/>
    <w:rsid w:val="009C7733"/>
    <w:rsid w:val="009C7A6D"/>
    <w:rsid w:val="009C7C8C"/>
    <w:rsid w:val="009D057A"/>
    <w:rsid w:val="009D0DA6"/>
    <w:rsid w:val="009D0E04"/>
    <w:rsid w:val="009D162D"/>
    <w:rsid w:val="009D1B9B"/>
    <w:rsid w:val="009D1C1E"/>
    <w:rsid w:val="009D1C81"/>
    <w:rsid w:val="009D1EC4"/>
    <w:rsid w:val="009D27C1"/>
    <w:rsid w:val="009D2AAD"/>
    <w:rsid w:val="009D2BDB"/>
    <w:rsid w:val="009D2E17"/>
    <w:rsid w:val="009D2F2C"/>
    <w:rsid w:val="009D3057"/>
    <w:rsid w:val="009D3394"/>
    <w:rsid w:val="009D36BE"/>
    <w:rsid w:val="009D376D"/>
    <w:rsid w:val="009D37D3"/>
    <w:rsid w:val="009D3D80"/>
    <w:rsid w:val="009D3F6B"/>
    <w:rsid w:val="009D40DD"/>
    <w:rsid w:val="009D43C9"/>
    <w:rsid w:val="009D45BC"/>
    <w:rsid w:val="009D469F"/>
    <w:rsid w:val="009D52BA"/>
    <w:rsid w:val="009D53BB"/>
    <w:rsid w:val="009D5A12"/>
    <w:rsid w:val="009D5B59"/>
    <w:rsid w:val="009D5DC4"/>
    <w:rsid w:val="009D70EE"/>
    <w:rsid w:val="009E00BB"/>
    <w:rsid w:val="009E00C5"/>
    <w:rsid w:val="009E0605"/>
    <w:rsid w:val="009E0C4F"/>
    <w:rsid w:val="009E1018"/>
    <w:rsid w:val="009E14FD"/>
    <w:rsid w:val="009E195C"/>
    <w:rsid w:val="009E1DD3"/>
    <w:rsid w:val="009E1E28"/>
    <w:rsid w:val="009E1E95"/>
    <w:rsid w:val="009E20C9"/>
    <w:rsid w:val="009E20FA"/>
    <w:rsid w:val="009E2205"/>
    <w:rsid w:val="009E3274"/>
    <w:rsid w:val="009E333B"/>
    <w:rsid w:val="009E350C"/>
    <w:rsid w:val="009E39F9"/>
    <w:rsid w:val="009E3FB0"/>
    <w:rsid w:val="009E504B"/>
    <w:rsid w:val="009E5149"/>
    <w:rsid w:val="009E5208"/>
    <w:rsid w:val="009E5392"/>
    <w:rsid w:val="009E53DA"/>
    <w:rsid w:val="009E5A05"/>
    <w:rsid w:val="009E5F84"/>
    <w:rsid w:val="009E62A9"/>
    <w:rsid w:val="009E633C"/>
    <w:rsid w:val="009E651D"/>
    <w:rsid w:val="009E6842"/>
    <w:rsid w:val="009E6FB0"/>
    <w:rsid w:val="009E756C"/>
    <w:rsid w:val="009E7570"/>
    <w:rsid w:val="009E777F"/>
    <w:rsid w:val="009E7BAF"/>
    <w:rsid w:val="009E7BD2"/>
    <w:rsid w:val="009E7C1F"/>
    <w:rsid w:val="009F0379"/>
    <w:rsid w:val="009F0470"/>
    <w:rsid w:val="009F0523"/>
    <w:rsid w:val="009F0640"/>
    <w:rsid w:val="009F090C"/>
    <w:rsid w:val="009F0A1C"/>
    <w:rsid w:val="009F0B96"/>
    <w:rsid w:val="009F0DC4"/>
    <w:rsid w:val="009F1223"/>
    <w:rsid w:val="009F136E"/>
    <w:rsid w:val="009F14CE"/>
    <w:rsid w:val="009F1500"/>
    <w:rsid w:val="009F1A95"/>
    <w:rsid w:val="009F1DFD"/>
    <w:rsid w:val="009F1F05"/>
    <w:rsid w:val="009F2174"/>
    <w:rsid w:val="009F21DA"/>
    <w:rsid w:val="009F224E"/>
    <w:rsid w:val="009F25B4"/>
    <w:rsid w:val="009F264C"/>
    <w:rsid w:val="009F2732"/>
    <w:rsid w:val="009F298E"/>
    <w:rsid w:val="009F2ACC"/>
    <w:rsid w:val="009F32C3"/>
    <w:rsid w:val="009F4029"/>
    <w:rsid w:val="009F45E2"/>
    <w:rsid w:val="009F4C4A"/>
    <w:rsid w:val="009F4ECF"/>
    <w:rsid w:val="009F5778"/>
    <w:rsid w:val="009F5B68"/>
    <w:rsid w:val="009F5E14"/>
    <w:rsid w:val="009F5FD0"/>
    <w:rsid w:val="009F6068"/>
    <w:rsid w:val="009F62DC"/>
    <w:rsid w:val="009F630A"/>
    <w:rsid w:val="009F6C33"/>
    <w:rsid w:val="009F72A1"/>
    <w:rsid w:val="009F72C9"/>
    <w:rsid w:val="009F78C1"/>
    <w:rsid w:val="009F7FBA"/>
    <w:rsid w:val="00A000B2"/>
    <w:rsid w:val="00A005B7"/>
    <w:rsid w:val="00A008AA"/>
    <w:rsid w:val="00A00ABC"/>
    <w:rsid w:val="00A00B5D"/>
    <w:rsid w:val="00A0121A"/>
    <w:rsid w:val="00A01A66"/>
    <w:rsid w:val="00A01C82"/>
    <w:rsid w:val="00A01F17"/>
    <w:rsid w:val="00A01FEA"/>
    <w:rsid w:val="00A02235"/>
    <w:rsid w:val="00A02272"/>
    <w:rsid w:val="00A02745"/>
    <w:rsid w:val="00A02B6E"/>
    <w:rsid w:val="00A02F45"/>
    <w:rsid w:val="00A037EF"/>
    <w:rsid w:val="00A03812"/>
    <w:rsid w:val="00A03A12"/>
    <w:rsid w:val="00A03B01"/>
    <w:rsid w:val="00A03D25"/>
    <w:rsid w:val="00A03E20"/>
    <w:rsid w:val="00A03F98"/>
    <w:rsid w:val="00A04518"/>
    <w:rsid w:val="00A04C7E"/>
    <w:rsid w:val="00A04CA6"/>
    <w:rsid w:val="00A04DB0"/>
    <w:rsid w:val="00A054D7"/>
    <w:rsid w:val="00A05601"/>
    <w:rsid w:val="00A058AA"/>
    <w:rsid w:val="00A05E1E"/>
    <w:rsid w:val="00A05F86"/>
    <w:rsid w:val="00A060C9"/>
    <w:rsid w:val="00A06416"/>
    <w:rsid w:val="00A0651F"/>
    <w:rsid w:val="00A065FA"/>
    <w:rsid w:val="00A0686D"/>
    <w:rsid w:val="00A06A0C"/>
    <w:rsid w:val="00A06CF3"/>
    <w:rsid w:val="00A06F23"/>
    <w:rsid w:val="00A0773A"/>
    <w:rsid w:val="00A0787C"/>
    <w:rsid w:val="00A10239"/>
    <w:rsid w:val="00A11065"/>
    <w:rsid w:val="00A11263"/>
    <w:rsid w:val="00A117FA"/>
    <w:rsid w:val="00A118DF"/>
    <w:rsid w:val="00A11E66"/>
    <w:rsid w:val="00A1207A"/>
    <w:rsid w:val="00A122F1"/>
    <w:rsid w:val="00A12946"/>
    <w:rsid w:val="00A12B31"/>
    <w:rsid w:val="00A12EA0"/>
    <w:rsid w:val="00A131A0"/>
    <w:rsid w:val="00A1366C"/>
    <w:rsid w:val="00A138CB"/>
    <w:rsid w:val="00A13938"/>
    <w:rsid w:val="00A1398A"/>
    <w:rsid w:val="00A13AEA"/>
    <w:rsid w:val="00A13C49"/>
    <w:rsid w:val="00A13DCE"/>
    <w:rsid w:val="00A1416D"/>
    <w:rsid w:val="00A14692"/>
    <w:rsid w:val="00A14A52"/>
    <w:rsid w:val="00A14C53"/>
    <w:rsid w:val="00A14E2E"/>
    <w:rsid w:val="00A14E74"/>
    <w:rsid w:val="00A14FC8"/>
    <w:rsid w:val="00A1575E"/>
    <w:rsid w:val="00A15804"/>
    <w:rsid w:val="00A15817"/>
    <w:rsid w:val="00A15936"/>
    <w:rsid w:val="00A15CFC"/>
    <w:rsid w:val="00A15D8A"/>
    <w:rsid w:val="00A1606D"/>
    <w:rsid w:val="00A16200"/>
    <w:rsid w:val="00A162A3"/>
    <w:rsid w:val="00A16377"/>
    <w:rsid w:val="00A16791"/>
    <w:rsid w:val="00A16D47"/>
    <w:rsid w:val="00A174F7"/>
    <w:rsid w:val="00A17510"/>
    <w:rsid w:val="00A1796C"/>
    <w:rsid w:val="00A1798C"/>
    <w:rsid w:val="00A17C03"/>
    <w:rsid w:val="00A2029B"/>
    <w:rsid w:val="00A2072F"/>
    <w:rsid w:val="00A2097C"/>
    <w:rsid w:val="00A20A12"/>
    <w:rsid w:val="00A20B29"/>
    <w:rsid w:val="00A20BFA"/>
    <w:rsid w:val="00A20D0C"/>
    <w:rsid w:val="00A2118E"/>
    <w:rsid w:val="00A21200"/>
    <w:rsid w:val="00A21370"/>
    <w:rsid w:val="00A21591"/>
    <w:rsid w:val="00A216C9"/>
    <w:rsid w:val="00A2176C"/>
    <w:rsid w:val="00A21AFB"/>
    <w:rsid w:val="00A21C87"/>
    <w:rsid w:val="00A21CC6"/>
    <w:rsid w:val="00A21E69"/>
    <w:rsid w:val="00A21F9B"/>
    <w:rsid w:val="00A2239E"/>
    <w:rsid w:val="00A22BBB"/>
    <w:rsid w:val="00A22BF6"/>
    <w:rsid w:val="00A22C80"/>
    <w:rsid w:val="00A22FB2"/>
    <w:rsid w:val="00A2338B"/>
    <w:rsid w:val="00A23520"/>
    <w:rsid w:val="00A23778"/>
    <w:rsid w:val="00A2382D"/>
    <w:rsid w:val="00A23856"/>
    <w:rsid w:val="00A23B4B"/>
    <w:rsid w:val="00A23E59"/>
    <w:rsid w:val="00A23EFE"/>
    <w:rsid w:val="00A24447"/>
    <w:rsid w:val="00A24708"/>
    <w:rsid w:val="00A249AE"/>
    <w:rsid w:val="00A24C04"/>
    <w:rsid w:val="00A25C47"/>
    <w:rsid w:val="00A2701E"/>
    <w:rsid w:val="00A274F5"/>
    <w:rsid w:val="00A27E13"/>
    <w:rsid w:val="00A27EFE"/>
    <w:rsid w:val="00A27F62"/>
    <w:rsid w:val="00A30840"/>
    <w:rsid w:val="00A308B3"/>
    <w:rsid w:val="00A30C2B"/>
    <w:rsid w:val="00A30E23"/>
    <w:rsid w:val="00A30E85"/>
    <w:rsid w:val="00A313D8"/>
    <w:rsid w:val="00A3165E"/>
    <w:rsid w:val="00A31D62"/>
    <w:rsid w:val="00A31E20"/>
    <w:rsid w:val="00A322A2"/>
    <w:rsid w:val="00A325B6"/>
    <w:rsid w:val="00A32642"/>
    <w:rsid w:val="00A32D7E"/>
    <w:rsid w:val="00A32EBA"/>
    <w:rsid w:val="00A33272"/>
    <w:rsid w:val="00A33526"/>
    <w:rsid w:val="00A3353F"/>
    <w:rsid w:val="00A3392A"/>
    <w:rsid w:val="00A33AE7"/>
    <w:rsid w:val="00A341EB"/>
    <w:rsid w:val="00A346D7"/>
    <w:rsid w:val="00A3479F"/>
    <w:rsid w:val="00A347ED"/>
    <w:rsid w:val="00A34BBD"/>
    <w:rsid w:val="00A34C9A"/>
    <w:rsid w:val="00A34ED9"/>
    <w:rsid w:val="00A353A1"/>
    <w:rsid w:val="00A354C8"/>
    <w:rsid w:val="00A35511"/>
    <w:rsid w:val="00A35745"/>
    <w:rsid w:val="00A358C2"/>
    <w:rsid w:val="00A36775"/>
    <w:rsid w:val="00A367BA"/>
    <w:rsid w:val="00A36946"/>
    <w:rsid w:val="00A37691"/>
    <w:rsid w:val="00A37C46"/>
    <w:rsid w:val="00A37D94"/>
    <w:rsid w:val="00A37FCA"/>
    <w:rsid w:val="00A37FE6"/>
    <w:rsid w:val="00A4008F"/>
    <w:rsid w:val="00A40672"/>
    <w:rsid w:val="00A407AA"/>
    <w:rsid w:val="00A409D7"/>
    <w:rsid w:val="00A40E1E"/>
    <w:rsid w:val="00A40F6E"/>
    <w:rsid w:val="00A410ED"/>
    <w:rsid w:val="00A411E1"/>
    <w:rsid w:val="00A41263"/>
    <w:rsid w:val="00A413D2"/>
    <w:rsid w:val="00A418EC"/>
    <w:rsid w:val="00A41B97"/>
    <w:rsid w:val="00A41D64"/>
    <w:rsid w:val="00A421EC"/>
    <w:rsid w:val="00A421F7"/>
    <w:rsid w:val="00A4222A"/>
    <w:rsid w:val="00A4230F"/>
    <w:rsid w:val="00A42C70"/>
    <w:rsid w:val="00A42C95"/>
    <w:rsid w:val="00A43390"/>
    <w:rsid w:val="00A43490"/>
    <w:rsid w:val="00A4361A"/>
    <w:rsid w:val="00A43EF6"/>
    <w:rsid w:val="00A4487F"/>
    <w:rsid w:val="00A4488B"/>
    <w:rsid w:val="00A44B03"/>
    <w:rsid w:val="00A44B95"/>
    <w:rsid w:val="00A44D34"/>
    <w:rsid w:val="00A44D47"/>
    <w:rsid w:val="00A44D8C"/>
    <w:rsid w:val="00A44DF4"/>
    <w:rsid w:val="00A45678"/>
    <w:rsid w:val="00A45A50"/>
    <w:rsid w:val="00A45A58"/>
    <w:rsid w:val="00A45CF8"/>
    <w:rsid w:val="00A463CD"/>
    <w:rsid w:val="00A466B9"/>
    <w:rsid w:val="00A4686F"/>
    <w:rsid w:val="00A468AE"/>
    <w:rsid w:val="00A46D83"/>
    <w:rsid w:val="00A47167"/>
    <w:rsid w:val="00A476E9"/>
    <w:rsid w:val="00A47972"/>
    <w:rsid w:val="00A5112F"/>
    <w:rsid w:val="00A5130C"/>
    <w:rsid w:val="00A516DB"/>
    <w:rsid w:val="00A51DB2"/>
    <w:rsid w:val="00A5202E"/>
    <w:rsid w:val="00A521C9"/>
    <w:rsid w:val="00A522AA"/>
    <w:rsid w:val="00A523F3"/>
    <w:rsid w:val="00A52492"/>
    <w:rsid w:val="00A52580"/>
    <w:rsid w:val="00A52C35"/>
    <w:rsid w:val="00A52C88"/>
    <w:rsid w:val="00A52CE2"/>
    <w:rsid w:val="00A53072"/>
    <w:rsid w:val="00A53193"/>
    <w:rsid w:val="00A532C3"/>
    <w:rsid w:val="00A539C0"/>
    <w:rsid w:val="00A5408A"/>
    <w:rsid w:val="00A548E1"/>
    <w:rsid w:val="00A54A1B"/>
    <w:rsid w:val="00A54D13"/>
    <w:rsid w:val="00A54E3A"/>
    <w:rsid w:val="00A552B0"/>
    <w:rsid w:val="00A556C2"/>
    <w:rsid w:val="00A55913"/>
    <w:rsid w:val="00A55F0A"/>
    <w:rsid w:val="00A5607B"/>
    <w:rsid w:val="00A568EE"/>
    <w:rsid w:val="00A56AA4"/>
    <w:rsid w:val="00A56BF3"/>
    <w:rsid w:val="00A56F38"/>
    <w:rsid w:val="00A57200"/>
    <w:rsid w:val="00A57502"/>
    <w:rsid w:val="00A57698"/>
    <w:rsid w:val="00A577E9"/>
    <w:rsid w:val="00A5785A"/>
    <w:rsid w:val="00A57942"/>
    <w:rsid w:val="00A57A2A"/>
    <w:rsid w:val="00A57B70"/>
    <w:rsid w:val="00A606A5"/>
    <w:rsid w:val="00A60E6C"/>
    <w:rsid w:val="00A61038"/>
    <w:rsid w:val="00A6121B"/>
    <w:rsid w:val="00A6174D"/>
    <w:rsid w:val="00A618B6"/>
    <w:rsid w:val="00A61E3A"/>
    <w:rsid w:val="00A61FD5"/>
    <w:rsid w:val="00A62146"/>
    <w:rsid w:val="00A627F9"/>
    <w:rsid w:val="00A62A82"/>
    <w:rsid w:val="00A62B0B"/>
    <w:rsid w:val="00A62B90"/>
    <w:rsid w:val="00A62CD1"/>
    <w:rsid w:val="00A62D7B"/>
    <w:rsid w:val="00A63AAE"/>
    <w:rsid w:val="00A63C24"/>
    <w:rsid w:val="00A63CA9"/>
    <w:rsid w:val="00A63D01"/>
    <w:rsid w:val="00A641E7"/>
    <w:rsid w:val="00A642EA"/>
    <w:rsid w:val="00A645E8"/>
    <w:rsid w:val="00A645F2"/>
    <w:rsid w:val="00A6487A"/>
    <w:rsid w:val="00A651AC"/>
    <w:rsid w:val="00A65246"/>
    <w:rsid w:val="00A65268"/>
    <w:rsid w:val="00A6537E"/>
    <w:rsid w:val="00A656E9"/>
    <w:rsid w:val="00A65809"/>
    <w:rsid w:val="00A65C31"/>
    <w:rsid w:val="00A65E41"/>
    <w:rsid w:val="00A6618A"/>
    <w:rsid w:val="00A66945"/>
    <w:rsid w:val="00A66CDE"/>
    <w:rsid w:val="00A66D3D"/>
    <w:rsid w:val="00A67B16"/>
    <w:rsid w:val="00A67E54"/>
    <w:rsid w:val="00A67E6E"/>
    <w:rsid w:val="00A7083F"/>
    <w:rsid w:val="00A709CF"/>
    <w:rsid w:val="00A70EBD"/>
    <w:rsid w:val="00A714C1"/>
    <w:rsid w:val="00A71948"/>
    <w:rsid w:val="00A71B62"/>
    <w:rsid w:val="00A71CE3"/>
    <w:rsid w:val="00A71D35"/>
    <w:rsid w:val="00A721FE"/>
    <w:rsid w:val="00A72334"/>
    <w:rsid w:val="00A728AD"/>
    <w:rsid w:val="00A72F28"/>
    <w:rsid w:val="00A7332B"/>
    <w:rsid w:val="00A73696"/>
    <w:rsid w:val="00A7369C"/>
    <w:rsid w:val="00A73785"/>
    <w:rsid w:val="00A739B4"/>
    <w:rsid w:val="00A744C9"/>
    <w:rsid w:val="00A74813"/>
    <w:rsid w:val="00A74CF9"/>
    <w:rsid w:val="00A74F1F"/>
    <w:rsid w:val="00A75077"/>
    <w:rsid w:val="00A75107"/>
    <w:rsid w:val="00A75129"/>
    <w:rsid w:val="00A75562"/>
    <w:rsid w:val="00A756FA"/>
    <w:rsid w:val="00A75CA7"/>
    <w:rsid w:val="00A75DC7"/>
    <w:rsid w:val="00A75EFD"/>
    <w:rsid w:val="00A76116"/>
    <w:rsid w:val="00A76538"/>
    <w:rsid w:val="00A76AF6"/>
    <w:rsid w:val="00A76B92"/>
    <w:rsid w:val="00A76BCF"/>
    <w:rsid w:val="00A77039"/>
    <w:rsid w:val="00A77143"/>
    <w:rsid w:val="00A772D5"/>
    <w:rsid w:val="00A778B0"/>
    <w:rsid w:val="00A779D4"/>
    <w:rsid w:val="00A77C80"/>
    <w:rsid w:val="00A77E0F"/>
    <w:rsid w:val="00A802B8"/>
    <w:rsid w:val="00A8030D"/>
    <w:rsid w:val="00A80690"/>
    <w:rsid w:val="00A80B34"/>
    <w:rsid w:val="00A80E1E"/>
    <w:rsid w:val="00A810D1"/>
    <w:rsid w:val="00A817F3"/>
    <w:rsid w:val="00A81B09"/>
    <w:rsid w:val="00A81F96"/>
    <w:rsid w:val="00A8225A"/>
    <w:rsid w:val="00A82321"/>
    <w:rsid w:val="00A82E71"/>
    <w:rsid w:val="00A830E0"/>
    <w:rsid w:val="00A834F4"/>
    <w:rsid w:val="00A835EF"/>
    <w:rsid w:val="00A83A84"/>
    <w:rsid w:val="00A8447B"/>
    <w:rsid w:val="00A84598"/>
    <w:rsid w:val="00A845B5"/>
    <w:rsid w:val="00A84954"/>
    <w:rsid w:val="00A84980"/>
    <w:rsid w:val="00A853AA"/>
    <w:rsid w:val="00A854A5"/>
    <w:rsid w:val="00A854C6"/>
    <w:rsid w:val="00A85820"/>
    <w:rsid w:val="00A8630F"/>
    <w:rsid w:val="00A863A3"/>
    <w:rsid w:val="00A868BF"/>
    <w:rsid w:val="00A86B40"/>
    <w:rsid w:val="00A86D06"/>
    <w:rsid w:val="00A86F3D"/>
    <w:rsid w:val="00A87492"/>
    <w:rsid w:val="00A87781"/>
    <w:rsid w:val="00A87A6F"/>
    <w:rsid w:val="00A87AD7"/>
    <w:rsid w:val="00A87AE5"/>
    <w:rsid w:val="00A87B35"/>
    <w:rsid w:val="00A87F48"/>
    <w:rsid w:val="00A90136"/>
    <w:rsid w:val="00A904C4"/>
    <w:rsid w:val="00A90653"/>
    <w:rsid w:val="00A90920"/>
    <w:rsid w:val="00A9099B"/>
    <w:rsid w:val="00A909BD"/>
    <w:rsid w:val="00A914DC"/>
    <w:rsid w:val="00A914F3"/>
    <w:rsid w:val="00A917E6"/>
    <w:rsid w:val="00A91A2A"/>
    <w:rsid w:val="00A9212C"/>
    <w:rsid w:val="00A92735"/>
    <w:rsid w:val="00A930A4"/>
    <w:rsid w:val="00A931E6"/>
    <w:rsid w:val="00A93318"/>
    <w:rsid w:val="00A93409"/>
    <w:rsid w:val="00A939A6"/>
    <w:rsid w:val="00A940F6"/>
    <w:rsid w:val="00A94139"/>
    <w:rsid w:val="00A94AC8"/>
    <w:rsid w:val="00A94BFA"/>
    <w:rsid w:val="00A95269"/>
    <w:rsid w:val="00A95BF9"/>
    <w:rsid w:val="00A95DA0"/>
    <w:rsid w:val="00A9609B"/>
    <w:rsid w:val="00A9655A"/>
    <w:rsid w:val="00A965D6"/>
    <w:rsid w:val="00A96C6F"/>
    <w:rsid w:val="00A96D1B"/>
    <w:rsid w:val="00A96D71"/>
    <w:rsid w:val="00A96E7F"/>
    <w:rsid w:val="00A96EAE"/>
    <w:rsid w:val="00A96F4D"/>
    <w:rsid w:val="00A9711C"/>
    <w:rsid w:val="00A972B3"/>
    <w:rsid w:val="00A97306"/>
    <w:rsid w:val="00A976CA"/>
    <w:rsid w:val="00A9787D"/>
    <w:rsid w:val="00A97C53"/>
    <w:rsid w:val="00A97F57"/>
    <w:rsid w:val="00A97F9F"/>
    <w:rsid w:val="00AA012A"/>
    <w:rsid w:val="00AA0137"/>
    <w:rsid w:val="00AA0E7F"/>
    <w:rsid w:val="00AA0F4E"/>
    <w:rsid w:val="00AA0F50"/>
    <w:rsid w:val="00AA0F7D"/>
    <w:rsid w:val="00AA12B0"/>
    <w:rsid w:val="00AA14D4"/>
    <w:rsid w:val="00AA1686"/>
    <w:rsid w:val="00AA17B2"/>
    <w:rsid w:val="00AA1BBE"/>
    <w:rsid w:val="00AA1DCA"/>
    <w:rsid w:val="00AA1F82"/>
    <w:rsid w:val="00AA25B1"/>
    <w:rsid w:val="00AA2F17"/>
    <w:rsid w:val="00AA34AA"/>
    <w:rsid w:val="00AA34B5"/>
    <w:rsid w:val="00AA403C"/>
    <w:rsid w:val="00AA4043"/>
    <w:rsid w:val="00AA411A"/>
    <w:rsid w:val="00AA4379"/>
    <w:rsid w:val="00AA4DFF"/>
    <w:rsid w:val="00AA4E5A"/>
    <w:rsid w:val="00AA4E8D"/>
    <w:rsid w:val="00AA5A85"/>
    <w:rsid w:val="00AA5BAC"/>
    <w:rsid w:val="00AA61D0"/>
    <w:rsid w:val="00AA64C6"/>
    <w:rsid w:val="00AA6539"/>
    <w:rsid w:val="00AA6A1B"/>
    <w:rsid w:val="00AA6EA0"/>
    <w:rsid w:val="00AA6F5B"/>
    <w:rsid w:val="00AA73F8"/>
    <w:rsid w:val="00AA795D"/>
    <w:rsid w:val="00AA7CBB"/>
    <w:rsid w:val="00AA7D91"/>
    <w:rsid w:val="00AA7FCC"/>
    <w:rsid w:val="00AA7FDF"/>
    <w:rsid w:val="00AA7FED"/>
    <w:rsid w:val="00AB0091"/>
    <w:rsid w:val="00AB08EF"/>
    <w:rsid w:val="00AB09F7"/>
    <w:rsid w:val="00AB1347"/>
    <w:rsid w:val="00AB13A1"/>
    <w:rsid w:val="00AB13EF"/>
    <w:rsid w:val="00AB14A7"/>
    <w:rsid w:val="00AB14E0"/>
    <w:rsid w:val="00AB1798"/>
    <w:rsid w:val="00AB1D68"/>
    <w:rsid w:val="00AB1D93"/>
    <w:rsid w:val="00AB1E1D"/>
    <w:rsid w:val="00AB1E31"/>
    <w:rsid w:val="00AB23DC"/>
    <w:rsid w:val="00AB303E"/>
    <w:rsid w:val="00AB30EF"/>
    <w:rsid w:val="00AB31AB"/>
    <w:rsid w:val="00AB357A"/>
    <w:rsid w:val="00AB35F8"/>
    <w:rsid w:val="00AB3F64"/>
    <w:rsid w:val="00AB4100"/>
    <w:rsid w:val="00AB4385"/>
    <w:rsid w:val="00AB4406"/>
    <w:rsid w:val="00AB44E2"/>
    <w:rsid w:val="00AB462D"/>
    <w:rsid w:val="00AB4AF4"/>
    <w:rsid w:val="00AB4BB1"/>
    <w:rsid w:val="00AB4D6B"/>
    <w:rsid w:val="00AB4FC8"/>
    <w:rsid w:val="00AB5097"/>
    <w:rsid w:val="00AB5188"/>
    <w:rsid w:val="00AB51BA"/>
    <w:rsid w:val="00AB53A2"/>
    <w:rsid w:val="00AB5D11"/>
    <w:rsid w:val="00AB6310"/>
    <w:rsid w:val="00AB649C"/>
    <w:rsid w:val="00AB6647"/>
    <w:rsid w:val="00AB6AE6"/>
    <w:rsid w:val="00AB7135"/>
    <w:rsid w:val="00AB713D"/>
    <w:rsid w:val="00AB7740"/>
    <w:rsid w:val="00AB7A36"/>
    <w:rsid w:val="00AB7ADF"/>
    <w:rsid w:val="00AC0463"/>
    <w:rsid w:val="00AC0954"/>
    <w:rsid w:val="00AC0E0E"/>
    <w:rsid w:val="00AC0EED"/>
    <w:rsid w:val="00AC12E4"/>
    <w:rsid w:val="00AC1325"/>
    <w:rsid w:val="00AC1334"/>
    <w:rsid w:val="00AC156D"/>
    <w:rsid w:val="00AC1591"/>
    <w:rsid w:val="00AC192B"/>
    <w:rsid w:val="00AC1E49"/>
    <w:rsid w:val="00AC1FC2"/>
    <w:rsid w:val="00AC265F"/>
    <w:rsid w:val="00AC29BD"/>
    <w:rsid w:val="00AC2A67"/>
    <w:rsid w:val="00AC2DC8"/>
    <w:rsid w:val="00AC2DFD"/>
    <w:rsid w:val="00AC3028"/>
    <w:rsid w:val="00AC31B3"/>
    <w:rsid w:val="00AC33BE"/>
    <w:rsid w:val="00AC380E"/>
    <w:rsid w:val="00AC3F3D"/>
    <w:rsid w:val="00AC488E"/>
    <w:rsid w:val="00AC4C51"/>
    <w:rsid w:val="00AC535F"/>
    <w:rsid w:val="00AC57EE"/>
    <w:rsid w:val="00AC61C4"/>
    <w:rsid w:val="00AC6557"/>
    <w:rsid w:val="00AC66D2"/>
    <w:rsid w:val="00AC6EE9"/>
    <w:rsid w:val="00AC7352"/>
    <w:rsid w:val="00AC7B78"/>
    <w:rsid w:val="00AC7D6A"/>
    <w:rsid w:val="00AC7F88"/>
    <w:rsid w:val="00AD0181"/>
    <w:rsid w:val="00AD0685"/>
    <w:rsid w:val="00AD078B"/>
    <w:rsid w:val="00AD0803"/>
    <w:rsid w:val="00AD0CCA"/>
    <w:rsid w:val="00AD0E5F"/>
    <w:rsid w:val="00AD120F"/>
    <w:rsid w:val="00AD12A3"/>
    <w:rsid w:val="00AD14D7"/>
    <w:rsid w:val="00AD224B"/>
    <w:rsid w:val="00AD2293"/>
    <w:rsid w:val="00AD2314"/>
    <w:rsid w:val="00AD255C"/>
    <w:rsid w:val="00AD28F3"/>
    <w:rsid w:val="00AD29C2"/>
    <w:rsid w:val="00AD2AE2"/>
    <w:rsid w:val="00AD2EA2"/>
    <w:rsid w:val="00AD2F60"/>
    <w:rsid w:val="00AD2FCB"/>
    <w:rsid w:val="00AD300E"/>
    <w:rsid w:val="00AD3116"/>
    <w:rsid w:val="00AD31BA"/>
    <w:rsid w:val="00AD31DB"/>
    <w:rsid w:val="00AD31EA"/>
    <w:rsid w:val="00AD3429"/>
    <w:rsid w:val="00AD36D5"/>
    <w:rsid w:val="00AD378E"/>
    <w:rsid w:val="00AD3862"/>
    <w:rsid w:val="00AD38FF"/>
    <w:rsid w:val="00AD3DA8"/>
    <w:rsid w:val="00AD40F9"/>
    <w:rsid w:val="00AD4230"/>
    <w:rsid w:val="00AD4694"/>
    <w:rsid w:val="00AD4915"/>
    <w:rsid w:val="00AD51BA"/>
    <w:rsid w:val="00AD52E4"/>
    <w:rsid w:val="00AD56CE"/>
    <w:rsid w:val="00AD5C17"/>
    <w:rsid w:val="00AD5C7D"/>
    <w:rsid w:val="00AD6438"/>
    <w:rsid w:val="00AD65AB"/>
    <w:rsid w:val="00AD68F0"/>
    <w:rsid w:val="00AD6D68"/>
    <w:rsid w:val="00AD6D81"/>
    <w:rsid w:val="00AD6FA8"/>
    <w:rsid w:val="00AD7785"/>
    <w:rsid w:val="00AD78A0"/>
    <w:rsid w:val="00AE0317"/>
    <w:rsid w:val="00AE0CF5"/>
    <w:rsid w:val="00AE0D58"/>
    <w:rsid w:val="00AE13AF"/>
    <w:rsid w:val="00AE174E"/>
    <w:rsid w:val="00AE1C72"/>
    <w:rsid w:val="00AE1F13"/>
    <w:rsid w:val="00AE29ED"/>
    <w:rsid w:val="00AE2C60"/>
    <w:rsid w:val="00AE3244"/>
    <w:rsid w:val="00AE39BA"/>
    <w:rsid w:val="00AE3C93"/>
    <w:rsid w:val="00AE3CBF"/>
    <w:rsid w:val="00AE3E4A"/>
    <w:rsid w:val="00AE3F49"/>
    <w:rsid w:val="00AE41D7"/>
    <w:rsid w:val="00AE4204"/>
    <w:rsid w:val="00AE4370"/>
    <w:rsid w:val="00AE450C"/>
    <w:rsid w:val="00AE4527"/>
    <w:rsid w:val="00AE4911"/>
    <w:rsid w:val="00AE4916"/>
    <w:rsid w:val="00AE4CAC"/>
    <w:rsid w:val="00AE4CE2"/>
    <w:rsid w:val="00AE4E10"/>
    <w:rsid w:val="00AE4E27"/>
    <w:rsid w:val="00AE5172"/>
    <w:rsid w:val="00AE517F"/>
    <w:rsid w:val="00AE51B1"/>
    <w:rsid w:val="00AE5B99"/>
    <w:rsid w:val="00AE66DC"/>
    <w:rsid w:val="00AE6AAB"/>
    <w:rsid w:val="00AE6ACB"/>
    <w:rsid w:val="00AE7868"/>
    <w:rsid w:val="00AF01C8"/>
    <w:rsid w:val="00AF02F4"/>
    <w:rsid w:val="00AF04DF"/>
    <w:rsid w:val="00AF08AB"/>
    <w:rsid w:val="00AF0972"/>
    <w:rsid w:val="00AF0C02"/>
    <w:rsid w:val="00AF0C73"/>
    <w:rsid w:val="00AF0D56"/>
    <w:rsid w:val="00AF1F7C"/>
    <w:rsid w:val="00AF1F85"/>
    <w:rsid w:val="00AF1FE1"/>
    <w:rsid w:val="00AF286D"/>
    <w:rsid w:val="00AF29A8"/>
    <w:rsid w:val="00AF2C1F"/>
    <w:rsid w:val="00AF2E19"/>
    <w:rsid w:val="00AF3E3C"/>
    <w:rsid w:val="00AF3F67"/>
    <w:rsid w:val="00AF416F"/>
    <w:rsid w:val="00AF4376"/>
    <w:rsid w:val="00AF4540"/>
    <w:rsid w:val="00AF4A5D"/>
    <w:rsid w:val="00AF4C9D"/>
    <w:rsid w:val="00AF4D75"/>
    <w:rsid w:val="00AF4DEC"/>
    <w:rsid w:val="00AF5152"/>
    <w:rsid w:val="00AF516C"/>
    <w:rsid w:val="00AF523D"/>
    <w:rsid w:val="00AF5B5E"/>
    <w:rsid w:val="00AF5EC4"/>
    <w:rsid w:val="00AF61BD"/>
    <w:rsid w:val="00AF626D"/>
    <w:rsid w:val="00AF6328"/>
    <w:rsid w:val="00AF6920"/>
    <w:rsid w:val="00AF6DD5"/>
    <w:rsid w:val="00AF7390"/>
    <w:rsid w:val="00AF73D9"/>
    <w:rsid w:val="00AF7663"/>
    <w:rsid w:val="00AF7ADD"/>
    <w:rsid w:val="00AF7BD3"/>
    <w:rsid w:val="00B00562"/>
    <w:rsid w:val="00B007AD"/>
    <w:rsid w:val="00B00816"/>
    <w:rsid w:val="00B018EB"/>
    <w:rsid w:val="00B01945"/>
    <w:rsid w:val="00B01A38"/>
    <w:rsid w:val="00B01D12"/>
    <w:rsid w:val="00B026C8"/>
    <w:rsid w:val="00B02AFB"/>
    <w:rsid w:val="00B02BA8"/>
    <w:rsid w:val="00B02DC9"/>
    <w:rsid w:val="00B035C0"/>
    <w:rsid w:val="00B036FF"/>
    <w:rsid w:val="00B038B2"/>
    <w:rsid w:val="00B03ED9"/>
    <w:rsid w:val="00B04B20"/>
    <w:rsid w:val="00B04D6D"/>
    <w:rsid w:val="00B05253"/>
    <w:rsid w:val="00B05357"/>
    <w:rsid w:val="00B0547E"/>
    <w:rsid w:val="00B05966"/>
    <w:rsid w:val="00B06B85"/>
    <w:rsid w:val="00B06C8A"/>
    <w:rsid w:val="00B06F13"/>
    <w:rsid w:val="00B07322"/>
    <w:rsid w:val="00B075B7"/>
    <w:rsid w:val="00B07BCC"/>
    <w:rsid w:val="00B07FBC"/>
    <w:rsid w:val="00B102B3"/>
    <w:rsid w:val="00B10362"/>
    <w:rsid w:val="00B109C6"/>
    <w:rsid w:val="00B10A43"/>
    <w:rsid w:val="00B11348"/>
    <w:rsid w:val="00B11A61"/>
    <w:rsid w:val="00B11AA6"/>
    <w:rsid w:val="00B123CC"/>
    <w:rsid w:val="00B124BF"/>
    <w:rsid w:val="00B12910"/>
    <w:rsid w:val="00B12953"/>
    <w:rsid w:val="00B12E92"/>
    <w:rsid w:val="00B12F2B"/>
    <w:rsid w:val="00B13689"/>
    <w:rsid w:val="00B1371D"/>
    <w:rsid w:val="00B14529"/>
    <w:rsid w:val="00B146F4"/>
    <w:rsid w:val="00B14D71"/>
    <w:rsid w:val="00B14F49"/>
    <w:rsid w:val="00B14FF3"/>
    <w:rsid w:val="00B15728"/>
    <w:rsid w:val="00B15B48"/>
    <w:rsid w:val="00B15B5F"/>
    <w:rsid w:val="00B15D31"/>
    <w:rsid w:val="00B1630A"/>
    <w:rsid w:val="00B1675E"/>
    <w:rsid w:val="00B167CE"/>
    <w:rsid w:val="00B16FB0"/>
    <w:rsid w:val="00B1709C"/>
    <w:rsid w:val="00B17540"/>
    <w:rsid w:val="00B17945"/>
    <w:rsid w:val="00B17BD4"/>
    <w:rsid w:val="00B17D60"/>
    <w:rsid w:val="00B203D3"/>
    <w:rsid w:val="00B2048B"/>
    <w:rsid w:val="00B2056B"/>
    <w:rsid w:val="00B20849"/>
    <w:rsid w:val="00B20E5A"/>
    <w:rsid w:val="00B21764"/>
    <w:rsid w:val="00B217FB"/>
    <w:rsid w:val="00B21BE4"/>
    <w:rsid w:val="00B220F1"/>
    <w:rsid w:val="00B2210A"/>
    <w:rsid w:val="00B22425"/>
    <w:rsid w:val="00B22E7F"/>
    <w:rsid w:val="00B23641"/>
    <w:rsid w:val="00B236DB"/>
    <w:rsid w:val="00B2391A"/>
    <w:rsid w:val="00B2395D"/>
    <w:rsid w:val="00B23B07"/>
    <w:rsid w:val="00B23D0E"/>
    <w:rsid w:val="00B23DD3"/>
    <w:rsid w:val="00B242F0"/>
    <w:rsid w:val="00B24332"/>
    <w:rsid w:val="00B24DCE"/>
    <w:rsid w:val="00B256CD"/>
    <w:rsid w:val="00B258CE"/>
    <w:rsid w:val="00B26BF2"/>
    <w:rsid w:val="00B2715A"/>
    <w:rsid w:val="00B2792B"/>
    <w:rsid w:val="00B306AF"/>
    <w:rsid w:val="00B30899"/>
    <w:rsid w:val="00B309B0"/>
    <w:rsid w:val="00B309BA"/>
    <w:rsid w:val="00B30A51"/>
    <w:rsid w:val="00B30BA3"/>
    <w:rsid w:val="00B30BB4"/>
    <w:rsid w:val="00B30EC2"/>
    <w:rsid w:val="00B31207"/>
    <w:rsid w:val="00B316EF"/>
    <w:rsid w:val="00B31CA8"/>
    <w:rsid w:val="00B32338"/>
    <w:rsid w:val="00B32626"/>
    <w:rsid w:val="00B3262B"/>
    <w:rsid w:val="00B32976"/>
    <w:rsid w:val="00B32F0A"/>
    <w:rsid w:val="00B336F9"/>
    <w:rsid w:val="00B33876"/>
    <w:rsid w:val="00B338AD"/>
    <w:rsid w:val="00B338CE"/>
    <w:rsid w:val="00B33980"/>
    <w:rsid w:val="00B33981"/>
    <w:rsid w:val="00B33FEA"/>
    <w:rsid w:val="00B34B25"/>
    <w:rsid w:val="00B34C3C"/>
    <w:rsid w:val="00B355DA"/>
    <w:rsid w:val="00B357C5"/>
    <w:rsid w:val="00B359F2"/>
    <w:rsid w:val="00B35BBF"/>
    <w:rsid w:val="00B36101"/>
    <w:rsid w:val="00B36396"/>
    <w:rsid w:val="00B3661A"/>
    <w:rsid w:val="00B36827"/>
    <w:rsid w:val="00B36B06"/>
    <w:rsid w:val="00B36B71"/>
    <w:rsid w:val="00B36C44"/>
    <w:rsid w:val="00B36CA5"/>
    <w:rsid w:val="00B36F1D"/>
    <w:rsid w:val="00B37874"/>
    <w:rsid w:val="00B379E5"/>
    <w:rsid w:val="00B37F7F"/>
    <w:rsid w:val="00B400E0"/>
    <w:rsid w:val="00B40952"/>
    <w:rsid w:val="00B40C22"/>
    <w:rsid w:val="00B40DA9"/>
    <w:rsid w:val="00B40E39"/>
    <w:rsid w:val="00B4126B"/>
    <w:rsid w:val="00B41477"/>
    <w:rsid w:val="00B415FC"/>
    <w:rsid w:val="00B41717"/>
    <w:rsid w:val="00B41C7A"/>
    <w:rsid w:val="00B41CDE"/>
    <w:rsid w:val="00B41E45"/>
    <w:rsid w:val="00B4296B"/>
    <w:rsid w:val="00B42BE0"/>
    <w:rsid w:val="00B42C0C"/>
    <w:rsid w:val="00B4338A"/>
    <w:rsid w:val="00B43C06"/>
    <w:rsid w:val="00B4424A"/>
    <w:rsid w:val="00B44424"/>
    <w:rsid w:val="00B45345"/>
    <w:rsid w:val="00B455F9"/>
    <w:rsid w:val="00B45AA4"/>
    <w:rsid w:val="00B45AF7"/>
    <w:rsid w:val="00B45D1F"/>
    <w:rsid w:val="00B45F23"/>
    <w:rsid w:val="00B466DE"/>
    <w:rsid w:val="00B46B0D"/>
    <w:rsid w:val="00B46BD9"/>
    <w:rsid w:val="00B4731E"/>
    <w:rsid w:val="00B4760A"/>
    <w:rsid w:val="00B5031B"/>
    <w:rsid w:val="00B50498"/>
    <w:rsid w:val="00B506C2"/>
    <w:rsid w:val="00B519C5"/>
    <w:rsid w:val="00B51C50"/>
    <w:rsid w:val="00B523F0"/>
    <w:rsid w:val="00B5267A"/>
    <w:rsid w:val="00B52BE3"/>
    <w:rsid w:val="00B52C8E"/>
    <w:rsid w:val="00B52D99"/>
    <w:rsid w:val="00B52EAD"/>
    <w:rsid w:val="00B53018"/>
    <w:rsid w:val="00B531C3"/>
    <w:rsid w:val="00B5322C"/>
    <w:rsid w:val="00B532E1"/>
    <w:rsid w:val="00B533FE"/>
    <w:rsid w:val="00B5395F"/>
    <w:rsid w:val="00B53A7E"/>
    <w:rsid w:val="00B53BCD"/>
    <w:rsid w:val="00B53C10"/>
    <w:rsid w:val="00B545BD"/>
    <w:rsid w:val="00B5492C"/>
    <w:rsid w:val="00B54BF6"/>
    <w:rsid w:val="00B54DDF"/>
    <w:rsid w:val="00B5511C"/>
    <w:rsid w:val="00B556CB"/>
    <w:rsid w:val="00B55738"/>
    <w:rsid w:val="00B5575A"/>
    <w:rsid w:val="00B5576A"/>
    <w:rsid w:val="00B55F36"/>
    <w:rsid w:val="00B55F3D"/>
    <w:rsid w:val="00B55F46"/>
    <w:rsid w:val="00B561D0"/>
    <w:rsid w:val="00B56766"/>
    <w:rsid w:val="00B56A67"/>
    <w:rsid w:val="00B56D05"/>
    <w:rsid w:val="00B57541"/>
    <w:rsid w:val="00B577FB"/>
    <w:rsid w:val="00B5787F"/>
    <w:rsid w:val="00B579F4"/>
    <w:rsid w:val="00B57BFD"/>
    <w:rsid w:val="00B57F83"/>
    <w:rsid w:val="00B604D5"/>
    <w:rsid w:val="00B608DE"/>
    <w:rsid w:val="00B60A1A"/>
    <w:rsid w:val="00B61BC9"/>
    <w:rsid w:val="00B61C8C"/>
    <w:rsid w:val="00B62A51"/>
    <w:rsid w:val="00B62C59"/>
    <w:rsid w:val="00B6333A"/>
    <w:rsid w:val="00B63A8F"/>
    <w:rsid w:val="00B63F95"/>
    <w:rsid w:val="00B64028"/>
    <w:rsid w:val="00B6405F"/>
    <w:rsid w:val="00B640AF"/>
    <w:rsid w:val="00B64A09"/>
    <w:rsid w:val="00B64CFD"/>
    <w:rsid w:val="00B64D25"/>
    <w:rsid w:val="00B65005"/>
    <w:rsid w:val="00B65095"/>
    <w:rsid w:val="00B65342"/>
    <w:rsid w:val="00B65566"/>
    <w:rsid w:val="00B655B7"/>
    <w:rsid w:val="00B65F14"/>
    <w:rsid w:val="00B65FA1"/>
    <w:rsid w:val="00B6607B"/>
    <w:rsid w:val="00B6620A"/>
    <w:rsid w:val="00B66258"/>
    <w:rsid w:val="00B667D2"/>
    <w:rsid w:val="00B66810"/>
    <w:rsid w:val="00B668CF"/>
    <w:rsid w:val="00B67028"/>
    <w:rsid w:val="00B67050"/>
    <w:rsid w:val="00B67808"/>
    <w:rsid w:val="00B67BE7"/>
    <w:rsid w:val="00B67E4A"/>
    <w:rsid w:val="00B70455"/>
    <w:rsid w:val="00B7080C"/>
    <w:rsid w:val="00B7085A"/>
    <w:rsid w:val="00B714A7"/>
    <w:rsid w:val="00B7259C"/>
    <w:rsid w:val="00B72704"/>
    <w:rsid w:val="00B72F39"/>
    <w:rsid w:val="00B7355B"/>
    <w:rsid w:val="00B73A53"/>
    <w:rsid w:val="00B73B58"/>
    <w:rsid w:val="00B743A6"/>
    <w:rsid w:val="00B74AA1"/>
    <w:rsid w:val="00B74CB5"/>
    <w:rsid w:val="00B75444"/>
    <w:rsid w:val="00B7572E"/>
    <w:rsid w:val="00B75D29"/>
    <w:rsid w:val="00B76CCC"/>
    <w:rsid w:val="00B76CCE"/>
    <w:rsid w:val="00B77A52"/>
    <w:rsid w:val="00B77C15"/>
    <w:rsid w:val="00B77CB9"/>
    <w:rsid w:val="00B77E66"/>
    <w:rsid w:val="00B77F9D"/>
    <w:rsid w:val="00B80006"/>
    <w:rsid w:val="00B80129"/>
    <w:rsid w:val="00B802F3"/>
    <w:rsid w:val="00B803E2"/>
    <w:rsid w:val="00B80487"/>
    <w:rsid w:val="00B80A72"/>
    <w:rsid w:val="00B80B71"/>
    <w:rsid w:val="00B80C97"/>
    <w:rsid w:val="00B80D5A"/>
    <w:rsid w:val="00B80E78"/>
    <w:rsid w:val="00B8119C"/>
    <w:rsid w:val="00B818DF"/>
    <w:rsid w:val="00B81ADA"/>
    <w:rsid w:val="00B81BEF"/>
    <w:rsid w:val="00B81D49"/>
    <w:rsid w:val="00B81DB1"/>
    <w:rsid w:val="00B81FE5"/>
    <w:rsid w:val="00B82006"/>
    <w:rsid w:val="00B821CC"/>
    <w:rsid w:val="00B82650"/>
    <w:rsid w:val="00B826B4"/>
    <w:rsid w:val="00B83075"/>
    <w:rsid w:val="00B8343B"/>
    <w:rsid w:val="00B837F0"/>
    <w:rsid w:val="00B84181"/>
    <w:rsid w:val="00B84854"/>
    <w:rsid w:val="00B848C4"/>
    <w:rsid w:val="00B8517A"/>
    <w:rsid w:val="00B85244"/>
    <w:rsid w:val="00B85333"/>
    <w:rsid w:val="00B8545C"/>
    <w:rsid w:val="00B857E4"/>
    <w:rsid w:val="00B85C6E"/>
    <w:rsid w:val="00B85E8A"/>
    <w:rsid w:val="00B86B5D"/>
    <w:rsid w:val="00B8701D"/>
    <w:rsid w:val="00B871B7"/>
    <w:rsid w:val="00B87420"/>
    <w:rsid w:val="00B87A39"/>
    <w:rsid w:val="00B87CB7"/>
    <w:rsid w:val="00B90032"/>
    <w:rsid w:val="00B900DA"/>
    <w:rsid w:val="00B90137"/>
    <w:rsid w:val="00B90CF3"/>
    <w:rsid w:val="00B91187"/>
    <w:rsid w:val="00B91256"/>
    <w:rsid w:val="00B915DC"/>
    <w:rsid w:val="00B91890"/>
    <w:rsid w:val="00B91A8D"/>
    <w:rsid w:val="00B91AEB"/>
    <w:rsid w:val="00B91BD7"/>
    <w:rsid w:val="00B920BF"/>
    <w:rsid w:val="00B92215"/>
    <w:rsid w:val="00B923D0"/>
    <w:rsid w:val="00B92708"/>
    <w:rsid w:val="00B92B9D"/>
    <w:rsid w:val="00B92C5F"/>
    <w:rsid w:val="00B93036"/>
    <w:rsid w:val="00B9318A"/>
    <w:rsid w:val="00B935F8"/>
    <w:rsid w:val="00B93BE1"/>
    <w:rsid w:val="00B93F55"/>
    <w:rsid w:val="00B93F6E"/>
    <w:rsid w:val="00B94416"/>
    <w:rsid w:val="00B9444B"/>
    <w:rsid w:val="00B944BA"/>
    <w:rsid w:val="00B9466B"/>
    <w:rsid w:val="00B9500D"/>
    <w:rsid w:val="00B95109"/>
    <w:rsid w:val="00B951E2"/>
    <w:rsid w:val="00B956F1"/>
    <w:rsid w:val="00B95CA2"/>
    <w:rsid w:val="00B96358"/>
    <w:rsid w:val="00B963D3"/>
    <w:rsid w:val="00B963ED"/>
    <w:rsid w:val="00B96484"/>
    <w:rsid w:val="00B96519"/>
    <w:rsid w:val="00B96B4C"/>
    <w:rsid w:val="00B96D75"/>
    <w:rsid w:val="00B96E54"/>
    <w:rsid w:val="00B96EF9"/>
    <w:rsid w:val="00B97362"/>
    <w:rsid w:val="00B973E6"/>
    <w:rsid w:val="00BA0397"/>
    <w:rsid w:val="00BA06B4"/>
    <w:rsid w:val="00BA0770"/>
    <w:rsid w:val="00BA09DF"/>
    <w:rsid w:val="00BA0A0C"/>
    <w:rsid w:val="00BA168C"/>
    <w:rsid w:val="00BA18B0"/>
    <w:rsid w:val="00BA2591"/>
    <w:rsid w:val="00BA27F2"/>
    <w:rsid w:val="00BA2F11"/>
    <w:rsid w:val="00BA2FA5"/>
    <w:rsid w:val="00BA3171"/>
    <w:rsid w:val="00BA3598"/>
    <w:rsid w:val="00BA3AD5"/>
    <w:rsid w:val="00BA3DFA"/>
    <w:rsid w:val="00BA51BF"/>
    <w:rsid w:val="00BA52EE"/>
    <w:rsid w:val="00BA5686"/>
    <w:rsid w:val="00BA569E"/>
    <w:rsid w:val="00BA5A22"/>
    <w:rsid w:val="00BA5D19"/>
    <w:rsid w:val="00BA5D79"/>
    <w:rsid w:val="00BA63B2"/>
    <w:rsid w:val="00BA6675"/>
    <w:rsid w:val="00BA68AA"/>
    <w:rsid w:val="00BA6B55"/>
    <w:rsid w:val="00BA6EAD"/>
    <w:rsid w:val="00BA75BC"/>
    <w:rsid w:val="00BA7AC6"/>
    <w:rsid w:val="00BB0487"/>
    <w:rsid w:val="00BB086C"/>
    <w:rsid w:val="00BB0D85"/>
    <w:rsid w:val="00BB0E5F"/>
    <w:rsid w:val="00BB0E9D"/>
    <w:rsid w:val="00BB0F41"/>
    <w:rsid w:val="00BB1504"/>
    <w:rsid w:val="00BB22DC"/>
    <w:rsid w:val="00BB23BC"/>
    <w:rsid w:val="00BB2941"/>
    <w:rsid w:val="00BB3D8B"/>
    <w:rsid w:val="00BB3E1F"/>
    <w:rsid w:val="00BB3F44"/>
    <w:rsid w:val="00BB44CC"/>
    <w:rsid w:val="00BB47B2"/>
    <w:rsid w:val="00BB4801"/>
    <w:rsid w:val="00BB5175"/>
    <w:rsid w:val="00BB626D"/>
    <w:rsid w:val="00BB6355"/>
    <w:rsid w:val="00BB6B73"/>
    <w:rsid w:val="00BB75AD"/>
    <w:rsid w:val="00BB7622"/>
    <w:rsid w:val="00BB7C43"/>
    <w:rsid w:val="00BB7D32"/>
    <w:rsid w:val="00BC0640"/>
    <w:rsid w:val="00BC0A53"/>
    <w:rsid w:val="00BC0DC5"/>
    <w:rsid w:val="00BC0FCD"/>
    <w:rsid w:val="00BC1320"/>
    <w:rsid w:val="00BC1694"/>
    <w:rsid w:val="00BC1BC5"/>
    <w:rsid w:val="00BC1D36"/>
    <w:rsid w:val="00BC1EE2"/>
    <w:rsid w:val="00BC1FB1"/>
    <w:rsid w:val="00BC2479"/>
    <w:rsid w:val="00BC2FF1"/>
    <w:rsid w:val="00BC321E"/>
    <w:rsid w:val="00BC368B"/>
    <w:rsid w:val="00BC3869"/>
    <w:rsid w:val="00BC3E62"/>
    <w:rsid w:val="00BC4AB3"/>
    <w:rsid w:val="00BC4FA0"/>
    <w:rsid w:val="00BC556F"/>
    <w:rsid w:val="00BC5B66"/>
    <w:rsid w:val="00BC63AF"/>
    <w:rsid w:val="00BC6741"/>
    <w:rsid w:val="00BC6859"/>
    <w:rsid w:val="00BC706D"/>
    <w:rsid w:val="00BC7141"/>
    <w:rsid w:val="00BC7224"/>
    <w:rsid w:val="00BC77E8"/>
    <w:rsid w:val="00BC793B"/>
    <w:rsid w:val="00BC7EC7"/>
    <w:rsid w:val="00BD0802"/>
    <w:rsid w:val="00BD0A3B"/>
    <w:rsid w:val="00BD1128"/>
    <w:rsid w:val="00BD142F"/>
    <w:rsid w:val="00BD15DD"/>
    <w:rsid w:val="00BD1E34"/>
    <w:rsid w:val="00BD1E43"/>
    <w:rsid w:val="00BD1F4B"/>
    <w:rsid w:val="00BD20A9"/>
    <w:rsid w:val="00BD2B15"/>
    <w:rsid w:val="00BD2BDF"/>
    <w:rsid w:val="00BD2FE8"/>
    <w:rsid w:val="00BD32F2"/>
    <w:rsid w:val="00BD3D27"/>
    <w:rsid w:val="00BD4168"/>
    <w:rsid w:val="00BD43F2"/>
    <w:rsid w:val="00BD447F"/>
    <w:rsid w:val="00BD48AE"/>
    <w:rsid w:val="00BD515D"/>
    <w:rsid w:val="00BD5428"/>
    <w:rsid w:val="00BD56C3"/>
    <w:rsid w:val="00BD5D99"/>
    <w:rsid w:val="00BD6061"/>
    <w:rsid w:val="00BD66E0"/>
    <w:rsid w:val="00BD678B"/>
    <w:rsid w:val="00BD687E"/>
    <w:rsid w:val="00BD69C8"/>
    <w:rsid w:val="00BD6DFC"/>
    <w:rsid w:val="00BD6FD7"/>
    <w:rsid w:val="00BD7191"/>
    <w:rsid w:val="00BD71D5"/>
    <w:rsid w:val="00BD7460"/>
    <w:rsid w:val="00BD785A"/>
    <w:rsid w:val="00BD7A1D"/>
    <w:rsid w:val="00BD7F16"/>
    <w:rsid w:val="00BE02DA"/>
    <w:rsid w:val="00BE071F"/>
    <w:rsid w:val="00BE14DC"/>
    <w:rsid w:val="00BE159F"/>
    <w:rsid w:val="00BE15D5"/>
    <w:rsid w:val="00BE17B0"/>
    <w:rsid w:val="00BE18DA"/>
    <w:rsid w:val="00BE1B24"/>
    <w:rsid w:val="00BE1FE2"/>
    <w:rsid w:val="00BE221A"/>
    <w:rsid w:val="00BE2787"/>
    <w:rsid w:val="00BE2811"/>
    <w:rsid w:val="00BE29C9"/>
    <w:rsid w:val="00BE3215"/>
    <w:rsid w:val="00BE34C2"/>
    <w:rsid w:val="00BE39FE"/>
    <w:rsid w:val="00BE3B7E"/>
    <w:rsid w:val="00BE3DBA"/>
    <w:rsid w:val="00BE3EC3"/>
    <w:rsid w:val="00BE3F85"/>
    <w:rsid w:val="00BE4349"/>
    <w:rsid w:val="00BE477A"/>
    <w:rsid w:val="00BE4B21"/>
    <w:rsid w:val="00BE4C22"/>
    <w:rsid w:val="00BE4DC6"/>
    <w:rsid w:val="00BE4F4A"/>
    <w:rsid w:val="00BE52BB"/>
    <w:rsid w:val="00BE61C1"/>
    <w:rsid w:val="00BE62EB"/>
    <w:rsid w:val="00BE63A0"/>
    <w:rsid w:val="00BE6577"/>
    <w:rsid w:val="00BE6F13"/>
    <w:rsid w:val="00BE700E"/>
    <w:rsid w:val="00BE71CB"/>
    <w:rsid w:val="00BE751A"/>
    <w:rsid w:val="00BE79AF"/>
    <w:rsid w:val="00BE7EE9"/>
    <w:rsid w:val="00BE7F19"/>
    <w:rsid w:val="00BE7F9E"/>
    <w:rsid w:val="00BE7FD4"/>
    <w:rsid w:val="00BF01A3"/>
    <w:rsid w:val="00BF0965"/>
    <w:rsid w:val="00BF09AD"/>
    <w:rsid w:val="00BF0AA0"/>
    <w:rsid w:val="00BF0D18"/>
    <w:rsid w:val="00BF0ED8"/>
    <w:rsid w:val="00BF10C4"/>
    <w:rsid w:val="00BF1346"/>
    <w:rsid w:val="00BF2576"/>
    <w:rsid w:val="00BF2875"/>
    <w:rsid w:val="00BF2DF4"/>
    <w:rsid w:val="00BF30C3"/>
    <w:rsid w:val="00BF34A4"/>
    <w:rsid w:val="00BF3759"/>
    <w:rsid w:val="00BF382B"/>
    <w:rsid w:val="00BF3830"/>
    <w:rsid w:val="00BF483E"/>
    <w:rsid w:val="00BF4FB3"/>
    <w:rsid w:val="00BF559D"/>
    <w:rsid w:val="00BF5AB6"/>
    <w:rsid w:val="00BF5B32"/>
    <w:rsid w:val="00BF5B5F"/>
    <w:rsid w:val="00BF5E85"/>
    <w:rsid w:val="00BF6112"/>
    <w:rsid w:val="00BF6154"/>
    <w:rsid w:val="00BF63B2"/>
    <w:rsid w:val="00BF63F6"/>
    <w:rsid w:val="00BF6A3F"/>
    <w:rsid w:val="00BF6B7B"/>
    <w:rsid w:val="00BF711E"/>
    <w:rsid w:val="00BF7B41"/>
    <w:rsid w:val="00BF7BFB"/>
    <w:rsid w:val="00C00444"/>
    <w:rsid w:val="00C00500"/>
    <w:rsid w:val="00C005BC"/>
    <w:rsid w:val="00C00FCD"/>
    <w:rsid w:val="00C010D9"/>
    <w:rsid w:val="00C0127B"/>
    <w:rsid w:val="00C01AF7"/>
    <w:rsid w:val="00C01C82"/>
    <w:rsid w:val="00C01DF6"/>
    <w:rsid w:val="00C01F21"/>
    <w:rsid w:val="00C02258"/>
    <w:rsid w:val="00C022E6"/>
    <w:rsid w:val="00C028FF"/>
    <w:rsid w:val="00C02BA3"/>
    <w:rsid w:val="00C02FA3"/>
    <w:rsid w:val="00C0301B"/>
    <w:rsid w:val="00C0385D"/>
    <w:rsid w:val="00C03B2E"/>
    <w:rsid w:val="00C03BED"/>
    <w:rsid w:val="00C03F58"/>
    <w:rsid w:val="00C04137"/>
    <w:rsid w:val="00C04138"/>
    <w:rsid w:val="00C0416B"/>
    <w:rsid w:val="00C04708"/>
    <w:rsid w:val="00C0471A"/>
    <w:rsid w:val="00C047E4"/>
    <w:rsid w:val="00C04D77"/>
    <w:rsid w:val="00C04D85"/>
    <w:rsid w:val="00C04E59"/>
    <w:rsid w:val="00C051C3"/>
    <w:rsid w:val="00C0538F"/>
    <w:rsid w:val="00C0575D"/>
    <w:rsid w:val="00C058BA"/>
    <w:rsid w:val="00C05C5C"/>
    <w:rsid w:val="00C05DA8"/>
    <w:rsid w:val="00C0648E"/>
    <w:rsid w:val="00C0651B"/>
    <w:rsid w:val="00C0743A"/>
    <w:rsid w:val="00C07738"/>
    <w:rsid w:val="00C0789F"/>
    <w:rsid w:val="00C10113"/>
    <w:rsid w:val="00C10569"/>
    <w:rsid w:val="00C1202E"/>
    <w:rsid w:val="00C12301"/>
    <w:rsid w:val="00C125AA"/>
    <w:rsid w:val="00C128D7"/>
    <w:rsid w:val="00C12B88"/>
    <w:rsid w:val="00C1343F"/>
    <w:rsid w:val="00C134CC"/>
    <w:rsid w:val="00C135F0"/>
    <w:rsid w:val="00C13CEB"/>
    <w:rsid w:val="00C13D9B"/>
    <w:rsid w:val="00C13ECA"/>
    <w:rsid w:val="00C145EC"/>
    <w:rsid w:val="00C146F5"/>
    <w:rsid w:val="00C14ECE"/>
    <w:rsid w:val="00C1531B"/>
    <w:rsid w:val="00C154BD"/>
    <w:rsid w:val="00C1574C"/>
    <w:rsid w:val="00C15ACD"/>
    <w:rsid w:val="00C15C6A"/>
    <w:rsid w:val="00C16045"/>
    <w:rsid w:val="00C161A4"/>
    <w:rsid w:val="00C161B8"/>
    <w:rsid w:val="00C163A2"/>
    <w:rsid w:val="00C16787"/>
    <w:rsid w:val="00C16841"/>
    <w:rsid w:val="00C17007"/>
    <w:rsid w:val="00C1700E"/>
    <w:rsid w:val="00C1711D"/>
    <w:rsid w:val="00C20118"/>
    <w:rsid w:val="00C203A3"/>
    <w:rsid w:val="00C205F9"/>
    <w:rsid w:val="00C20DBE"/>
    <w:rsid w:val="00C20FAC"/>
    <w:rsid w:val="00C2197C"/>
    <w:rsid w:val="00C21F43"/>
    <w:rsid w:val="00C22059"/>
    <w:rsid w:val="00C223EF"/>
    <w:rsid w:val="00C2251B"/>
    <w:rsid w:val="00C22FDA"/>
    <w:rsid w:val="00C2307F"/>
    <w:rsid w:val="00C2322D"/>
    <w:rsid w:val="00C232D3"/>
    <w:rsid w:val="00C23486"/>
    <w:rsid w:val="00C234E0"/>
    <w:rsid w:val="00C23680"/>
    <w:rsid w:val="00C23FDC"/>
    <w:rsid w:val="00C244D4"/>
    <w:rsid w:val="00C24653"/>
    <w:rsid w:val="00C24DD0"/>
    <w:rsid w:val="00C2560D"/>
    <w:rsid w:val="00C25AD4"/>
    <w:rsid w:val="00C25D77"/>
    <w:rsid w:val="00C261E5"/>
    <w:rsid w:val="00C2637F"/>
    <w:rsid w:val="00C26544"/>
    <w:rsid w:val="00C26665"/>
    <w:rsid w:val="00C2671B"/>
    <w:rsid w:val="00C26825"/>
    <w:rsid w:val="00C26DD9"/>
    <w:rsid w:val="00C2738C"/>
    <w:rsid w:val="00C276F4"/>
    <w:rsid w:val="00C27C35"/>
    <w:rsid w:val="00C27FAA"/>
    <w:rsid w:val="00C30299"/>
    <w:rsid w:val="00C30BA3"/>
    <w:rsid w:val="00C30BDE"/>
    <w:rsid w:val="00C313DE"/>
    <w:rsid w:val="00C31738"/>
    <w:rsid w:val="00C31BDE"/>
    <w:rsid w:val="00C31C99"/>
    <w:rsid w:val="00C31E35"/>
    <w:rsid w:val="00C321F2"/>
    <w:rsid w:val="00C32785"/>
    <w:rsid w:val="00C327D5"/>
    <w:rsid w:val="00C333DA"/>
    <w:rsid w:val="00C33531"/>
    <w:rsid w:val="00C335C3"/>
    <w:rsid w:val="00C33A6B"/>
    <w:rsid w:val="00C33C86"/>
    <w:rsid w:val="00C34040"/>
    <w:rsid w:val="00C34285"/>
    <w:rsid w:val="00C34A65"/>
    <w:rsid w:val="00C35041"/>
    <w:rsid w:val="00C35048"/>
    <w:rsid w:val="00C35127"/>
    <w:rsid w:val="00C355B5"/>
    <w:rsid w:val="00C361E4"/>
    <w:rsid w:val="00C36A49"/>
    <w:rsid w:val="00C36D6A"/>
    <w:rsid w:val="00C3795C"/>
    <w:rsid w:val="00C37A1D"/>
    <w:rsid w:val="00C4034C"/>
    <w:rsid w:val="00C40722"/>
    <w:rsid w:val="00C41E2B"/>
    <w:rsid w:val="00C4233A"/>
    <w:rsid w:val="00C42B03"/>
    <w:rsid w:val="00C42CDD"/>
    <w:rsid w:val="00C437A9"/>
    <w:rsid w:val="00C4383C"/>
    <w:rsid w:val="00C438F2"/>
    <w:rsid w:val="00C43E07"/>
    <w:rsid w:val="00C44542"/>
    <w:rsid w:val="00C4465B"/>
    <w:rsid w:val="00C4471F"/>
    <w:rsid w:val="00C44A25"/>
    <w:rsid w:val="00C45131"/>
    <w:rsid w:val="00C45254"/>
    <w:rsid w:val="00C45BF4"/>
    <w:rsid w:val="00C45F15"/>
    <w:rsid w:val="00C45F4F"/>
    <w:rsid w:val="00C4656A"/>
    <w:rsid w:val="00C468FC"/>
    <w:rsid w:val="00C46967"/>
    <w:rsid w:val="00C46A25"/>
    <w:rsid w:val="00C46BA3"/>
    <w:rsid w:val="00C4702F"/>
    <w:rsid w:val="00C4705C"/>
    <w:rsid w:val="00C4708E"/>
    <w:rsid w:val="00C473D6"/>
    <w:rsid w:val="00C4774B"/>
    <w:rsid w:val="00C479E7"/>
    <w:rsid w:val="00C47B22"/>
    <w:rsid w:val="00C47CC2"/>
    <w:rsid w:val="00C47E5E"/>
    <w:rsid w:val="00C47F03"/>
    <w:rsid w:val="00C500AD"/>
    <w:rsid w:val="00C501E9"/>
    <w:rsid w:val="00C50430"/>
    <w:rsid w:val="00C50534"/>
    <w:rsid w:val="00C50921"/>
    <w:rsid w:val="00C50C2D"/>
    <w:rsid w:val="00C50DC1"/>
    <w:rsid w:val="00C50DCC"/>
    <w:rsid w:val="00C50DFF"/>
    <w:rsid w:val="00C51088"/>
    <w:rsid w:val="00C51202"/>
    <w:rsid w:val="00C512DC"/>
    <w:rsid w:val="00C51392"/>
    <w:rsid w:val="00C513A1"/>
    <w:rsid w:val="00C51869"/>
    <w:rsid w:val="00C519DD"/>
    <w:rsid w:val="00C51C53"/>
    <w:rsid w:val="00C533C2"/>
    <w:rsid w:val="00C536D2"/>
    <w:rsid w:val="00C53ECF"/>
    <w:rsid w:val="00C53EFC"/>
    <w:rsid w:val="00C54176"/>
    <w:rsid w:val="00C545D3"/>
    <w:rsid w:val="00C545D7"/>
    <w:rsid w:val="00C54A8E"/>
    <w:rsid w:val="00C54B20"/>
    <w:rsid w:val="00C5561C"/>
    <w:rsid w:val="00C55819"/>
    <w:rsid w:val="00C55F28"/>
    <w:rsid w:val="00C57016"/>
    <w:rsid w:val="00C5707A"/>
    <w:rsid w:val="00C570FE"/>
    <w:rsid w:val="00C5725A"/>
    <w:rsid w:val="00C57DFF"/>
    <w:rsid w:val="00C605FB"/>
    <w:rsid w:val="00C6064F"/>
    <w:rsid w:val="00C6066D"/>
    <w:rsid w:val="00C60A6D"/>
    <w:rsid w:val="00C60D34"/>
    <w:rsid w:val="00C61538"/>
    <w:rsid w:val="00C61556"/>
    <w:rsid w:val="00C6169B"/>
    <w:rsid w:val="00C61862"/>
    <w:rsid w:val="00C61E72"/>
    <w:rsid w:val="00C6271F"/>
    <w:rsid w:val="00C63276"/>
    <w:rsid w:val="00C6349B"/>
    <w:rsid w:val="00C6371D"/>
    <w:rsid w:val="00C638D1"/>
    <w:rsid w:val="00C63973"/>
    <w:rsid w:val="00C64108"/>
    <w:rsid w:val="00C64136"/>
    <w:rsid w:val="00C64860"/>
    <w:rsid w:val="00C64A28"/>
    <w:rsid w:val="00C64A90"/>
    <w:rsid w:val="00C64BFF"/>
    <w:rsid w:val="00C65394"/>
    <w:rsid w:val="00C655C7"/>
    <w:rsid w:val="00C655E8"/>
    <w:rsid w:val="00C656D8"/>
    <w:rsid w:val="00C662AD"/>
    <w:rsid w:val="00C666BC"/>
    <w:rsid w:val="00C67965"/>
    <w:rsid w:val="00C679D0"/>
    <w:rsid w:val="00C67A40"/>
    <w:rsid w:val="00C70091"/>
    <w:rsid w:val="00C700E0"/>
    <w:rsid w:val="00C70A28"/>
    <w:rsid w:val="00C70E46"/>
    <w:rsid w:val="00C711A3"/>
    <w:rsid w:val="00C712EE"/>
    <w:rsid w:val="00C71C10"/>
    <w:rsid w:val="00C720D6"/>
    <w:rsid w:val="00C72149"/>
    <w:rsid w:val="00C727AD"/>
    <w:rsid w:val="00C73606"/>
    <w:rsid w:val="00C73911"/>
    <w:rsid w:val="00C73B81"/>
    <w:rsid w:val="00C7440E"/>
    <w:rsid w:val="00C74475"/>
    <w:rsid w:val="00C744DA"/>
    <w:rsid w:val="00C74CDA"/>
    <w:rsid w:val="00C74F04"/>
    <w:rsid w:val="00C75168"/>
    <w:rsid w:val="00C754A4"/>
    <w:rsid w:val="00C7583B"/>
    <w:rsid w:val="00C76172"/>
    <w:rsid w:val="00C7626F"/>
    <w:rsid w:val="00C7697B"/>
    <w:rsid w:val="00C76D35"/>
    <w:rsid w:val="00C76D73"/>
    <w:rsid w:val="00C7724B"/>
    <w:rsid w:val="00C77315"/>
    <w:rsid w:val="00C77BC0"/>
    <w:rsid w:val="00C77C23"/>
    <w:rsid w:val="00C77E6C"/>
    <w:rsid w:val="00C801D6"/>
    <w:rsid w:val="00C808A9"/>
    <w:rsid w:val="00C80B33"/>
    <w:rsid w:val="00C8164A"/>
    <w:rsid w:val="00C81882"/>
    <w:rsid w:val="00C81C1A"/>
    <w:rsid w:val="00C81DCA"/>
    <w:rsid w:val="00C8265D"/>
    <w:rsid w:val="00C82BFD"/>
    <w:rsid w:val="00C82C6E"/>
    <w:rsid w:val="00C82CB9"/>
    <w:rsid w:val="00C8301C"/>
    <w:rsid w:val="00C83042"/>
    <w:rsid w:val="00C8371D"/>
    <w:rsid w:val="00C83796"/>
    <w:rsid w:val="00C83CD3"/>
    <w:rsid w:val="00C84AB6"/>
    <w:rsid w:val="00C84C23"/>
    <w:rsid w:val="00C85114"/>
    <w:rsid w:val="00C851BB"/>
    <w:rsid w:val="00C853AD"/>
    <w:rsid w:val="00C8558B"/>
    <w:rsid w:val="00C8558F"/>
    <w:rsid w:val="00C855A0"/>
    <w:rsid w:val="00C855CE"/>
    <w:rsid w:val="00C85670"/>
    <w:rsid w:val="00C85B73"/>
    <w:rsid w:val="00C85E1E"/>
    <w:rsid w:val="00C86091"/>
    <w:rsid w:val="00C866E3"/>
    <w:rsid w:val="00C86836"/>
    <w:rsid w:val="00C86AF8"/>
    <w:rsid w:val="00C86D16"/>
    <w:rsid w:val="00C873D6"/>
    <w:rsid w:val="00C87671"/>
    <w:rsid w:val="00C877F1"/>
    <w:rsid w:val="00C87A4B"/>
    <w:rsid w:val="00C902B3"/>
    <w:rsid w:val="00C90A18"/>
    <w:rsid w:val="00C90A49"/>
    <w:rsid w:val="00C90A9B"/>
    <w:rsid w:val="00C90BFD"/>
    <w:rsid w:val="00C9160C"/>
    <w:rsid w:val="00C91754"/>
    <w:rsid w:val="00C92709"/>
    <w:rsid w:val="00C92F1C"/>
    <w:rsid w:val="00C934CD"/>
    <w:rsid w:val="00C936B7"/>
    <w:rsid w:val="00C9371D"/>
    <w:rsid w:val="00C93BE9"/>
    <w:rsid w:val="00C94FF6"/>
    <w:rsid w:val="00C952FF"/>
    <w:rsid w:val="00C95A11"/>
    <w:rsid w:val="00C95BDA"/>
    <w:rsid w:val="00C962BC"/>
    <w:rsid w:val="00C96822"/>
    <w:rsid w:val="00C96978"/>
    <w:rsid w:val="00C96B07"/>
    <w:rsid w:val="00C96BD0"/>
    <w:rsid w:val="00C9700A"/>
    <w:rsid w:val="00C976EC"/>
    <w:rsid w:val="00CA084A"/>
    <w:rsid w:val="00CA09E6"/>
    <w:rsid w:val="00CA0BF3"/>
    <w:rsid w:val="00CA0CCC"/>
    <w:rsid w:val="00CA0D42"/>
    <w:rsid w:val="00CA124B"/>
    <w:rsid w:val="00CA1E50"/>
    <w:rsid w:val="00CA1FBA"/>
    <w:rsid w:val="00CA2313"/>
    <w:rsid w:val="00CA2824"/>
    <w:rsid w:val="00CA2848"/>
    <w:rsid w:val="00CA2AA2"/>
    <w:rsid w:val="00CA3072"/>
    <w:rsid w:val="00CA3491"/>
    <w:rsid w:val="00CA368F"/>
    <w:rsid w:val="00CA3871"/>
    <w:rsid w:val="00CA3CE4"/>
    <w:rsid w:val="00CA3F52"/>
    <w:rsid w:val="00CA4057"/>
    <w:rsid w:val="00CA4E94"/>
    <w:rsid w:val="00CA4F5D"/>
    <w:rsid w:val="00CA5538"/>
    <w:rsid w:val="00CA59FA"/>
    <w:rsid w:val="00CA6382"/>
    <w:rsid w:val="00CA73A7"/>
    <w:rsid w:val="00CA7C27"/>
    <w:rsid w:val="00CB016A"/>
    <w:rsid w:val="00CB14CE"/>
    <w:rsid w:val="00CB15A4"/>
    <w:rsid w:val="00CB15D1"/>
    <w:rsid w:val="00CB17CD"/>
    <w:rsid w:val="00CB1A7D"/>
    <w:rsid w:val="00CB1E34"/>
    <w:rsid w:val="00CB1ECE"/>
    <w:rsid w:val="00CB23B5"/>
    <w:rsid w:val="00CB2406"/>
    <w:rsid w:val="00CB2800"/>
    <w:rsid w:val="00CB2902"/>
    <w:rsid w:val="00CB29C3"/>
    <w:rsid w:val="00CB2E23"/>
    <w:rsid w:val="00CB2E4B"/>
    <w:rsid w:val="00CB3972"/>
    <w:rsid w:val="00CB3A2A"/>
    <w:rsid w:val="00CB41B1"/>
    <w:rsid w:val="00CB4498"/>
    <w:rsid w:val="00CB45D9"/>
    <w:rsid w:val="00CB4C4E"/>
    <w:rsid w:val="00CB4F27"/>
    <w:rsid w:val="00CB55F0"/>
    <w:rsid w:val="00CB56A0"/>
    <w:rsid w:val="00CB58FA"/>
    <w:rsid w:val="00CB5AFA"/>
    <w:rsid w:val="00CB5D0D"/>
    <w:rsid w:val="00CB5D9D"/>
    <w:rsid w:val="00CB5DB6"/>
    <w:rsid w:val="00CB5EDF"/>
    <w:rsid w:val="00CB5F56"/>
    <w:rsid w:val="00CB6118"/>
    <w:rsid w:val="00CB6247"/>
    <w:rsid w:val="00CB663B"/>
    <w:rsid w:val="00CB6658"/>
    <w:rsid w:val="00CB68E0"/>
    <w:rsid w:val="00CB6F0E"/>
    <w:rsid w:val="00CB765B"/>
    <w:rsid w:val="00CC0028"/>
    <w:rsid w:val="00CC0254"/>
    <w:rsid w:val="00CC02A7"/>
    <w:rsid w:val="00CC02B8"/>
    <w:rsid w:val="00CC093D"/>
    <w:rsid w:val="00CC0CBD"/>
    <w:rsid w:val="00CC0F01"/>
    <w:rsid w:val="00CC0F30"/>
    <w:rsid w:val="00CC1CF5"/>
    <w:rsid w:val="00CC1E9F"/>
    <w:rsid w:val="00CC1ED2"/>
    <w:rsid w:val="00CC25FA"/>
    <w:rsid w:val="00CC2C95"/>
    <w:rsid w:val="00CC2DF2"/>
    <w:rsid w:val="00CC2F32"/>
    <w:rsid w:val="00CC308F"/>
    <w:rsid w:val="00CC3274"/>
    <w:rsid w:val="00CC3DA3"/>
    <w:rsid w:val="00CC42BB"/>
    <w:rsid w:val="00CC43CD"/>
    <w:rsid w:val="00CC43DB"/>
    <w:rsid w:val="00CC4619"/>
    <w:rsid w:val="00CC48CC"/>
    <w:rsid w:val="00CC49A9"/>
    <w:rsid w:val="00CC4DC7"/>
    <w:rsid w:val="00CC5139"/>
    <w:rsid w:val="00CC55C2"/>
    <w:rsid w:val="00CC55D9"/>
    <w:rsid w:val="00CC56D8"/>
    <w:rsid w:val="00CC5DD4"/>
    <w:rsid w:val="00CC63F9"/>
    <w:rsid w:val="00CC6659"/>
    <w:rsid w:val="00CC66DF"/>
    <w:rsid w:val="00CC672F"/>
    <w:rsid w:val="00CC686E"/>
    <w:rsid w:val="00CC687B"/>
    <w:rsid w:val="00CC696F"/>
    <w:rsid w:val="00CC6B2D"/>
    <w:rsid w:val="00CC6B5E"/>
    <w:rsid w:val="00CC6F63"/>
    <w:rsid w:val="00CC7098"/>
    <w:rsid w:val="00CC7303"/>
    <w:rsid w:val="00CC7492"/>
    <w:rsid w:val="00CC749C"/>
    <w:rsid w:val="00CC7A69"/>
    <w:rsid w:val="00CC7E0D"/>
    <w:rsid w:val="00CD02E7"/>
    <w:rsid w:val="00CD06AA"/>
    <w:rsid w:val="00CD0A3B"/>
    <w:rsid w:val="00CD0B04"/>
    <w:rsid w:val="00CD0B4B"/>
    <w:rsid w:val="00CD1599"/>
    <w:rsid w:val="00CD1819"/>
    <w:rsid w:val="00CD1895"/>
    <w:rsid w:val="00CD22D4"/>
    <w:rsid w:val="00CD28AB"/>
    <w:rsid w:val="00CD2DF9"/>
    <w:rsid w:val="00CD2E33"/>
    <w:rsid w:val="00CD2F69"/>
    <w:rsid w:val="00CD37D7"/>
    <w:rsid w:val="00CD3F8D"/>
    <w:rsid w:val="00CD45EB"/>
    <w:rsid w:val="00CD4DFF"/>
    <w:rsid w:val="00CD4ED1"/>
    <w:rsid w:val="00CD524B"/>
    <w:rsid w:val="00CD5EC8"/>
    <w:rsid w:val="00CD628D"/>
    <w:rsid w:val="00CD64C5"/>
    <w:rsid w:val="00CD6C93"/>
    <w:rsid w:val="00CD71E7"/>
    <w:rsid w:val="00CE0031"/>
    <w:rsid w:val="00CE0118"/>
    <w:rsid w:val="00CE0205"/>
    <w:rsid w:val="00CE030E"/>
    <w:rsid w:val="00CE05E1"/>
    <w:rsid w:val="00CE07BF"/>
    <w:rsid w:val="00CE0AAD"/>
    <w:rsid w:val="00CE0BEE"/>
    <w:rsid w:val="00CE109E"/>
    <w:rsid w:val="00CE12F5"/>
    <w:rsid w:val="00CE13BA"/>
    <w:rsid w:val="00CE13D4"/>
    <w:rsid w:val="00CE1475"/>
    <w:rsid w:val="00CE14F7"/>
    <w:rsid w:val="00CE15BA"/>
    <w:rsid w:val="00CE1AC1"/>
    <w:rsid w:val="00CE1CFC"/>
    <w:rsid w:val="00CE1F84"/>
    <w:rsid w:val="00CE2056"/>
    <w:rsid w:val="00CE246A"/>
    <w:rsid w:val="00CE2961"/>
    <w:rsid w:val="00CE2B1B"/>
    <w:rsid w:val="00CE2BD0"/>
    <w:rsid w:val="00CE2C77"/>
    <w:rsid w:val="00CE2E76"/>
    <w:rsid w:val="00CE3012"/>
    <w:rsid w:val="00CE31F5"/>
    <w:rsid w:val="00CE3789"/>
    <w:rsid w:val="00CE4415"/>
    <w:rsid w:val="00CE4D12"/>
    <w:rsid w:val="00CE5112"/>
    <w:rsid w:val="00CE517C"/>
    <w:rsid w:val="00CE5627"/>
    <w:rsid w:val="00CE5802"/>
    <w:rsid w:val="00CE5852"/>
    <w:rsid w:val="00CE608B"/>
    <w:rsid w:val="00CE6B4E"/>
    <w:rsid w:val="00CE6B57"/>
    <w:rsid w:val="00CE6E52"/>
    <w:rsid w:val="00CE6EA2"/>
    <w:rsid w:val="00CE7086"/>
    <w:rsid w:val="00CE7E51"/>
    <w:rsid w:val="00CE7EC3"/>
    <w:rsid w:val="00CF0371"/>
    <w:rsid w:val="00CF045A"/>
    <w:rsid w:val="00CF0F5A"/>
    <w:rsid w:val="00CF1D02"/>
    <w:rsid w:val="00CF2483"/>
    <w:rsid w:val="00CF254B"/>
    <w:rsid w:val="00CF282A"/>
    <w:rsid w:val="00CF298C"/>
    <w:rsid w:val="00CF2AED"/>
    <w:rsid w:val="00CF3940"/>
    <w:rsid w:val="00CF3ACB"/>
    <w:rsid w:val="00CF3D74"/>
    <w:rsid w:val="00CF3DC5"/>
    <w:rsid w:val="00CF3DC8"/>
    <w:rsid w:val="00CF4827"/>
    <w:rsid w:val="00CF4C15"/>
    <w:rsid w:val="00CF50E8"/>
    <w:rsid w:val="00CF532C"/>
    <w:rsid w:val="00CF585A"/>
    <w:rsid w:val="00CF59DE"/>
    <w:rsid w:val="00CF5B4E"/>
    <w:rsid w:val="00CF5BD7"/>
    <w:rsid w:val="00CF5F03"/>
    <w:rsid w:val="00CF69E5"/>
    <w:rsid w:val="00CF727C"/>
    <w:rsid w:val="00CF7297"/>
    <w:rsid w:val="00CF74D1"/>
    <w:rsid w:val="00CF77CB"/>
    <w:rsid w:val="00CF7987"/>
    <w:rsid w:val="00CF7D4E"/>
    <w:rsid w:val="00D00543"/>
    <w:rsid w:val="00D0067A"/>
    <w:rsid w:val="00D00B65"/>
    <w:rsid w:val="00D00BA2"/>
    <w:rsid w:val="00D012E4"/>
    <w:rsid w:val="00D01582"/>
    <w:rsid w:val="00D0162B"/>
    <w:rsid w:val="00D0182F"/>
    <w:rsid w:val="00D01DC3"/>
    <w:rsid w:val="00D01F9E"/>
    <w:rsid w:val="00D01FDA"/>
    <w:rsid w:val="00D0211F"/>
    <w:rsid w:val="00D03922"/>
    <w:rsid w:val="00D048CC"/>
    <w:rsid w:val="00D04EC4"/>
    <w:rsid w:val="00D05575"/>
    <w:rsid w:val="00D06111"/>
    <w:rsid w:val="00D06298"/>
    <w:rsid w:val="00D06564"/>
    <w:rsid w:val="00D06584"/>
    <w:rsid w:val="00D06900"/>
    <w:rsid w:val="00D06A25"/>
    <w:rsid w:val="00D06C9F"/>
    <w:rsid w:val="00D06D63"/>
    <w:rsid w:val="00D06F45"/>
    <w:rsid w:val="00D0728C"/>
    <w:rsid w:val="00D072A2"/>
    <w:rsid w:val="00D073CA"/>
    <w:rsid w:val="00D074C6"/>
    <w:rsid w:val="00D076FE"/>
    <w:rsid w:val="00D07A18"/>
    <w:rsid w:val="00D07C79"/>
    <w:rsid w:val="00D07F90"/>
    <w:rsid w:val="00D10549"/>
    <w:rsid w:val="00D10E99"/>
    <w:rsid w:val="00D11DDF"/>
    <w:rsid w:val="00D11F73"/>
    <w:rsid w:val="00D122F8"/>
    <w:rsid w:val="00D13709"/>
    <w:rsid w:val="00D13A6A"/>
    <w:rsid w:val="00D13F69"/>
    <w:rsid w:val="00D14093"/>
    <w:rsid w:val="00D1446E"/>
    <w:rsid w:val="00D1486F"/>
    <w:rsid w:val="00D14966"/>
    <w:rsid w:val="00D14A17"/>
    <w:rsid w:val="00D1598A"/>
    <w:rsid w:val="00D15D24"/>
    <w:rsid w:val="00D15D9B"/>
    <w:rsid w:val="00D15E8D"/>
    <w:rsid w:val="00D1664E"/>
    <w:rsid w:val="00D16A40"/>
    <w:rsid w:val="00D170E3"/>
    <w:rsid w:val="00D17138"/>
    <w:rsid w:val="00D171C5"/>
    <w:rsid w:val="00D1734B"/>
    <w:rsid w:val="00D17B01"/>
    <w:rsid w:val="00D17ED3"/>
    <w:rsid w:val="00D201A4"/>
    <w:rsid w:val="00D20381"/>
    <w:rsid w:val="00D204A8"/>
    <w:rsid w:val="00D2093D"/>
    <w:rsid w:val="00D21218"/>
    <w:rsid w:val="00D216C1"/>
    <w:rsid w:val="00D216F1"/>
    <w:rsid w:val="00D21A85"/>
    <w:rsid w:val="00D21ACC"/>
    <w:rsid w:val="00D222F3"/>
    <w:rsid w:val="00D22465"/>
    <w:rsid w:val="00D22675"/>
    <w:rsid w:val="00D2274F"/>
    <w:rsid w:val="00D2304F"/>
    <w:rsid w:val="00D232E0"/>
    <w:rsid w:val="00D2367C"/>
    <w:rsid w:val="00D23A6F"/>
    <w:rsid w:val="00D24210"/>
    <w:rsid w:val="00D242C1"/>
    <w:rsid w:val="00D2437C"/>
    <w:rsid w:val="00D24B43"/>
    <w:rsid w:val="00D24E3A"/>
    <w:rsid w:val="00D25157"/>
    <w:rsid w:val="00D25333"/>
    <w:rsid w:val="00D2543D"/>
    <w:rsid w:val="00D2553C"/>
    <w:rsid w:val="00D256CA"/>
    <w:rsid w:val="00D2599E"/>
    <w:rsid w:val="00D25A04"/>
    <w:rsid w:val="00D25C5C"/>
    <w:rsid w:val="00D261C7"/>
    <w:rsid w:val="00D2681E"/>
    <w:rsid w:val="00D26A13"/>
    <w:rsid w:val="00D26C91"/>
    <w:rsid w:val="00D26CBF"/>
    <w:rsid w:val="00D27199"/>
    <w:rsid w:val="00D27357"/>
    <w:rsid w:val="00D273E2"/>
    <w:rsid w:val="00D2779C"/>
    <w:rsid w:val="00D27B96"/>
    <w:rsid w:val="00D27C14"/>
    <w:rsid w:val="00D27E2D"/>
    <w:rsid w:val="00D27F14"/>
    <w:rsid w:val="00D27F90"/>
    <w:rsid w:val="00D3004C"/>
    <w:rsid w:val="00D30140"/>
    <w:rsid w:val="00D301D6"/>
    <w:rsid w:val="00D305C5"/>
    <w:rsid w:val="00D30653"/>
    <w:rsid w:val="00D309F3"/>
    <w:rsid w:val="00D31242"/>
    <w:rsid w:val="00D3141B"/>
    <w:rsid w:val="00D314F4"/>
    <w:rsid w:val="00D318BC"/>
    <w:rsid w:val="00D3218F"/>
    <w:rsid w:val="00D32410"/>
    <w:rsid w:val="00D32C01"/>
    <w:rsid w:val="00D32DFA"/>
    <w:rsid w:val="00D33066"/>
    <w:rsid w:val="00D3328B"/>
    <w:rsid w:val="00D33405"/>
    <w:rsid w:val="00D33567"/>
    <w:rsid w:val="00D34076"/>
    <w:rsid w:val="00D340DE"/>
    <w:rsid w:val="00D341D8"/>
    <w:rsid w:val="00D3444A"/>
    <w:rsid w:val="00D34D04"/>
    <w:rsid w:val="00D34DDE"/>
    <w:rsid w:val="00D34FF8"/>
    <w:rsid w:val="00D35AC5"/>
    <w:rsid w:val="00D35E6E"/>
    <w:rsid w:val="00D362D5"/>
    <w:rsid w:val="00D363B3"/>
    <w:rsid w:val="00D36773"/>
    <w:rsid w:val="00D36B65"/>
    <w:rsid w:val="00D36CCA"/>
    <w:rsid w:val="00D36EF6"/>
    <w:rsid w:val="00D36F59"/>
    <w:rsid w:val="00D37B3E"/>
    <w:rsid w:val="00D37B53"/>
    <w:rsid w:val="00D4002A"/>
    <w:rsid w:val="00D400C7"/>
    <w:rsid w:val="00D4033D"/>
    <w:rsid w:val="00D405A3"/>
    <w:rsid w:val="00D40651"/>
    <w:rsid w:val="00D4069A"/>
    <w:rsid w:val="00D40A82"/>
    <w:rsid w:val="00D40AD1"/>
    <w:rsid w:val="00D40F10"/>
    <w:rsid w:val="00D4194C"/>
    <w:rsid w:val="00D41B2F"/>
    <w:rsid w:val="00D41C3E"/>
    <w:rsid w:val="00D41C66"/>
    <w:rsid w:val="00D42048"/>
    <w:rsid w:val="00D4227C"/>
    <w:rsid w:val="00D423DB"/>
    <w:rsid w:val="00D42A66"/>
    <w:rsid w:val="00D42B85"/>
    <w:rsid w:val="00D430CA"/>
    <w:rsid w:val="00D434B7"/>
    <w:rsid w:val="00D436AD"/>
    <w:rsid w:val="00D43A43"/>
    <w:rsid w:val="00D43B40"/>
    <w:rsid w:val="00D43BB7"/>
    <w:rsid w:val="00D43BEB"/>
    <w:rsid w:val="00D43CEF"/>
    <w:rsid w:val="00D43EBA"/>
    <w:rsid w:val="00D43F0D"/>
    <w:rsid w:val="00D4464F"/>
    <w:rsid w:val="00D4465A"/>
    <w:rsid w:val="00D446BF"/>
    <w:rsid w:val="00D44845"/>
    <w:rsid w:val="00D44A05"/>
    <w:rsid w:val="00D44F7C"/>
    <w:rsid w:val="00D453C2"/>
    <w:rsid w:val="00D45429"/>
    <w:rsid w:val="00D45D10"/>
    <w:rsid w:val="00D46196"/>
    <w:rsid w:val="00D461D5"/>
    <w:rsid w:val="00D4635A"/>
    <w:rsid w:val="00D46BD7"/>
    <w:rsid w:val="00D46F83"/>
    <w:rsid w:val="00D47FDB"/>
    <w:rsid w:val="00D501E0"/>
    <w:rsid w:val="00D50687"/>
    <w:rsid w:val="00D50746"/>
    <w:rsid w:val="00D508A5"/>
    <w:rsid w:val="00D50C44"/>
    <w:rsid w:val="00D50F43"/>
    <w:rsid w:val="00D50F71"/>
    <w:rsid w:val="00D514B3"/>
    <w:rsid w:val="00D515E2"/>
    <w:rsid w:val="00D51CB7"/>
    <w:rsid w:val="00D5236A"/>
    <w:rsid w:val="00D52380"/>
    <w:rsid w:val="00D527F4"/>
    <w:rsid w:val="00D52955"/>
    <w:rsid w:val="00D52A0F"/>
    <w:rsid w:val="00D52A7A"/>
    <w:rsid w:val="00D52BF4"/>
    <w:rsid w:val="00D52D9D"/>
    <w:rsid w:val="00D53B7E"/>
    <w:rsid w:val="00D5403F"/>
    <w:rsid w:val="00D54053"/>
    <w:rsid w:val="00D5450C"/>
    <w:rsid w:val="00D54705"/>
    <w:rsid w:val="00D54A2A"/>
    <w:rsid w:val="00D54A8B"/>
    <w:rsid w:val="00D54C67"/>
    <w:rsid w:val="00D5505C"/>
    <w:rsid w:val="00D5514E"/>
    <w:rsid w:val="00D555E4"/>
    <w:rsid w:val="00D560D3"/>
    <w:rsid w:val="00D56D4A"/>
    <w:rsid w:val="00D56EEE"/>
    <w:rsid w:val="00D570A1"/>
    <w:rsid w:val="00D57473"/>
    <w:rsid w:val="00D5785F"/>
    <w:rsid w:val="00D578E6"/>
    <w:rsid w:val="00D57B80"/>
    <w:rsid w:val="00D57C20"/>
    <w:rsid w:val="00D57EA0"/>
    <w:rsid w:val="00D602D0"/>
    <w:rsid w:val="00D60308"/>
    <w:rsid w:val="00D60800"/>
    <w:rsid w:val="00D60B81"/>
    <w:rsid w:val="00D60C0D"/>
    <w:rsid w:val="00D60E78"/>
    <w:rsid w:val="00D6159D"/>
    <w:rsid w:val="00D620F4"/>
    <w:rsid w:val="00D622FC"/>
    <w:rsid w:val="00D629C3"/>
    <w:rsid w:val="00D62AA6"/>
    <w:rsid w:val="00D62B9E"/>
    <w:rsid w:val="00D62BC7"/>
    <w:rsid w:val="00D6310D"/>
    <w:rsid w:val="00D63437"/>
    <w:rsid w:val="00D63484"/>
    <w:rsid w:val="00D638B2"/>
    <w:rsid w:val="00D63DDC"/>
    <w:rsid w:val="00D64225"/>
    <w:rsid w:val="00D642F9"/>
    <w:rsid w:val="00D648CD"/>
    <w:rsid w:val="00D64CE8"/>
    <w:rsid w:val="00D64CF0"/>
    <w:rsid w:val="00D65333"/>
    <w:rsid w:val="00D6550B"/>
    <w:rsid w:val="00D656B9"/>
    <w:rsid w:val="00D657A5"/>
    <w:rsid w:val="00D658A3"/>
    <w:rsid w:val="00D6610F"/>
    <w:rsid w:val="00D6612F"/>
    <w:rsid w:val="00D662E0"/>
    <w:rsid w:val="00D663A9"/>
    <w:rsid w:val="00D663C6"/>
    <w:rsid w:val="00D66745"/>
    <w:rsid w:val="00D668CC"/>
    <w:rsid w:val="00D6698A"/>
    <w:rsid w:val="00D66A0E"/>
    <w:rsid w:val="00D66F3F"/>
    <w:rsid w:val="00D66FAF"/>
    <w:rsid w:val="00D66FFE"/>
    <w:rsid w:val="00D672CC"/>
    <w:rsid w:val="00D67542"/>
    <w:rsid w:val="00D67C31"/>
    <w:rsid w:val="00D70C58"/>
    <w:rsid w:val="00D70E50"/>
    <w:rsid w:val="00D70F06"/>
    <w:rsid w:val="00D70F73"/>
    <w:rsid w:val="00D710E6"/>
    <w:rsid w:val="00D7128C"/>
    <w:rsid w:val="00D714A7"/>
    <w:rsid w:val="00D717F6"/>
    <w:rsid w:val="00D718D6"/>
    <w:rsid w:val="00D71B76"/>
    <w:rsid w:val="00D720F3"/>
    <w:rsid w:val="00D7217A"/>
    <w:rsid w:val="00D721EA"/>
    <w:rsid w:val="00D72310"/>
    <w:rsid w:val="00D724B3"/>
    <w:rsid w:val="00D72635"/>
    <w:rsid w:val="00D72A55"/>
    <w:rsid w:val="00D72B46"/>
    <w:rsid w:val="00D73F8F"/>
    <w:rsid w:val="00D74317"/>
    <w:rsid w:val="00D74383"/>
    <w:rsid w:val="00D74497"/>
    <w:rsid w:val="00D751F2"/>
    <w:rsid w:val="00D75DCA"/>
    <w:rsid w:val="00D764EE"/>
    <w:rsid w:val="00D7658D"/>
    <w:rsid w:val="00D76696"/>
    <w:rsid w:val="00D767BF"/>
    <w:rsid w:val="00D768F8"/>
    <w:rsid w:val="00D76FA8"/>
    <w:rsid w:val="00D775D6"/>
    <w:rsid w:val="00D77D9B"/>
    <w:rsid w:val="00D77FFC"/>
    <w:rsid w:val="00D801A0"/>
    <w:rsid w:val="00D805AC"/>
    <w:rsid w:val="00D80716"/>
    <w:rsid w:val="00D80BB5"/>
    <w:rsid w:val="00D80BE8"/>
    <w:rsid w:val="00D80E60"/>
    <w:rsid w:val="00D8103F"/>
    <w:rsid w:val="00D810D1"/>
    <w:rsid w:val="00D81E37"/>
    <w:rsid w:val="00D823E9"/>
    <w:rsid w:val="00D8299C"/>
    <w:rsid w:val="00D82BAA"/>
    <w:rsid w:val="00D82FF9"/>
    <w:rsid w:val="00D83512"/>
    <w:rsid w:val="00D83E6F"/>
    <w:rsid w:val="00D84481"/>
    <w:rsid w:val="00D849D4"/>
    <w:rsid w:val="00D84F2E"/>
    <w:rsid w:val="00D84FB6"/>
    <w:rsid w:val="00D856BA"/>
    <w:rsid w:val="00D8589C"/>
    <w:rsid w:val="00D85DFF"/>
    <w:rsid w:val="00D85F9E"/>
    <w:rsid w:val="00D86613"/>
    <w:rsid w:val="00D86E61"/>
    <w:rsid w:val="00D879EB"/>
    <w:rsid w:val="00D90652"/>
    <w:rsid w:val="00D90669"/>
    <w:rsid w:val="00D90674"/>
    <w:rsid w:val="00D90878"/>
    <w:rsid w:val="00D91407"/>
    <w:rsid w:val="00D914B4"/>
    <w:rsid w:val="00D91A44"/>
    <w:rsid w:val="00D92186"/>
    <w:rsid w:val="00D92436"/>
    <w:rsid w:val="00D929BF"/>
    <w:rsid w:val="00D92DCB"/>
    <w:rsid w:val="00D935DA"/>
    <w:rsid w:val="00D93842"/>
    <w:rsid w:val="00D939FB"/>
    <w:rsid w:val="00D94216"/>
    <w:rsid w:val="00D945E3"/>
    <w:rsid w:val="00D94E72"/>
    <w:rsid w:val="00D94ED4"/>
    <w:rsid w:val="00D956D8"/>
    <w:rsid w:val="00D95858"/>
    <w:rsid w:val="00D95CA6"/>
    <w:rsid w:val="00D9639B"/>
    <w:rsid w:val="00D96A47"/>
    <w:rsid w:val="00D96CF5"/>
    <w:rsid w:val="00D97369"/>
    <w:rsid w:val="00D973E8"/>
    <w:rsid w:val="00D9759B"/>
    <w:rsid w:val="00D977C9"/>
    <w:rsid w:val="00D97F66"/>
    <w:rsid w:val="00DA0075"/>
    <w:rsid w:val="00DA08F8"/>
    <w:rsid w:val="00DA093D"/>
    <w:rsid w:val="00DA0CB2"/>
    <w:rsid w:val="00DA0E0E"/>
    <w:rsid w:val="00DA155F"/>
    <w:rsid w:val="00DA1991"/>
    <w:rsid w:val="00DA1D1A"/>
    <w:rsid w:val="00DA2208"/>
    <w:rsid w:val="00DA234E"/>
    <w:rsid w:val="00DA2559"/>
    <w:rsid w:val="00DA2598"/>
    <w:rsid w:val="00DA2608"/>
    <w:rsid w:val="00DA2797"/>
    <w:rsid w:val="00DA2A85"/>
    <w:rsid w:val="00DA2B0D"/>
    <w:rsid w:val="00DA2DAD"/>
    <w:rsid w:val="00DA2E1B"/>
    <w:rsid w:val="00DA2FF5"/>
    <w:rsid w:val="00DA3150"/>
    <w:rsid w:val="00DA36F2"/>
    <w:rsid w:val="00DA3AB2"/>
    <w:rsid w:val="00DA3B47"/>
    <w:rsid w:val="00DA3DD5"/>
    <w:rsid w:val="00DA40C6"/>
    <w:rsid w:val="00DA4372"/>
    <w:rsid w:val="00DA4446"/>
    <w:rsid w:val="00DA47B4"/>
    <w:rsid w:val="00DA49C4"/>
    <w:rsid w:val="00DA5580"/>
    <w:rsid w:val="00DA568F"/>
    <w:rsid w:val="00DA58F7"/>
    <w:rsid w:val="00DA5B07"/>
    <w:rsid w:val="00DA5EAA"/>
    <w:rsid w:val="00DA60E4"/>
    <w:rsid w:val="00DA7D9A"/>
    <w:rsid w:val="00DA7DBD"/>
    <w:rsid w:val="00DA7EA1"/>
    <w:rsid w:val="00DA7FFA"/>
    <w:rsid w:val="00DB0318"/>
    <w:rsid w:val="00DB047F"/>
    <w:rsid w:val="00DB078B"/>
    <w:rsid w:val="00DB0F3D"/>
    <w:rsid w:val="00DB1183"/>
    <w:rsid w:val="00DB13A9"/>
    <w:rsid w:val="00DB14BB"/>
    <w:rsid w:val="00DB171F"/>
    <w:rsid w:val="00DB1D3A"/>
    <w:rsid w:val="00DB202D"/>
    <w:rsid w:val="00DB2524"/>
    <w:rsid w:val="00DB2597"/>
    <w:rsid w:val="00DB261D"/>
    <w:rsid w:val="00DB2648"/>
    <w:rsid w:val="00DB285B"/>
    <w:rsid w:val="00DB2BFB"/>
    <w:rsid w:val="00DB2D0A"/>
    <w:rsid w:val="00DB3216"/>
    <w:rsid w:val="00DB330E"/>
    <w:rsid w:val="00DB3809"/>
    <w:rsid w:val="00DB3AE8"/>
    <w:rsid w:val="00DB3CF3"/>
    <w:rsid w:val="00DB3D53"/>
    <w:rsid w:val="00DB464D"/>
    <w:rsid w:val="00DB46F0"/>
    <w:rsid w:val="00DB4D5B"/>
    <w:rsid w:val="00DB5051"/>
    <w:rsid w:val="00DB5454"/>
    <w:rsid w:val="00DB55E2"/>
    <w:rsid w:val="00DB5C16"/>
    <w:rsid w:val="00DB5C66"/>
    <w:rsid w:val="00DB66ED"/>
    <w:rsid w:val="00DB6DC3"/>
    <w:rsid w:val="00DB7107"/>
    <w:rsid w:val="00DB75A7"/>
    <w:rsid w:val="00DB7A80"/>
    <w:rsid w:val="00DB7D33"/>
    <w:rsid w:val="00DB7E21"/>
    <w:rsid w:val="00DB7E7C"/>
    <w:rsid w:val="00DC0040"/>
    <w:rsid w:val="00DC015A"/>
    <w:rsid w:val="00DC03F1"/>
    <w:rsid w:val="00DC05C7"/>
    <w:rsid w:val="00DC097A"/>
    <w:rsid w:val="00DC0A98"/>
    <w:rsid w:val="00DC165A"/>
    <w:rsid w:val="00DC1DEA"/>
    <w:rsid w:val="00DC1E65"/>
    <w:rsid w:val="00DC2045"/>
    <w:rsid w:val="00DC2677"/>
    <w:rsid w:val="00DC2779"/>
    <w:rsid w:val="00DC31D9"/>
    <w:rsid w:val="00DC3308"/>
    <w:rsid w:val="00DC3341"/>
    <w:rsid w:val="00DC395B"/>
    <w:rsid w:val="00DC3965"/>
    <w:rsid w:val="00DC3C28"/>
    <w:rsid w:val="00DC40ED"/>
    <w:rsid w:val="00DC418C"/>
    <w:rsid w:val="00DC482A"/>
    <w:rsid w:val="00DC4B9F"/>
    <w:rsid w:val="00DC4ED4"/>
    <w:rsid w:val="00DC54DD"/>
    <w:rsid w:val="00DC591A"/>
    <w:rsid w:val="00DC5970"/>
    <w:rsid w:val="00DC59D6"/>
    <w:rsid w:val="00DC5D5B"/>
    <w:rsid w:val="00DC5D72"/>
    <w:rsid w:val="00DC62CE"/>
    <w:rsid w:val="00DC65FA"/>
    <w:rsid w:val="00DC6CC2"/>
    <w:rsid w:val="00DC7253"/>
    <w:rsid w:val="00DC7415"/>
    <w:rsid w:val="00DC752C"/>
    <w:rsid w:val="00DC76B1"/>
    <w:rsid w:val="00DC791C"/>
    <w:rsid w:val="00DC7FE7"/>
    <w:rsid w:val="00DC7FF9"/>
    <w:rsid w:val="00DD00F2"/>
    <w:rsid w:val="00DD0454"/>
    <w:rsid w:val="00DD050D"/>
    <w:rsid w:val="00DD178A"/>
    <w:rsid w:val="00DD2D36"/>
    <w:rsid w:val="00DD2F34"/>
    <w:rsid w:val="00DD316B"/>
    <w:rsid w:val="00DD358D"/>
    <w:rsid w:val="00DD367F"/>
    <w:rsid w:val="00DD3726"/>
    <w:rsid w:val="00DD4328"/>
    <w:rsid w:val="00DD45E0"/>
    <w:rsid w:val="00DD4748"/>
    <w:rsid w:val="00DD4862"/>
    <w:rsid w:val="00DD4888"/>
    <w:rsid w:val="00DD4BAA"/>
    <w:rsid w:val="00DD4DF3"/>
    <w:rsid w:val="00DD4EBE"/>
    <w:rsid w:val="00DD570A"/>
    <w:rsid w:val="00DD5945"/>
    <w:rsid w:val="00DD5C1F"/>
    <w:rsid w:val="00DD5E8A"/>
    <w:rsid w:val="00DD6692"/>
    <w:rsid w:val="00DD6A9B"/>
    <w:rsid w:val="00DD7730"/>
    <w:rsid w:val="00DD79F8"/>
    <w:rsid w:val="00DD7C0C"/>
    <w:rsid w:val="00DD7C78"/>
    <w:rsid w:val="00DE002B"/>
    <w:rsid w:val="00DE0249"/>
    <w:rsid w:val="00DE0A32"/>
    <w:rsid w:val="00DE0A43"/>
    <w:rsid w:val="00DE0FEE"/>
    <w:rsid w:val="00DE0FF6"/>
    <w:rsid w:val="00DE1126"/>
    <w:rsid w:val="00DE1772"/>
    <w:rsid w:val="00DE1B98"/>
    <w:rsid w:val="00DE1BFE"/>
    <w:rsid w:val="00DE297F"/>
    <w:rsid w:val="00DE31FC"/>
    <w:rsid w:val="00DE3788"/>
    <w:rsid w:val="00DE38C6"/>
    <w:rsid w:val="00DE3C24"/>
    <w:rsid w:val="00DE3E85"/>
    <w:rsid w:val="00DE41BD"/>
    <w:rsid w:val="00DE42AC"/>
    <w:rsid w:val="00DE4E5D"/>
    <w:rsid w:val="00DE51D4"/>
    <w:rsid w:val="00DE5923"/>
    <w:rsid w:val="00DE5A20"/>
    <w:rsid w:val="00DE5BB5"/>
    <w:rsid w:val="00DE6932"/>
    <w:rsid w:val="00DE69DD"/>
    <w:rsid w:val="00DE6A14"/>
    <w:rsid w:val="00DE6BB2"/>
    <w:rsid w:val="00DE6C7F"/>
    <w:rsid w:val="00DE705F"/>
    <w:rsid w:val="00DE7335"/>
    <w:rsid w:val="00DE7881"/>
    <w:rsid w:val="00DE7897"/>
    <w:rsid w:val="00DE790A"/>
    <w:rsid w:val="00DE7A61"/>
    <w:rsid w:val="00DE7B82"/>
    <w:rsid w:val="00DE7E20"/>
    <w:rsid w:val="00DE7F1B"/>
    <w:rsid w:val="00DF044A"/>
    <w:rsid w:val="00DF08B7"/>
    <w:rsid w:val="00DF0E16"/>
    <w:rsid w:val="00DF19DB"/>
    <w:rsid w:val="00DF2863"/>
    <w:rsid w:val="00DF28F7"/>
    <w:rsid w:val="00DF32D6"/>
    <w:rsid w:val="00DF336B"/>
    <w:rsid w:val="00DF3CDA"/>
    <w:rsid w:val="00DF3D51"/>
    <w:rsid w:val="00DF4392"/>
    <w:rsid w:val="00DF4831"/>
    <w:rsid w:val="00DF4FA5"/>
    <w:rsid w:val="00DF52FC"/>
    <w:rsid w:val="00DF53E4"/>
    <w:rsid w:val="00DF5578"/>
    <w:rsid w:val="00DF5D15"/>
    <w:rsid w:val="00DF5FBF"/>
    <w:rsid w:val="00DF6141"/>
    <w:rsid w:val="00DF6611"/>
    <w:rsid w:val="00DF6EE6"/>
    <w:rsid w:val="00DF769D"/>
    <w:rsid w:val="00DF774F"/>
    <w:rsid w:val="00DF7934"/>
    <w:rsid w:val="00DF7AB1"/>
    <w:rsid w:val="00DF7CC5"/>
    <w:rsid w:val="00E00165"/>
    <w:rsid w:val="00E0050A"/>
    <w:rsid w:val="00E00617"/>
    <w:rsid w:val="00E0071D"/>
    <w:rsid w:val="00E0081D"/>
    <w:rsid w:val="00E0099B"/>
    <w:rsid w:val="00E00CE8"/>
    <w:rsid w:val="00E00FF2"/>
    <w:rsid w:val="00E0154C"/>
    <w:rsid w:val="00E0160A"/>
    <w:rsid w:val="00E018A6"/>
    <w:rsid w:val="00E01916"/>
    <w:rsid w:val="00E01E57"/>
    <w:rsid w:val="00E0202F"/>
    <w:rsid w:val="00E023EE"/>
    <w:rsid w:val="00E0245B"/>
    <w:rsid w:val="00E0292F"/>
    <w:rsid w:val="00E0299B"/>
    <w:rsid w:val="00E02A38"/>
    <w:rsid w:val="00E02E55"/>
    <w:rsid w:val="00E02FCE"/>
    <w:rsid w:val="00E031E3"/>
    <w:rsid w:val="00E03BBA"/>
    <w:rsid w:val="00E03D7E"/>
    <w:rsid w:val="00E03F02"/>
    <w:rsid w:val="00E03FA2"/>
    <w:rsid w:val="00E04019"/>
    <w:rsid w:val="00E04306"/>
    <w:rsid w:val="00E04680"/>
    <w:rsid w:val="00E046AD"/>
    <w:rsid w:val="00E04795"/>
    <w:rsid w:val="00E04821"/>
    <w:rsid w:val="00E04DCA"/>
    <w:rsid w:val="00E051AD"/>
    <w:rsid w:val="00E05474"/>
    <w:rsid w:val="00E061CF"/>
    <w:rsid w:val="00E06767"/>
    <w:rsid w:val="00E0683B"/>
    <w:rsid w:val="00E06A4D"/>
    <w:rsid w:val="00E07005"/>
    <w:rsid w:val="00E074E3"/>
    <w:rsid w:val="00E076BF"/>
    <w:rsid w:val="00E07AFF"/>
    <w:rsid w:val="00E07B8C"/>
    <w:rsid w:val="00E07CBE"/>
    <w:rsid w:val="00E07FFC"/>
    <w:rsid w:val="00E1011A"/>
    <w:rsid w:val="00E108C4"/>
    <w:rsid w:val="00E1119F"/>
    <w:rsid w:val="00E11289"/>
    <w:rsid w:val="00E1150F"/>
    <w:rsid w:val="00E12006"/>
    <w:rsid w:val="00E12333"/>
    <w:rsid w:val="00E124D9"/>
    <w:rsid w:val="00E12AC5"/>
    <w:rsid w:val="00E12D3D"/>
    <w:rsid w:val="00E13341"/>
    <w:rsid w:val="00E133B7"/>
    <w:rsid w:val="00E13827"/>
    <w:rsid w:val="00E13F73"/>
    <w:rsid w:val="00E140BF"/>
    <w:rsid w:val="00E141E5"/>
    <w:rsid w:val="00E14233"/>
    <w:rsid w:val="00E143A8"/>
    <w:rsid w:val="00E14885"/>
    <w:rsid w:val="00E14B52"/>
    <w:rsid w:val="00E14B84"/>
    <w:rsid w:val="00E14BED"/>
    <w:rsid w:val="00E14D03"/>
    <w:rsid w:val="00E15172"/>
    <w:rsid w:val="00E151BD"/>
    <w:rsid w:val="00E15657"/>
    <w:rsid w:val="00E1585A"/>
    <w:rsid w:val="00E1587E"/>
    <w:rsid w:val="00E15BE7"/>
    <w:rsid w:val="00E16296"/>
    <w:rsid w:val="00E166EF"/>
    <w:rsid w:val="00E1710D"/>
    <w:rsid w:val="00E17230"/>
    <w:rsid w:val="00E179B5"/>
    <w:rsid w:val="00E17C1F"/>
    <w:rsid w:val="00E17DFE"/>
    <w:rsid w:val="00E20F65"/>
    <w:rsid w:val="00E20F73"/>
    <w:rsid w:val="00E210F5"/>
    <w:rsid w:val="00E22F12"/>
    <w:rsid w:val="00E22F59"/>
    <w:rsid w:val="00E2302D"/>
    <w:rsid w:val="00E23185"/>
    <w:rsid w:val="00E23232"/>
    <w:rsid w:val="00E23878"/>
    <w:rsid w:val="00E23D44"/>
    <w:rsid w:val="00E23D69"/>
    <w:rsid w:val="00E23FF7"/>
    <w:rsid w:val="00E24035"/>
    <w:rsid w:val="00E24B3E"/>
    <w:rsid w:val="00E25074"/>
    <w:rsid w:val="00E25556"/>
    <w:rsid w:val="00E25A0A"/>
    <w:rsid w:val="00E2605C"/>
    <w:rsid w:val="00E261E9"/>
    <w:rsid w:val="00E2658F"/>
    <w:rsid w:val="00E2675E"/>
    <w:rsid w:val="00E26900"/>
    <w:rsid w:val="00E269AB"/>
    <w:rsid w:val="00E26CFD"/>
    <w:rsid w:val="00E2719E"/>
    <w:rsid w:val="00E27944"/>
    <w:rsid w:val="00E279CA"/>
    <w:rsid w:val="00E27B91"/>
    <w:rsid w:val="00E304FC"/>
    <w:rsid w:val="00E30BB7"/>
    <w:rsid w:val="00E311C2"/>
    <w:rsid w:val="00E313F3"/>
    <w:rsid w:val="00E316B6"/>
    <w:rsid w:val="00E3188A"/>
    <w:rsid w:val="00E319F4"/>
    <w:rsid w:val="00E31D52"/>
    <w:rsid w:val="00E32138"/>
    <w:rsid w:val="00E326F5"/>
    <w:rsid w:val="00E32C8C"/>
    <w:rsid w:val="00E32DB8"/>
    <w:rsid w:val="00E3305D"/>
    <w:rsid w:val="00E33331"/>
    <w:rsid w:val="00E337E8"/>
    <w:rsid w:val="00E33800"/>
    <w:rsid w:val="00E338EF"/>
    <w:rsid w:val="00E33952"/>
    <w:rsid w:val="00E33C89"/>
    <w:rsid w:val="00E33DF1"/>
    <w:rsid w:val="00E341E8"/>
    <w:rsid w:val="00E342B7"/>
    <w:rsid w:val="00E34365"/>
    <w:rsid w:val="00E3483F"/>
    <w:rsid w:val="00E348E1"/>
    <w:rsid w:val="00E34B0B"/>
    <w:rsid w:val="00E34C36"/>
    <w:rsid w:val="00E34D1D"/>
    <w:rsid w:val="00E34E3B"/>
    <w:rsid w:val="00E34F14"/>
    <w:rsid w:val="00E353C2"/>
    <w:rsid w:val="00E35A7B"/>
    <w:rsid w:val="00E35C90"/>
    <w:rsid w:val="00E366E4"/>
    <w:rsid w:val="00E36891"/>
    <w:rsid w:val="00E36BB4"/>
    <w:rsid w:val="00E36C97"/>
    <w:rsid w:val="00E374DE"/>
    <w:rsid w:val="00E376D2"/>
    <w:rsid w:val="00E37DF3"/>
    <w:rsid w:val="00E404BA"/>
    <w:rsid w:val="00E4213A"/>
    <w:rsid w:val="00E4277E"/>
    <w:rsid w:val="00E427A0"/>
    <w:rsid w:val="00E428BD"/>
    <w:rsid w:val="00E436C4"/>
    <w:rsid w:val="00E4372E"/>
    <w:rsid w:val="00E43E72"/>
    <w:rsid w:val="00E44297"/>
    <w:rsid w:val="00E445BB"/>
    <w:rsid w:val="00E44AC7"/>
    <w:rsid w:val="00E44C8E"/>
    <w:rsid w:val="00E44F08"/>
    <w:rsid w:val="00E45079"/>
    <w:rsid w:val="00E451A2"/>
    <w:rsid w:val="00E4577E"/>
    <w:rsid w:val="00E45D99"/>
    <w:rsid w:val="00E46056"/>
    <w:rsid w:val="00E463C4"/>
    <w:rsid w:val="00E469E1"/>
    <w:rsid w:val="00E46D7F"/>
    <w:rsid w:val="00E475E6"/>
    <w:rsid w:val="00E47B6D"/>
    <w:rsid w:val="00E47E0F"/>
    <w:rsid w:val="00E50059"/>
    <w:rsid w:val="00E502F8"/>
    <w:rsid w:val="00E5034F"/>
    <w:rsid w:val="00E503E6"/>
    <w:rsid w:val="00E50794"/>
    <w:rsid w:val="00E509E9"/>
    <w:rsid w:val="00E50C83"/>
    <w:rsid w:val="00E50CDD"/>
    <w:rsid w:val="00E519AF"/>
    <w:rsid w:val="00E51B10"/>
    <w:rsid w:val="00E51CF9"/>
    <w:rsid w:val="00E51FF9"/>
    <w:rsid w:val="00E526A3"/>
    <w:rsid w:val="00E534DE"/>
    <w:rsid w:val="00E53583"/>
    <w:rsid w:val="00E53638"/>
    <w:rsid w:val="00E53BCC"/>
    <w:rsid w:val="00E542F3"/>
    <w:rsid w:val="00E54843"/>
    <w:rsid w:val="00E548FC"/>
    <w:rsid w:val="00E54A32"/>
    <w:rsid w:val="00E54CDD"/>
    <w:rsid w:val="00E54F41"/>
    <w:rsid w:val="00E55164"/>
    <w:rsid w:val="00E55207"/>
    <w:rsid w:val="00E556D5"/>
    <w:rsid w:val="00E562E7"/>
    <w:rsid w:val="00E56483"/>
    <w:rsid w:val="00E564C9"/>
    <w:rsid w:val="00E56C4C"/>
    <w:rsid w:val="00E56D79"/>
    <w:rsid w:val="00E5722F"/>
    <w:rsid w:val="00E57320"/>
    <w:rsid w:val="00E57614"/>
    <w:rsid w:val="00E5783F"/>
    <w:rsid w:val="00E57BFD"/>
    <w:rsid w:val="00E57C9E"/>
    <w:rsid w:val="00E57D27"/>
    <w:rsid w:val="00E57EF2"/>
    <w:rsid w:val="00E6037B"/>
    <w:rsid w:val="00E60480"/>
    <w:rsid w:val="00E605DB"/>
    <w:rsid w:val="00E6060C"/>
    <w:rsid w:val="00E608D0"/>
    <w:rsid w:val="00E609ED"/>
    <w:rsid w:val="00E60CE4"/>
    <w:rsid w:val="00E61598"/>
    <w:rsid w:val="00E615C4"/>
    <w:rsid w:val="00E61D32"/>
    <w:rsid w:val="00E61ED3"/>
    <w:rsid w:val="00E622C3"/>
    <w:rsid w:val="00E62668"/>
    <w:rsid w:val="00E62733"/>
    <w:rsid w:val="00E62A51"/>
    <w:rsid w:val="00E63179"/>
    <w:rsid w:val="00E6331D"/>
    <w:rsid w:val="00E638B7"/>
    <w:rsid w:val="00E63A8C"/>
    <w:rsid w:val="00E63ECC"/>
    <w:rsid w:val="00E64728"/>
    <w:rsid w:val="00E6493D"/>
    <w:rsid w:val="00E64961"/>
    <w:rsid w:val="00E65325"/>
    <w:rsid w:val="00E65485"/>
    <w:rsid w:val="00E6558F"/>
    <w:rsid w:val="00E65930"/>
    <w:rsid w:val="00E65EA0"/>
    <w:rsid w:val="00E66183"/>
    <w:rsid w:val="00E66541"/>
    <w:rsid w:val="00E667CC"/>
    <w:rsid w:val="00E668A5"/>
    <w:rsid w:val="00E66C54"/>
    <w:rsid w:val="00E66F5D"/>
    <w:rsid w:val="00E67B64"/>
    <w:rsid w:val="00E70027"/>
    <w:rsid w:val="00E70157"/>
    <w:rsid w:val="00E70245"/>
    <w:rsid w:val="00E70706"/>
    <w:rsid w:val="00E708DB"/>
    <w:rsid w:val="00E7094F"/>
    <w:rsid w:val="00E70D6A"/>
    <w:rsid w:val="00E712D5"/>
    <w:rsid w:val="00E71ABE"/>
    <w:rsid w:val="00E71F13"/>
    <w:rsid w:val="00E72992"/>
    <w:rsid w:val="00E72BAD"/>
    <w:rsid w:val="00E7316A"/>
    <w:rsid w:val="00E736EC"/>
    <w:rsid w:val="00E73717"/>
    <w:rsid w:val="00E741F9"/>
    <w:rsid w:val="00E74827"/>
    <w:rsid w:val="00E74958"/>
    <w:rsid w:val="00E74A55"/>
    <w:rsid w:val="00E74B2D"/>
    <w:rsid w:val="00E74B6B"/>
    <w:rsid w:val="00E75E69"/>
    <w:rsid w:val="00E76634"/>
    <w:rsid w:val="00E76DCD"/>
    <w:rsid w:val="00E779D6"/>
    <w:rsid w:val="00E77FBA"/>
    <w:rsid w:val="00E77FFB"/>
    <w:rsid w:val="00E80041"/>
    <w:rsid w:val="00E800B4"/>
    <w:rsid w:val="00E8064C"/>
    <w:rsid w:val="00E8091C"/>
    <w:rsid w:val="00E80970"/>
    <w:rsid w:val="00E80A59"/>
    <w:rsid w:val="00E81128"/>
    <w:rsid w:val="00E81706"/>
    <w:rsid w:val="00E81B5C"/>
    <w:rsid w:val="00E81BAC"/>
    <w:rsid w:val="00E81D11"/>
    <w:rsid w:val="00E82028"/>
    <w:rsid w:val="00E820CE"/>
    <w:rsid w:val="00E82461"/>
    <w:rsid w:val="00E8274F"/>
    <w:rsid w:val="00E82958"/>
    <w:rsid w:val="00E82ABC"/>
    <w:rsid w:val="00E82BBF"/>
    <w:rsid w:val="00E82C53"/>
    <w:rsid w:val="00E82F86"/>
    <w:rsid w:val="00E83611"/>
    <w:rsid w:val="00E8373E"/>
    <w:rsid w:val="00E839BD"/>
    <w:rsid w:val="00E83E81"/>
    <w:rsid w:val="00E8425B"/>
    <w:rsid w:val="00E84400"/>
    <w:rsid w:val="00E849EE"/>
    <w:rsid w:val="00E84B17"/>
    <w:rsid w:val="00E84EF6"/>
    <w:rsid w:val="00E85504"/>
    <w:rsid w:val="00E855D8"/>
    <w:rsid w:val="00E85DE3"/>
    <w:rsid w:val="00E85F5A"/>
    <w:rsid w:val="00E86F57"/>
    <w:rsid w:val="00E876AB"/>
    <w:rsid w:val="00E87A12"/>
    <w:rsid w:val="00E87C10"/>
    <w:rsid w:val="00E87D44"/>
    <w:rsid w:val="00E900D7"/>
    <w:rsid w:val="00E90257"/>
    <w:rsid w:val="00E90D26"/>
    <w:rsid w:val="00E90DAC"/>
    <w:rsid w:val="00E90F05"/>
    <w:rsid w:val="00E914B7"/>
    <w:rsid w:val="00E91881"/>
    <w:rsid w:val="00E921BD"/>
    <w:rsid w:val="00E92345"/>
    <w:rsid w:val="00E9267A"/>
    <w:rsid w:val="00E92CD5"/>
    <w:rsid w:val="00E92FFC"/>
    <w:rsid w:val="00E9328A"/>
    <w:rsid w:val="00E93307"/>
    <w:rsid w:val="00E937E7"/>
    <w:rsid w:val="00E940BF"/>
    <w:rsid w:val="00E941F9"/>
    <w:rsid w:val="00E94A2E"/>
    <w:rsid w:val="00E94E50"/>
    <w:rsid w:val="00E9520C"/>
    <w:rsid w:val="00E95BE0"/>
    <w:rsid w:val="00E95C0A"/>
    <w:rsid w:val="00E95EED"/>
    <w:rsid w:val="00E960F4"/>
    <w:rsid w:val="00E965BC"/>
    <w:rsid w:val="00E96842"/>
    <w:rsid w:val="00E96C31"/>
    <w:rsid w:val="00E96F68"/>
    <w:rsid w:val="00E97071"/>
    <w:rsid w:val="00E9781B"/>
    <w:rsid w:val="00E97850"/>
    <w:rsid w:val="00EA0197"/>
    <w:rsid w:val="00EA1976"/>
    <w:rsid w:val="00EA1DFA"/>
    <w:rsid w:val="00EA2036"/>
    <w:rsid w:val="00EA23B5"/>
    <w:rsid w:val="00EA2413"/>
    <w:rsid w:val="00EA2519"/>
    <w:rsid w:val="00EA2753"/>
    <w:rsid w:val="00EA28F0"/>
    <w:rsid w:val="00EA2E44"/>
    <w:rsid w:val="00EA2F93"/>
    <w:rsid w:val="00EA3364"/>
    <w:rsid w:val="00EA34F2"/>
    <w:rsid w:val="00EA3554"/>
    <w:rsid w:val="00EA3604"/>
    <w:rsid w:val="00EA37CD"/>
    <w:rsid w:val="00EA3820"/>
    <w:rsid w:val="00EA40F3"/>
    <w:rsid w:val="00EA40FA"/>
    <w:rsid w:val="00EA4E98"/>
    <w:rsid w:val="00EA4F3F"/>
    <w:rsid w:val="00EA584E"/>
    <w:rsid w:val="00EA5F0D"/>
    <w:rsid w:val="00EA64D6"/>
    <w:rsid w:val="00EA68FB"/>
    <w:rsid w:val="00EA69FE"/>
    <w:rsid w:val="00EA72F7"/>
    <w:rsid w:val="00EA7310"/>
    <w:rsid w:val="00EA7581"/>
    <w:rsid w:val="00EA79D5"/>
    <w:rsid w:val="00EA7D65"/>
    <w:rsid w:val="00EB0145"/>
    <w:rsid w:val="00EB0600"/>
    <w:rsid w:val="00EB06C2"/>
    <w:rsid w:val="00EB0E5B"/>
    <w:rsid w:val="00EB0EBF"/>
    <w:rsid w:val="00EB102B"/>
    <w:rsid w:val="00EB11F2"/>
    <w:rsid w:val="00EB1272"/>
    <w:rsid w:val="00EB1779"/>
    <w:rsid w:val="00EB1CF9"/>
    <w:rsid w:val="00EB2DA5"/>
    <w:rsid w:val="00EB2E80"/>
    <w:rsid w:val="00EB2F14"/>
    <w:rsid w:val="00EB3146"/>
    <w:rsid w:val="00EB3169"/>
    <w:rsid w:val="00EB38E4"/>
    <w:rsid w:val="00EB3B2C"/>
    <w:rsid w:val="00EB3CB3"/>
    <w:rsid w:val="00EB3D7A"/>
    <w:rsid w:val="00EB42E8"/>
    <w:rsid w:val="00EB44CA"/>
    <w:rsid w:val="00EB4580"/>
    <w:rsid w:val="00EB487D"/>
    <w:rsid w:val="00EB498D"/>
    <w:rsid w:val="00EB4E3E"/>
    <w:rsid w:val="00EB4FBC"/>
    <w:rsid w:val="00EB5214"/>
    <w:rsid w:val="00EB5565"/>
    <w:rsid w:val="00EB5A5C"/>
    <w:rsid w:val="00EB5AD9"/>
    <w:rsid w:val="00EB5EB6"/>
    <w:rsid w:val="00EB6704"/>
    <w:rsid w:val="00EB700B"/>
    <w:rsid w:val="00EB758F"/>
    <w:rsid w:val="00EB7A7E"/>
    <w:rsid w:val="00EB7B4D"/>
    <w:rsid w:val="00EB7BB7"/>
    <w:rsid w:val="00EC004F"/>
    <w:rsid w:val="00EC0C33"/>
    <w:rsid w:val="00EC0C68"/>
    <w:rsid w:val="00EC11CC"/>
    <w:rsid w:val="00EC11E5"/>
    <w:rsid w:val="00EC12F8"/>
    <w:rsid w:val="00EC1545"/>
    <w:rsid w:val="00EC17C5"/>
    <w:rsid w:val="00EC2014"/>
    <w:rsid w:val="00EC2338"/>
    <w:rsid w:val="00EC27B5"/>
    <w:rsid w:val="00EC29EF"/>
    <w:rsid w:val="00EC29F7"/>
    <w:rsid w:val="00EC2DF3"/>
    <w:rsid w:val="00EC3093"/>
    <w:rsid w:val="00EC37F4"/>
    <w:rsid w:val="00EC3845"/>
    <w:rsid w:val="00EC3F2C"/>
    <w:rsid w:val="00EC484B"/>
    <w:rsid w:val="00EC49DA"/>
    <w:rsid w:val="00EC4A21"/>
    <w:rsid w:val="00EC557B"/>
    <w:rsid w:val="00EC59A9"/>
    <w:rsid w:val="00EC59CE"/>
    <w:rsid w:val="00EC5AD3"/>
    <w:rsid w:val="00EC5C21"/>
    <w:rsid w:val="00EC5CFA"/>
    <w:rsid w:val="00EC5FAC"/>
    <w:rsid w:val="00EC6169"/>
    <w:rsid w:val="00EC6194"/>
    <w:rsid w:val="00EC69D6"/>
    <w:rsid w:val="00EC6A72"/>
    <w:rsid w:val="00EC6C78"/>
    <w:rsid w:val="00EC7290"/>
    <w:rsid w:val="00EC7895"/>
    <w:rsid w:val="00ED05B0"/>
    <w:rsid w:val="00ED06FF"/>
    <w:rsid w:val="00ED0A65"/>
    <w:rsid w:val="00ED0AF1"/>
    <w:rsid w:val="00ED0CE6"/>
    <w:rsid w:val="00ED0CEF"/>
    <w:rsid w:val="00ED0DED"/>
    <w:rsid w:val="00ED11C9"/>
    <w:rsid w:val="00ED1451"/>
    <w:rsid w:val="00ED149B"/>
    <w:rsid w:val="00ED1869"/>
    <w:rsid w:val="00ED19FA"/>
    <w:rsid w:val="00ED1A24"/>
    <w:rsid w:val="00ED1A82"/>
    <w:rsid w:val="00ED1B8E"/>
    <w:rsid w:val="00ED1C8D"/>
    <w:rsid w:val="00ED1CDC"/>
    <w:rsid w:val="00ED1CF5"/>
    <w:rsid w:val="00ED1DAB"/>
    <w:rsid w:val="00ED1EB0"/>
    <w:rsid w:val="00ED22EB"/>
    <w:rsid w:val="00ED274A"/>
    <w:rsid w:val="00ED2EA8"/>
    <w:rsid w:val="00ED2F57"/>
    <w:rsid w:val="00ED34B6"/>
    <w:rsid w:val="00ED3758"/>
    <w:rsid w:val="00ED3D64"/>
    <w:rsid w:val="00ED3DA9"/>
    <w:rsid w:val="00ED3FD1"/>
    <w:rsid w:val="00ED40BA"/>
    <w:rsid w:val="00ED44D8"/>
    <w:rsid w:val="00ED4AE6"/>
    <w:rsid w:val="00ED50BA"/>
    <w:rsid w:val="00ED50F2"/>
    <w:rsid w:val="00ED517D"/>
    <w:rsid w:val="00ED52A2"/>
    <w:rsid w:val="00ED52B2"/>
    <w:rsid w:val="00ED5316"/>
    <w:rsid w:val="00ED62B3"/>
    <w:rsid w:val="00ED6689"/>
    <w:rsid w:val="00ED6695"/>
    <w:rsid w:val="00ED6748"/>
    <w:rsid w:val="00ED6769"/>
    <w:rsid w:val="00ED67CC"/>
    <w:rsid w:val="00ED6A69"/>
    <w:rsid w:val="00ED6B70"/>
    <w:rsid w:val="00ED6ECB"/>
    <w:rsid w:val="00ED708E"/>
    <w:rsid w:val="00ED7271"/>
    <w:rsid w:val="00ED7873"/>
    <w:rsid w:val="00ED7CF8"/>
    <w:rsid w:val="00EE00F3"/>
    <w:rsid w:val="00EE0ABE"/>
    <w:rsid w:val="00EE0DCB"/>
    <w:rsid w:val="00EE13F4"/>
    <w:rsid w:val="00EE15FD"/>
    <w:rsid w:val="00EE1885"/>
    <w:rsid w:val="00EE19F2"/>
    <w:rsid w:val="00EE1AAE"/>
    <w:rsid w:val="00EE1EF0"/>
    <w:rsid w:val="00EE20DD"/>
    <w:rsid w:val="00EE212C"/>
    <w:rsid w:val="00EE2163"/>
    <w:rsid w:val="00EE2795"/>
    <w:rsid w:val="00EE294D"/>
    <w:rsid w:val="00EE2DD0"/>
    <w:rsid w:val="00EE2E03"/>
    <w:rsid w:val="00EE32FA"/>
    <w:rsid w:val="00EE336C"/>
    <w:rsid w:val="00EE34D5"/>
    <w:rsid w:val="00EE3646"/>
    <w:rsid w:val="00EE3AB3"/>
    <w:rsid w:val="00EE459D"/>
    <w:rsid w:val="00EE4A9E"/>
    <w:rsid w:val="00EE4B3A"/>
    <w:rsid w:val="00EE4D67"/>
    <w:rsid w:val="00EE522F"/>
    <w:rsid w:val="00EE54F0"/>
    <w:rsid w:val="00EE56F9"/>
    <w:rsid w:val="00EE5838"/>
    <w:rsid w:val="00EE5A51"/>
    <w:rsid w:val="00EE6846"/>
    <w:rsid w:val="00EE6CBF"/>
    <w:rsid w:val="00EE7551"/>
    <w:rsid w:val="00EE79D8"/>
    <w:rsid w:val="00EF06D3"/>
    <w:rsid w:val="00EF07CE"/>
    <w:rsid w:val="00EF0946"/>
    <w:rsid w:val="00EF0B25"/>
    <w:rsid w:val="00EF18F8"/>
    <w:rsid w:val="00EF1C51"/>
    <w:rsid w:val="00EF245B"/>
    <w:rsid w:val="00EF2BC9"/>
    <w:rsid w:val="00EF2C39"/>
    <w:rsid w:val="00EF316E"/>
    <w:rsid w:val="00EF328C"/>
    <w:rsid w:val="00EF3BB4"/>
    <w:rsid w:val="00EF3D9A"/>
    <w:rsid w:val="00EF4744"/>
    <w:rsid w:val="00EF4753"/>
    <w:rsid w:val="00EF4A53"/>
    <w:rsid w:val="00EF53B9"/>
    <w:rsid w:val="00EF57E6"/>
    <w:rsid w:val="00EF5996"/>
    <w:rsid w:val="00EF59C6"/>
    <w:rsid w:val="00EF5ACF"/>
    <w:rsid w:val="00EF5C43"/>
    <w:rsid w:val="00EF5CB8"/>
    <w:rsid w:val="00EF5DAE"/>
    <w:rsid w:val="00EF6442"/>
    <w:rsid w:val="00EF64A1"/>
    <w:rsid w:val="00EF733D"/>
    <w:rsid w:val="00EF743B"/>
    <w:rsid w:val="00EF7933"/>
    <w:rsid w:val="00EF7AD5"/>
    <w:rsid w:val="00EF7BD3"/>
    <w:rsid w:val="00EF7C65"/>
    <w:rsid w:val="00F003A8"/>
    <w:rsid w:val="00F0044A"/>
    <w:rsid w:val="00F0070F"/>
    <w:rsid w:val="00F00B21"/>
    <w:rsid w:val="00F00FA3"/>
    <w:rsid w:val="00F01024"/>
    <w:rsid w:val="00F01166"/>
    <w:rsid w:val="00F01C0C"/>
    <w:rsid w:val="00F01C11"/>
    <w:rsid w:val="00F01DA5"/>
    <w:rsid w:val="00F01E36"/>
    <w:rsid w:val="00F01FD1"/>
    <w:rsid w:val="00F022C7"/>
    <w:rsid w:val="00F025D1"/>
    <w:rsid w:val="00F0276D"/>
    <w:rsid w:val="00F027EF"/>
    <w:rsid w:val="00F029DA"/>
    <w:rsid w:val="00F02E53"/>
    <w:rsid w:val="00F033C1"/>
    <w:rsid w:val="00F03482"/>
    <w:rsid w:val="00F034AD"/>
    <w:rsid w:val="00F03633"/>
    <w:rsid w:val="00F04322"/>
    <w:rsid w:val="00F043DD"/>
    <w:rsid w:val="00F045CD"/>
    <w:rsid w:val="00F04846"/>
    <w:rsid w:val="00F04E3C"/>
    <w:rsid w:val="00F04EB4"/>
    <w:rsid w:val="00F04F26"/>
    <w:rsid w:val="00F04FEE"/>
    <w:rsid w:val="00F0548B"/>
    <w:rsid w:val="00F05617"/>
    <w:rsid w:val="00F058C8"/>
    <w:rsid w:val="00F05AF8"/>
    <w:rsid w:val="00F05C5C"/>
    <w:rsid w:val="00F05F3A"/>
    <w:rsid w:val="00F064F6"/>
    <w:rsid w:val="00F0677F"/>
    <w:rsid w:val="00F06AE7"/>
    <w:rsid w:val="00F06B34"/>
    <w:rsid w:val="00F06CF1"/>
    <w:rsid w:val="00F06FA7"/>
    <w:rsid w:val="00F072F1"/>
    <w:rsid w:val="00F07377"/>
    <w:rsid w:val="00F07BCE"/>
    <w:rsid w:val="00F07CFA"/>
    <w:rsid w:val="00F10794"/>
    <w:rsid w:val="00F10A0B"/>
    <w:rsid w:val="00F10C30"/>
    <w:rsid w:val="00F10F0D"/>
    <w:rsid w:val="00F1118C"/>
    <w:rsid w:val="00F11413"/>
    <w:rsid w:val="00F114A7"/>
    <w:rsid w:val="00F12496"/>
    <w:rsid w:val="00F125EC"/>
    <w:rsid w:val="00F126AF"/>
    <w:rsid w:val="00F12947"/>
    <w:rsid w:val="00F13395"/>
    <w:rsid w:val="00F133B0"/>
    <w:rsid w:val="00F13A4B"/>
    <w:rsid w:val="00F13B7F"/>
    <w:rsid w:val="00F14496"/>
    <w:rsid w:val="00F15ADE"/>
    <w:rsid w:val="00F16009"/>
    <w:rsid w:val="00F16C8A"/>
    <w:rsid w:val="00F171CD"/>
    <w:rsid w:val="00F17292"/>
    <w:rsid w:val="00F1751C"/>
    <w:rsid w:val="00F17760"/>
    <w:rsid w:val="00F17AFD"/>
    <w:rsid w:val="00F17D19"/>
    <w:rsid w:val="00F20194"/>
    <w:rsid w:val="00F207C3"/>
    <w:rsid w:val="00F20AE2"/>
    <w:rsid w:val="00F20C9D"/>
    <w:rsid w:val="00F20FA5"/>
    <w:rsid w:val="00F20FAC"/>
    <w:rsid w:val="00F21056"/>
    <w:rsid w:val="00F217A2"/>
    <w:rsid w:val="00F21959"/>
    <w:rsid w:val="00F21D1B"/>
    <w:rsid w:val="00F21E32"/>
    <w:rsid w:val="00F21F13"/>
    <w:rsid w:val="00F221C9"/>
    <w:rsid w:val="00F225A3"/>
    <w:rsid w:val="00F22A90"/>
    <w:rsid w:val="00F22D86"/>
    <w:rsid w:val="00F2326E"/>
    <w:rsid w:val="00F2348A"/>
    <w:rsid w:val="00F23E34"/>
    <w:rsid w:val="00F242CF"/>
    <w:rsid w:val="00F2440C"/>
    <w:rsid w:val="00F246AB"/>
    <w:rsid w:val="00F24E4F"/>
    <w:rsid w:val="00F250F6"/>
    <w:rsid w:val="00F257DF"/>
    <w:rsid w:val="00F2580F"/>
    <w:rsid w:val="00F26447"/>
    <w:rsid w:val="00F2661B"/>
    <w:rsid w:val="00F26D2D"/>
    <w:rsid w:val="00F26EB7"/>
    <w:rsid w:val="00F271F2"/>
    <w:rsid w:val="00F2791B"/>
    <w:rsid w:val="00F27B0F"/>
    <w:rsid w:val="00F30252"/>
    <w:rsid w:val="00F309ED"/>
    <w:rsid w:val="00F30AE9"/>
    <w:rsid w:val="00F30D6B"/>
    <w:rsid w:val="00F3101B"/>
    <w:rsid w:val="00F314ED"/>
    <w:rsid w:val="00F3154A"/>
    <w:rsid w:val="00F31624"/>
    <w:rsid w:val="00F31D0B"/>
    <w:rsid w:val="00F32647"/>
    <w:rsid w:val="00F32E69"/>
    <w:rsid w:val="00F331A6"/>
    <w:rsid w:val="00F335CF"/>
    <w:rsid w:val="00F3379A"/>
    <w:rsid w:val="00F33A4D"/>
    <w:rsid w:val="00F33ADB"/>
    <w:rsid w:val="00F33DDB"/>
    <w:rsid w:val="00F33F9A"/>
    <w:rsid w:val="00F340AE"/>
    <w:rsid w:val="00F340BA"/>
    <w:rsid w:val="00F346CA"/>
    <w:rsid w:val="00F34766"/>
    <w:rsid w:val="00F34D43"/>
    <w:rsid w:val="00F35315"/>
    <w:rsid w:val="00F35A1E"/>
    <w:rsid w:val="00F35CCF"/>
    <w:rsid w:val="00F36972"/>
    <w:rsid w:val="00F371C1"/>
    <w:rsid w:val="00F37450"/>
    <w:rsid w:val="00F374AD"/>
    <w:rsid w:val="00F3764E"/>
    <w:rsid w:val="00F37688"/>
    <w:rsid w:val="00F37A4D"/>
    <w:rsid w:val="00F4036E"/>
    <w:rsid w:val="00F4057A"/>
    <w:rsid w:val="00F40EAF"/>
    <w:rsid w:val="00F41CB0"/>
    <w:rsid w:val="00F41D42"/>
    <w:rsid w:val="00F42265"/>
    <w:rsid w:val="00F42478"/>
    <w:rsid w:val="00F424D4"/>
    <w:rsid w:val="00F42775"/>
    <w:rsid w:val="00F42AC1"/>
    <w:rsid w:val="00F42DC1"/>
    <w:rsid w:val="00F4307E"/>
    <w:rsid w:val="00F432B2"/>
    <w:rsid w:val="00F437FE"/>
    <w:rsid w:val="00F438F7"/>
    <w:rsid w:val="00F43AB4"/>
    <w:rsid w:val="00F43B65"/>
    <w:rsid w:val="00F43CA9"/>
    <w:rsid w:val="00F4446E"/>
    <w:rsid w:val="00F445A7"/>
    <w:rsid w:val="00F44D5F"/>
    <w:rsid w:val="00F44E86"/>
    <w:rsid w:val="00F4552F"/>
    <w:rsid w:val="00F45DFC"/>
    <w:rsid w:val="00F45F57"/>
    <w:rsid w:val="00F46172"/>
    <w:rsid w:val="00F4630D"/>
    <w:rsid w:val="00F46817"/>
    <w:rsid w:val="00F46D4E"/>
    <w:rsid w:val="00F46F6C"/>
    <w:rsid w:val="00F471AF"/>
    <w:rsid w:val="00F4741F"/>
    <w:rsid w:val="00F479BD"/>
    <w:rsid w:val="00F47B52"/>
    <w:rsid w:val="00F47EB5"/>
    <w:rsid w:val="00F5019F"/>
    <w:rsid w:val="00F503AB"/>
    <w:rsid w:val="00F507CC"/>
    <w:rsid w:val="00F508A1"/>
    <w:rsid w:val="00F50CA0"/>
    <w:rsid w:val="00F50D94"/>
    <w:rsid w:val="00F514EF"/>
    <w:rsid w:val="00F51941"/>
    <w:rsid w:val="00F51D3A"/>
    <w:rsid w:val="00F520AE"/>
    <w:rsid w:val="00F52367"/>
    <w:rsid w:val="00F528FB"/>
    <w:rsid w:val="00F53046"/>
    <w:rsid w:val="00F5336F"/>
    <w:rsid w:val="00F53524"/>
    <w:rsid w:val="00F536E5"/>
    <w:rsid w:val="00F539EE"/>
    <w:rsid w:val="00F53A92"/>
    <w:rsid w:val="00F53CEF"/>
    <w:rsid w:val="00F53E86"/>
    <w:rsid w:val="00F54B65"/>
    <w:rsid w:val="00F54B9D"/>
    <w:rsid w:val="00F54E8D"/>
    <w:rsid w:val="00F55285"/>
    <w:rsid w:val="00F5533D"/>
    <w:rsid w:val="00F553D1"/>
    <w:rsid w:val="00F555E7"/>
    <w:rsid w:val="00F556CB"/>
    <w:rsid w:val="00F560FE"/>
    <w:rsid w:val="00F56352"/>
    <w:rsid w:val="00F56A02"/>
    <w:rsid w:val="00F57655"/>
    <w:rsid w:val="00F57AD3"/>
    <w:rsid w:val="00F57B34"/>
    <w:rsid w:val="00F57FBE"/>
    <w:rsid w:val="00F60022"/>
    <w:rsid w:val="00F600D9"/>
    <w:rsid w:val="00F60760"/>
    <w:rsid w:val="00F60DB1"/>
    <w:rsid w:val="00F60F8F"/>
    <w:rsid w:val="00F6127D"/>
    <w:rsid w:val="00F61561"/>
    <w:rsid w:val="00F6159E"/>
    <w:rsid w:val="00F6185F"/>
    <w:rsid w:val="00F61894"/>
    <w:rsid w:val="00F61A52"/>
    <w:rsid w:val="00F61E90"/>
    <w:rsid w:val="00F61EA6"/>
    <w:rsid w:val="00F62008"/>
    <w:rsid w:val="00F62169"/>
    <w:rsid w:val="00F62E27"/>
    <w:rsid w:val="00F63050"/>
    <w:rsid w:val="00F63D73"/>
    <w:rsid w:val="00F63F75"/>
    <w:rsid w:val="00F63FBC"/>
    <w:rsid w:val="00F642A2"/>
    <w:rsid w:val="00F6457E"/>
    <w:rsid w:val="00F64714"/>
    <w:rsid w:val="00F650F5"/>
    <w:rsid w:val="00F65DAA"/>
    <w:rsid w:val="00F66586"/>
    <w:rsid w:val="00F665E1"/>
    <w:rsid w:val="00F66708"/>
    <w:rsid w:val="00F66EAE"/>
    <w:rsid w:val="00F6707D"/>
    <w:rsid w:val="00F67082"/>
    <w:rsid w:val="00F67188"/>
    <w:rsid w:val="00F67B9C"/>
    <w:rsid w:val="00F67D40"/>
    <w:rsid w:val="00F67E60"/>
    <w:rsid w:val="00F7018F"/>
    <w:rsid w:val="00F7039E"/>
    <w:rsid w:val="00F70834"/>
    <w:rsid w:val="00F708CC"/>
    <w:rsid w:val="00F70AA6"/>
    <w:rsid w:val="00F70D62"/>
    <w:rsid w:val="00F7145F"/>
    <w:rsid w:val="00F715DB"/>
    <w:rsid w:val="00F71F38"/>
    <w:rsid w:val="00F71F95"/>
    <w:rsid w:val="00F721AD"/>
    <w:rsid w:val="00F72961"/>
    <w:rsid w:val="00F72BB6"/>
    <w:rsid w:val="00F72E0D"/>
    <w:rsid w:val="00F73D8D"/>
    <w:rsid w:val="00F740ED"/>
    <w:rsid w:val="00F742F4"/>
    <w:rsid w:val="00F7439D"/>
    <w:rsid w:val="00F74A7D"/>
    <w:rsid w:val="00F74F14"/>
    <w:rsid w:val="00F750A4"/>
    <w:rsid w:val="00F755F0"/>
    <w:rsid w:val="00F756D4"/>
    <w:rsid w:val="00F756FD"/>
    <w:rsid w:val="00F7602A"/>
    <w:rsid w:val="00F763E9"/>
    <w:rsid w:val="00F76993"/>
    <w:rsid w:val="00F76B07"/>
    <w:rsid w:val="00F7713C"/>
    <w:rsid w:val="00F77510"/>
    <w:rsid w:val="00F7764B"/>
    <w:rsid w:val="00F776FA"/>
    <w:rsid w:val="00F77B8E"/>
    <w:rsid w:val="00F8014F"/>
    <w:rsid w:val="00F80B1E"/>
    <w:rsid w:val="00F813D5"/>
    <w:rsid w:val="00F813F6"/>
    <w:rsid w:val="00F818B0"/>
    <w:rsid w:val="00F8191E"/>
    <w:rsid w:val="00F81A54"/>
    <w:rsid w:val="00F81B4B"/>
    <w:rsid w:val="00F81DA7"/>
    <w:rsid w:val="00F81EEC"/>
    <w:rsid w:val="00F8229B"/>
    <w:rsid w:val="00F8234E"/>
    <w:rsid w:val="00F82449"/>
    <w:rsid w:val="00F826ED"/>
    <w:rsid w:val="00F82904"/>
    <w:rsid w:val="00F82B2B"/>
    <w:rsid w:val="00F82DAB"/>
    <w:rsid w:val="00F83109"/>
    <w:rsid w:val="00F832E6"/>
    <w:rsid w:val="00F833EE"/>
    <w:rsid w:val="00F843BE"/>
    <w:rsid w:val="00F8504A"/>
    <w:rsid w:val="00F851DE"/>
    <w:rsid w:val="00F852D0"/>
    <w:rsid w:val="00F852FE"/>
    <w:rsid w:val="00F86594"/>
    <w:rsid w:val="00F8662E"/>
    <w:rsid w:val="00F86AB3"/>
    <w:rsid w:val="00F87256"/>
    <w:rsid w:val="00F875AB"/>
    <w:rsid w:val="00F87A4A"/>
    <w:rsid w:val="00F87C2A"/>
    <w:rsid w:val="00F87DC1"/>
    <w:rsid w:val="00F87FBE"/>
    <w:rsid w:val="00F904E6"/>
    <w:rsid w:val="00F908FE"/>
    <w:rsid w:val="00F90B32"/>
    <w:rsid w:val="00F90BCF"/>
    <w:rsid w:val="00F910CC"/>
    <w:rsid w:val="00F91426"/>
    <w:rsid w:val="00F9169F"/>
    <w:rsid w:val="00F916FE"/>
    <w:rsid w:val="00F919EC"/>
    <w:rsid w:val="00F91E5D"/>
    <w:rsid w:val="00F91F20"/>
    <w:rsid w:val="00F9220B"/>
    <w:rsid w:val="00F92338"/>
    <w:rsid w:val="00F92362"/>
    <w:rsid w:val="00F92628"/>
    <w:rsid w:val="00F92650"/>
    <w:rsid w:val="00F9273E"/>
    <w:rsid w:val="00F92822"/>
    <w:rsid w:val="00F928DC"/>
    <w:rsid w:val="00F92F45"/>
    <w:rsid w:val="00F9324B"/>
    <w:rsid w:val="00F93A2E"/>
    <w:rsid w:val="00F94288"/>
    <w:rsid w:val="00F94440"/>
    <w:rsid w:val="00F9450D"/>
    <w:rsid w:val="00F9482B"/>
    <w:rsid w:val="00F94D14"/>
    <w:rsid w:val="00F94D18"/>
    <w:rsid w:val="00F952D9"/>
    <w:rsid w:val="00F95390"/>
    <w:rsid w:val="00F9550B"/>
    <w:rsid w:val="00F9579F"/>
    <w:rsid w:val="00F95D35"/>
    <w:rsid w:val="00F95DF4"/>
    <w:rsid w:val="00F95E6B"/>
    <w:rsid w:val="00F95FDA"/>
    <w:rsid w:val="00F960EC"/>
    <w:rsid w:val="00F961F5"/>
    <w:rsid w:val="00F96564"/>
    <w:rsid w:val="00F9662E"/>
    <w:rsid w:val="00F966CC"/>
    <w:rsid w:val="00F96A15"/>
    <w:rsid w:val="00F96D43"/>
    <w:rsid w:val="00F96E96"/>
    <w:rsid w:val="00F96ECD"/>
    <w:rsid w:val="00F96F10"/>
    <w:rsid w:val="00F97007"/>
    <w:rsid w:val="00F97289"/>
    <w:rsid w:val="00F972B8"/>
    <w:rsid w:val="00F97C6A"/>
    <w:rsid w:val="00F97E1C"/>
    <w:rsid w:val="00FA0148"/>
    <w:rsid w:val="00FA026A"/>
    <w:rsid w:val="00FA02D9"/>
    <w:rsid w:val="00FA0349"/>
    <w:rsid w:val="00FA0395"/>
    <w:rsid w:val="00FA043A"/>
    <w:rsid w:val="00FA0511"/>
    <w:rsid w:val="00FA06A5"/>
    <w:rsid w:val="00FA079F"/>
    <w:rsid w:val="00FA0CAD"/>
    <w:rsid w:val="00FA0E07"/>
    <w:rsid w:val="00FA1B5F"/>
    <w:rsid w:val="00FA1D97"/>
    <w:rsid w:val="00FA1F34"/>
    <w:rsid w:val="00FA1F5F"/>
    <w:rsid w:val="00FA2474"/>
    <w:rsid w:val="00FA2582"/>
    <w:rsid w:val="00FA2911"/>
    <w:rsid w:val="00FA2E73"/>
    <w:rsid w:val="00FA39F7"/>
    <w:rsid w:val="00FA3A9D"/>
    <w:rsid w:val="00FA3DB1"/>
    <w:rsid w:val="00FA3E62"/>
    <w:rsid w:val="00FA3F23"/>
    <w:rsid w:val="00FA43A3"/>
    <w:rsid w:val="00FA45F4"/>
    <w:rsid w:val="00FA4705"/>
    <w:rsid w:val="00FA471F"/>
    <w:rsid w:val="00FA4DD8"/>
    <w:rsid w:val="00FA54CC"/>
    <w:rsid w:val="00FA57A7"/>
    <w:rsid w:val="00FA5D0C"/>
    <w:rsid w:val="00FA5F05"/>
    <w:rsid w:val="00FA6590"/>
    <w:rsid w:val="00FA6D1B"/>
    <w:rsid w:val="00FA6DA6"/>
    <w:rsid w:val="00FA6E12"/>
    <w:rsid w:val="00FA73E2"/>
    <w:rsid w:val="00FB020D"/>
    <w:rsid w:val="00FB0407"/>
    <w:rsid w:val="00FB08FD"/>
    <w:rsid w:val="00FB0D5C"/>
    <w:rsid w:val="00FB131F"/>
    <w:rsid w:val="00FB1342"/>
    <w:rsid w:val="00FB1357"/>
    <w:rsid w:val="00FB14AD"/>
    <w:rsid w:val="00FB1715"/>
    <w:rsid w:val="00FB1A1E"/>
    <w:rsid w:val="00FB1AD2"/>
    <w:rsid w:val="00FB1B4D"/>
    <w:rsid w:val="00FB1DD8"/>
    <w:rsid w:val="00FB1E0E"/>
    <w:rsid w:val="00FB1E39"/>
    <w:rsid w:val="00FB1E3A"/>
    <w:rsid w:val="00FB216A"/>
    <w:rsid w:val="00FB2234"/>
    <w:rsid w:val="00FB29B6"/>
    <w:rsid w:val="00FB2BCB"/>
    <w:rsid w:val="00FB31CE"/>
    <w:rsid w:val="00FB31F6"/>
    <w:rsid w:val="00FB3977"/>
    <w:rsid w:val="00FB3F4F"/>
    <w:rsid w:val="00FB4489"/>
    <w:rsid w:val="00FB4731"/>
    <w:rsid w:val="00FB4C29"/>
    <w:rsid w:val="00FB4FA6"/>
    <w:rsid w:val="00FB51E7"/>
    <w:rsid w:val="00FB52FF"/>
    <w:rsid w:val="00FB588B"/>
    <w:rsid w:val="00FB5978"/>
    <w:rsid w:val="00FB62CC"/>
    <w:rsid w:val="00FB6425"/>
    <w:rsid w:val="00FB6528"/>
    <w:rsid w:val="00FB66DB"/>
    <w:rsid w:val="00FB6AA6"/>
    <w:rsid w:val="00FB6C49"/>
    <w:rsid w:val="00FB716F"/>
    <w:rsid w:val="00FB7635"/>
    <w:rsid w:val="00FB76AF"/>
    <w:rsid w:val="00FB7CE4"/>
    <w:rsid w:val="00FC0474"/>
    <w:rsid w:val="00FC04B8"/>
    <w:rsid w:val="00FC053D"/>
    <w:rsid w:val="00FC09CD"/>
    <w:rsid w:val="00FC0B24"/>
    <w:rsid w:val="00FC0EBA"/>
    <w:rsid w:val="00FC0EE5"/>
    <w:rsid w:val="00FC1E06"/>
    <w:rsid w:val="00FC1E29"/>
    <w:rsid w:val="00FC2371"/>
    <w:rsid w:val="00FC2434"/>
    <w:rsid w:val="00FC2CEE"/>
    <w:rsid w:val="00FC2D17"/>
    <w:rsid w:val="00FC2E89"/>
    <w:rsid w:val="00FC2F95"/>
    <w:rsid w:val="00FC3426"/>
    <w:rsid w:val="00FC3774"/>
    <w:rsid w:val="00FC38F8"/>
    <w:rsid w:val="00FC3D0D"/>
    <w:rsid w:val="00FC44BF"/>
    <w:rsid w:val="00FC48DD"/>
    <w:rsid w:val="00FC5227"/>
    <w:rsid w:val="00FC564B"/>
    <w:rsid w:val="00FC5DEC"/>
    <w:rsid w:val="00FC633F"/>
    <w:rsid w:val="00FC6534"/>
    <w:rsid w:val="00FC6556"/>
    <w:rsid w:val="00FC69AF"/>
    <w:rsid w:val="00FC6A95"/>
    <w:rsid w:val="00FC6E1B"/>
    <w:rsid w:val="00FC730D"/>
    <w:rsid w:val="00FC74F2"/>
    <w:rsid w:val="00FC77B1"/>
    <w:rsid w:val="00FC7AE2"/>
    <w:rsid w:val="00FC7DAE"/>
    <w:rsid w:val="00FD015E"/>
    <w:rsid w:val="00FD01C1"/>
    <w:rsid w:val="00FD04A6"/>
    <w:rsid w:val="00FD0B2E"/>
    <w:rsid w:val="00FD1394"/>
    <w:rsid w:val="00FD1751"/>
    <w:rsid w:val="00FD287B"/>
    <w:rsid w:val="00FD3143"/>
    <w:rsid w:val="00FD3F26"/>
    <w:rsid w:val="00FD46BC"/>
    <w:rsid w:val="00FD4CD4"/>
    <w:rsid w:val="00FD4D57"/>
    <w:rsid w:val="00FD5136"/>
    <w:rsid w:val="00FD53EB"/>
    <w:rsid w:val="00FD58BA"/>
    <w:rsid w:val="00FD59DD"/>
    <w:rsid w:val="00FD5AFA"/>
    <w:rsid w:val="00FD5C94"/>
    <w:rsid w:val="00FD5EFF"/>
    <w:rsid w:val="00FD61DA"/>
    <w:rsid w:val="00FD6422"/>
    <w:rsid w:val="00FD64F7"/>
    <w:rsid w:val="00FD67D2"/>
    <w:rsid w:val="00FD7080"/>
    <w:rsid w:val="00FD738F"/>
    <w:rsid w:val="00FD784F"/>
    <w:rsid w:val="00FD7E94"/>
    <w:rsid w:val="00FE001E"/>
    <w:rsid w:val="00FE039D"/>
    <w:rsid w:val="00FE0985"/>
    <w:rsid w:val="00FE0AA2"/>
    <w:rsid w:val="00FE1278"/>
    <w:rsid w:val="00FE1C7F"/>
    <w:rsid w:val="00FE252F"/>
    <w:rsid w:val="00FE2645"/>
    <w:rsid w:val="00FE2A46"/>
    <w:rsid w:val="00FE2C74"/>
    <w:rsid w:val="00FE2C92"/>
    <w:rsid w:val="00FE2CE6"/>
    <w:rsid w:val="00FE2E62"/>
    <w:rsid w:val="00FE340C"/>
    <w:rsid w:val="00FE3737"/>
    <w:rsid w:val="00FE3BB8"/>
    <w:rsid w:val="00FE3C83"/>
    <w:rsid w:val="00FE3CCB"/>
    <w:rsid w:val="00FE3F27"/>
    <w:rsid w:val="00FE4385"/>
    <w:rsid w:val="00FE47E7"/>
    <w:rsid w:val="00FE49BB"/>
    <w:rsid w:val="00FE4EBD"/>
    <w:rsid w:val="00FE5286"/>
    <w:rsid w:val="00FE60F4"/>
    <w:rsid w:val="00FE61E1"/>
    <w:rsid w:val="00FE679B"/>
    <w:rsid w:val="00FE6BAE"/>
    <w:rsid w:val="00FE780E"/>
    <w:rsid w:val="00FF0BE9"/>
    <w:rsid w:val="00FF1569"/>
    <w:rsid w:val="00FF1755"/>
    <w:rsid w:val="00FF219C"/>
    <w:rsid w:val="00FF23C9"/>
    <w:rsid w:val="00FF25F0"/>
    <w:rsid w:val="00FF2BD5"/>
    <w:rsid w:val="00FF301C"/>
    <w:rsid w:val="00FF3118"/>
    <w:rsid w:val="00FF3143"/>
    <w:rsid w:val="00FF32E8"/>
    <w:rsid w:val="00FF345D"/>
    <w:rsid w:val="00FF3609"/>
    <w:rsid w:val="00FF398F"/>
    <w:rsid w:val="00FF3B57"/>
    <w:rsid w:val="00FF3EF6"/>
    <w:rsid w:val="00FF492B"/>
    <w:rsid w:val="00FF4AA7"/>
    <w:rsid w:val="00FF5556"/>
    <w:rsid w:val="00FF5C3F"/>
    <w:rsid w:val="00FF5D1C"/>
    <w:rsid w:val="00FF640C"/>
    <w:rsid w:val="00FF67A3"/>
    <w:rsid w:val="00FF67CB"/>
    <w:rsid w:val="00FF6E4C"/>
    <w:rsid w:val="00FF7133"/>
    <w:rsid w:val="00FF77A4"/>
    <w:rsid w:val="00FF7818"/>
    <w:rsid w:val="00FF7B57"/>
    <w:rsid w:val="00FF7BD8"/>
    <w:rsid w:val="015E094C"/>
    <w:rsid w:val="0170B246"/>
    <w:rsid w:val="019D45BD"/>
    <w:rsid w:val="01AEDC32"/>
    <w:rsid w:val="01AF36D7"/>
    <w:rsid w:val="01BAD7A5"/>
    <w:rsid w:val="01D223A6"/>
    <w:rsid w:val="0210664B"/>
    <w:rsid w:val="0233A214"/>
    <w:rsid w:val="02521A41"/>
    <w:rsid w:val="02538F57"/>
    <w:rsid w:val="02692B3E"/>
    <w:rsid w:val="02764C25"/>
    <w:rsid w:val="0288B3E3"/>
    <w:rsid w:val="029E25D6"/>
    <w:rsid w:val="02DA9FBF"/>
    <w:rsid w:val="02ECF9F5"/>
    <w:rsid w:val="032E69C1"/>
    <w:rsid w:val="03450E9B"/>
    <w:rsid w:val="035E560D"/>
    <w:rsid w:val="03B02A98"/>
    <w:rsid w:val="03C535D6"/>
    <w:rsid w:val="03D1CD3A"/>
    <w:rsid w:val="03D72BF0"/>
    <w:rsid w:val="0425F9A0"/>
    <w:rsid w:val="0478BDB0"/>
    <w:rsid w:val="04800039"/>
    <w:rsid w:val="04B8299B"/>
    <w:rsid w:val="04D8485A"/>
    <w:rsid w:val="04EB422C"/>
    <w:rsid w:val="05083560"/>
    <w:rsid w:val="05787441"/>
    <w:rsid w:val="057E0144"/>
    <w:rsid w:val="05AF8D64"/>
    <w:rsid w:val="05EF4C21"/>
    <w:rsid w:val="06023540"/>
    <w:rsid w:val="0611C167"/>
    <w:rsid w:val="062BCA57"/>
    <w:rsid w:val="064593D1"/>
    <w:rsid w:val="0668F245"/>
    <w:rsid w:val="066D84BC"/>
    <w:rsid w:val="0695A8EF"/>
    <w:rsid w:val="0697BFBC"/>
    <w:rsid w:val="06D92C25"/>
    <w:rsid w:val="06E366B1"/>
    <w:rsid w:val="0763B14F"/>
    <w:rsid w:val="076B5C2F"/>
    <w:rsid w:val="08195BDB"/>
    <w:rsid w:val="0865E6D0"/>
    <w:rsid w:val="089D812C"/>
    <w:rsid w:val="08AAE21D"/>
    <w:rsid w:val="08D2D110"/>
    <w:rsid w:val="08F54207"/>
    <w:rsid w:val="08FE3AD1"/>
    <w:rsid w:val="090C1947"/>
    <w:rsid w:val="090E1C23"/>
    <w:rsid w:val="094F9637"/>
    <w:rsid w:val="09AC4982"/>
    <w:rsid w:val="09B2DF51"/>
    <w:rsid w:val="09C527F9"/>
    <w:rsid w:val="09FE2108"/>
    <w:rsid w:val="0A0F85C9"/>
    <w:rsid w:val="0A2CD575"/>
    <w:rsid w:val="0A51E59C"/>
    <w:rsid w:val="0A7FC4BA"/>
    <w:rsid w:val="0A86FD23"/>
    <w:rsid w:val="0AE54541"/>
    <w:rsid w:val="0AF3AE47"/>
    <w:rsid w:val="0B1D787F"/>
    <w:rsid w:val="0B9D2A23"/>
    <w:rsid w:val="0BA1E951"/>
    <w:rsid w:val="0BD74606"/>
    <w:rsid w:val="0C059D90"/>
    <w:rsid w:val="0C16627E"/>
    <w:rsid w:val="0C2A7F47"/>
    <w:rsid w:val="0C2E8A02"/>
    <w:rsid w:val="0C61FEA5"/>
    <w:rsid w:val="0D007E62"/>
    <w:rsid w:val="0D3CE55E"/>
    <w:rsid w:val="0D3DE481"/>
    <w:rsid w:val="0D759B51"/>
    <w:rsid w:val="0DA32E66"/>
    <w:rsid w:val="0DB9041A"/>
    <w:rsid w:val="0DD71D32"/>
    <w:rsid w:val="0DE55330"/>
    <w:rsid w:val="0E3AE592"/>
    <w:rsid w:val="0EA65710"/>
    <w:rsid w:val="0EFD760D"/>
    <w:rsid w:val="0F303998"/>
    <w:rsid w:val="0F70553A"/>
    <w:rsid w:val="0F757C79"/>
    <w:rsid w:val="0F8E9D43"/>
    <w:rsid w:val="1028AC24"/>
    <w:rsid w:val="104851F8"/>
    <w:rsid w:val="105B5AB0"/>
    <w:rsid w:val="106EB348"/>
    <w:rsid w:val="1085062E"/>
    <w:rsid w:val="10ABED9F"/>
    <w:rsid w:val="10B1F5D1"/>
    <w:rsid w:val="10C39865"/>
    <w:rsid w:val="11342765"/>
    <w:rsid w:val="1166A4C5"/>
    <w:rsid w:val="11BE48AE"/>
    <w:rsid w:val="12060482"/>
    <w:rsid w:val="1255D487"/>
    <w:rsid w:val="12BCEBEF"/>
    <w:rsid w:val="14229FD9"/>
    <w:rsid w:val="1507F02A"/>
    <w:rsid w:val="1511D94F"/>
    <w:rsid w:val="155CE69F"/>
    <w:rsid w:val="15EBC00B"/>
    <w:rsid w:val="1642D4E4"/>
    <w:rsid w:val="166D2232"/>
    <w:rsid w:val="169CFE82"/>
    <w:rsid w:val="16E6F97C"/>
    <w:rsid w:val="16EA8AAA"/>
    <w:rsid w:val="16EC7E4A"/>
    <w:rsid w:val="170DB6A2"/>
    <w:rsid w:val="17618B4E"/>
    <w:rsid w:val="1770F197"/>
    <w:rsid w:val="178A408C"/>
    <w:rsid w:val="179D2BC2"/>
    <w:rsid w:val="17A99007"/>
    <w:rsid w:val="17B171FA"/>
    <w:rsid w:val="18C9C531"/>
    <w:rsid w:val="18DECEAF"/>
    <w:rsid w:val="1981840C"/>
    <w:rsid w:val="19A5998C"/>
    <w:rsid w:val="19A5F78E"/>
    <w:rsid w:val="19B15CBA"/>
    <w:rsid w:val="19B73299"/>
    <w:rsid w:val="19BE3DA5"/>
    <w:rsid w:val="19F46A6F"/>
    <w:rsid w:val="1AB75BE8"/>
    <w:rsid w:val="1ADF54CB"/>
    <w:rsid w:val="1AE130C9"/>
    <w:rsid w:val="1AE2F9BD"/>
    <w:rsid w:val="1AFD8A1C"/>
    <w:rsid w:val="1BBF3A16"/>
    <w:rsid w:val="1C5C83BA"/>
    <w:rsid w:val="1C63CE35"/>
    <w:rsid w:val="1C728796"/>
    <w:rsid w:val="1D30D411"/>
    <w:rsid w:val="1D397399"/>
    <w:rsid w:val="1D3D8B36"/>
    <w:rsid w:val="1D439FF7"/>
    <w:rsid w:val="1D83D08E"/>
    <w:rsid w:val="1DAD8C80"/>
    <w:rsid w:val="1DD0F601"/>
    <w:rsid w:val="1DD83536"/>
    <w:rsid w:val="1DE6E2C7"/>
    <w:rsid w:val="1E307B65"/>
    <w:rsid w:val="1E31452B"/>
    <w:rsid w:val="1E9FCA11"/>
    <w:rsid w:val="1ED3D797"/>
    <w:rsid w:val="1EE0F98D"/>
    <w:rsid w:val="1F16C59D"/>
    <w:rsid w:val="1F79247A"/>
    <w:rsid w:val="1FAFC8FA"/>
    <w:rsid w:val="1FBF2FDC"/>
    <w:rsid w:val="1FDEC18E"/>
    <w:rsid w:val="200FEF0C"/>
    <w:rsid w:val="20138A63"/>
    <w:rsid w:val="202BB674"/>
    <w:rsid w:val="2039F218"/>
    <w:rsid w:val="203BD8C7"/>
    <w:rsid w:val="2084519C"/>
    <w:rsid w:val="20849E7E"/>
    <w:rsid w:val="20936330"/>
    <w:rsid w:val="20BB7150"/>
    <w:rsid w:val="211C1707"/>
    <w:rsid w:val="2132D4E2"/>
    <w:rsid w:val="213C0BF8"/>
    <w:rsid w:val="2162842F"/>
    <w:rsid w:val="219C912F"/>
    <w:rsid w:val="21BC1507"/>
    <w:rsid w:val="220E1FD7"/>
    <w:rsid w:val="222214FA"/>
    <w:rsid w:val="223BA201"/>
    <w:rsid w:val="2252EC8E"/>
    <w:rsid w:val="225E880D"/>
    <w:rsid w:val="226A4411"/>
    <w:rsid w:val="22794A7E"/>
    <w:rsid w:val="229FBB07"/>
    <w:rsid w:val="22B4C985"/>
    <w:rsid w:val="22C8F6E9"/>
    <w:rsid w:val="22CEC5C8"/>
    <w:rsid w:val="22D224F3"/>
    <w:rsid w:val="2450815B"/>
    <w:rsid w:val="247FE8A9"/>
    <w:rsid w:val="2497DB8F"/>
    <w:rsid w:val="249B888A"/>
    <w:rsid w:val="24FAE73C"/>
    <w:rsid w:val="2506F4B7"/>
    <w:rsid w:val="253927CC"/>
    <w:rsid w:val="254C4D23"/>
    <w:rsid w:val="259CA78D"/>
    <w:rsid w:val="26072C3B"/>
    <w:rsid w:val="263D5B24"/>
    <w:rsid w:val="26560471"/>
    <w:rsid w:val="266D4B0B"/>
    <w:rsid w:val="2692AB29"/>
    <w:rsid w:val="26AE0324"/>
    <w:rsid w:val="2721E917"/>
    <w:rsid w:val="27265DB1"/>
    <w:rsid w:val="276261E3"/>
    <w:rsid w:val="27A851DC"/>
    <w:rsid w:val="27AA91E1"/>
    <w:rsid w:val="27BF22B3"/>
    <w:rsid w:val="27CFB56B"/>
    <w:rsid w:val="27E7DF5E"/>
    <w:rsid w:val="27E7FAAB"/>
    <w:rsid w:val="28A905B5"/>
    <w:rsid w:val="28F0A052"/>
    <w:rsid w:val="296BE45B"/>
    <w:rsid w:val="299C41F4"/>
    <w:rsid w:val="29C4385F"/>
    <w:rsid w:val="29EB15C6"/>
    <w:rsid w:val="2A201002"/>
    <w:rsid w:val="2A29DE96"/>
    <w:rsid w:val="2A2D0FE0"/>
    <w:rsid w:val="2A892960"/>
    <w:rsid w:val="2ACF4BB3"/>
    <w:rsid w:val="2AFE71F3"/>
    <w:rsid w:val="2B1E4853"/>
    <w:rsid w:val="2B407270"/>
    <w:rsid w:val="2B4435DA"/>
    <w:rsid w:val="2B4AED1F"/>
    <w:rsid w:val="2B89D2A1"/>
    <w:rsid w:val="2BB2E772"/>
    <w:rsid w:val="2C3E7F25"/>
    <w:rsid w:val="2C6465E2"/>
    <w:rsid w:val="2C73AB34"/>
    <w:rsid w:val="2CCD2485"/>
    <w:rsid w:val="2CCFA5E5"/>
    <w:rsid w:val="2CD027B8"/>
    <w:rsid w:val="2D000181"/>
    <w:rsid w:val="2D67986C"/>
    <w:rsid w:val="2D8E4927"/>
    <w:rsid w:val="2D9F10A6"/>
    <w:rsid w:val="2DA1E1DE"/>
    <w:rsid w:val="2DC6C11D"/>
    <w:rsid w:val="2DF61575"/>
    <w:rsid w:val="2E110F66"/>
    <w:rsid w:val="2E2B7C8F"/>
    <w:rsid w:val="2E40BD79"/>
    <w:rsid w:val="2E52CD40"/>
    <w:rsid w:val="2E5D3B64"/>
    <w:rsid w:val="2E5E0ACD"/>
    <w:rsid w:val="2E77E3AA"/>
    <w:rsid w:val="2E969BA4"/>
    <w:rsid w:val="2E9DE214"/>
    <w:rsid w:val="2EF05CF6"/>
    <w:rsid w:val="2F184739"/>
    <w:rsid w:val="2F405315"/>
    <w:rsid w:val="2FA13EFB"/>
    <w:rsid w:val="2FB4701C"/>
    <w:rsid w:val="2FCC11DD"/>
    <w:rsid w:val="2FD30147"/>
    <w:rsid w:val="30322D18"/>
    <w:rsid w:val="308C2D57"/>
    <w:rsid w:val="3131A623"/>
    <w:rsid w:val="313D60BF"/>
    <w:rsid w:val="316BFB94"/>
    <w:rsid w:val="3173B3F0"/>
    <w:rsid w:val="31D1014B"/>
    <w:rsid w:val="3201702C"/>
    <w:rsid w:val="321FB01D"/>
    <w:rsid w:val="323823AD"/>
    <w:rsid w:val="329D471E"/>
    <w:rsid w:val="32D1E695"/>
    <w:rsid w:val="32E03A6C"/>
    <w:rsid w:val="32FD4BCE"/>
    <w:rsid w:val="333D9207"/>
    <w:rsid w:val="336D5BA1"/>
    <w:rsid w:val="33EBB85C"/>
    <w:rsid w:val="33EBC1BA"/>
    <w:rsid w:val="33EE7C75"/>
    <w:rsid w:val="34233F17"/>
    <w:rsid w:val="344731F4"/>
    <w:rsid w:val="3459110C"/>
    <w:rsid w:val="34616B73"/>
    <w:rsid w:val="346BAA5A"/>
    <w:rsid w:val="349B8636"/>
    <w:rsid w:val="34F351C1"/>
    <w:rsid w:val="354DE150"/>
    <w:rsid w:val="35B2379A"/>
    <w:rsid w:val="36258763"/>
    <w:rsid w:val="36D9245E"/>
    <w:rsid w:val="37830022"/>
    <w:rsid w:val="3788B9DC"/>
    <w:rsid w:val="37A6EE08"/>
    <w:rsid w:val="37C2F584"/>
    <w:rsid w:val="3818E917"/>
    <w:rsid w:val="388C9F85"/>
    <w:rsid w:val="388DA239"/>
    <w:rsid w:val="389027D3"/>
    <w:rsid w:val="38B951D0"/>
    <w:rsid w:val="38BDD67D"/>
    <w:rsid w:val="39459AA5"/>
    <w:rsid w:val="394811B7"/>
    <w:rsid w:val="394FD8DE"/>
    <w:rsid w:val="3982533A"/>
    <w:rsid w:val="39C09F98"/>
    <w:rsid w:val="3AC9DC88"/>
    <w:rsid w:val="3AEA99F7"/>
    <w:rsid w:val="3AFCE12B"/>
    <w:rsid w:val="3B017CE1"/>
    <w:rsid w:val="3B121AE1"/>
    <w:rsid w:val="3B30BFED"/>
    <w:rsid w:val="3B69EF83"/>
    <w:rsid w:val="3BA92B37"/>
    <w:rsid w:val="3C38CB6D"/>
    <w:rsid w:val="3C555DA9"/>
    <w:rsid w:val="3C77B7B5"/>
    <w:rsid w:val="3D003384"/>
    <w:rsid w:val="3D105381"/>
    <w:rsid w:val="3D60404B"/>
    <w:rsid w:val="3D7F5598"/>
    <w:rsid w:val="3DB71405"/>
    <w:rsid w:val="3E22DD90"/>
    <w:rsid w:val="3E48A810"/>
    <w:rsid w:val="3E5C5ADE"/>
    <w:rsid w:val="3EAC8BBF"/>
    <w:rsid w:val="3EE77F46"/>
    <w:rsid w:val="3F543808"/>
    <w:rsid w:val="3F86340F"/>
    <w:rsid w:val="3FCA227E"/>
    <w:rsid w:val="40090599"/>
    <w:rsid w:val="404CCF84"/>
    <w:rsid w:val="405CC384"/>
    <w:rsid w:val="4063354B"/>
    <w:rsid w:val="406D9A57"/>
    <w:rsid w:val="4079358A"/>
    <w:rsid w:val="4087E0D5"/>
    <w:rsid w:val="408B91C2"/>
    <w:rsid w:val="40954122"/>
    <w:rsid w:val="40C6044A"/>
    <w:rsid w:val="411E3621"/>
    <w:rsid w:val="4142D8E5"/>
    <w:rsid w:val="4157329C"/>
    <w:rsid w:val="415B57A9"/>
    <w:rsid w:val="416D6FD5"/>
    <w:rsid w:val="4175B65D"/>
    <w:rsid w:val="41A56CDD"/>
    <w:rsid w:val="41CB5110"/>
    <w:rsid w:val="42089247"/>
    <w:rsid w:val="4231A1DD"/>
    <w:rsid w:val="423DF018"/>
    <w:rsid w:val="4245F4C1"/>
    <w:rsid w:val="43153043"/>
    <w:rsid w:val="4333C8D7"/>
    <w:rsid w:val="4340A65B"/>
    <w:rsid w:val="434D9567"/>
    <w:rsid w:val="4359CEB8"/>
    <w:rsid w:val="43865B18"/>
    <w:rsid w:val="43A3D2D1"/>
    <w:rsid w:val="43B41E01"/>
    <w:rsid w:val="43C03C97"/>
    <w:rsid w:val="43E43C53"/>
    <w:rsid w:val="441393FE"/>
    <w:rsid w:val="44208DFE"/>
    <w:rsid w:val="4476D6C6"/>
    <w:rsid w:val="447C8E0E"/>
    <w:rsid w:val="44ABFDDC"/>
    <w:rsid w:val="44CCFB32"/>
    <w:rsid w:val="44E74E07"/>
    <w:rsid w:val="44E89174"/>
    <w:rsid w:val="451F97EC"/>
    <w:rsid w:val="45359D30"/>
    <w:rsid w:val="45B92455"/>
    <w:rsid w:val="45D45F7B"/>
    <w:rsid w:val="4610265C"/>
    <w:rsid w:val="46335639"/>
    <w:rsid w:val="4683BF7B"/>
    <w:rsid w:val="46C55B7D"/>
    <w:rsid w:val="46E300B2"/>
    <w:rsid w:val="4721DE94"/>
    <w:rsid w:val="477BE824"/>
    <w:rsid w:val="482805AD"/>
    <w:rsid w:val="485453E9"/>
    <w:rsid w:val="4857B823"/>
    <w:rsid w:val="48ACEC3E"/>
    <w:rsid w:val="48AF3406"/>
    <w:rsid w:val="48BCDC20"/>
    <w:rsid w:val="48DA2AB5"/>
    <w:rsid w:val="48FEC2F3"/>
    <w:rsid w:val="490865BC"/>
    <w:rsid w:val="49B330E0"/>
    <w:rsid w:val="49D54F6F"/>
    <w:rsid w:val="49D552E5"/>
    <w:rsid w:val="49F5B803"/>
    <w:rsid w:val="4A013B3F"/>
    <w:rsid w:val="4A2C1FF9"/>
    <w:rsid w:val="4A41D279"/>
    <w:rsid w:val="4AE89A0F"/>
    <w:rsid w:val="4B31D9D7"/>
    <w:rsid w:val="4B671EE5"/>
    <w:rsid w:val="4B8D864F"/>
    <w:rsid w:val="4B907909"/>
    <w:rsid w:val="4BF0F79D"/>
    <w:rsid w:val="4C40067E"/>
    <w:rsid w:val="4C488A57"/>
    <w:rsid w:val="4CD11BB6"/>
    <w:rsid w:val="4CD441BF"/>
    <w:rsid w:val="4CE274DE"/>
    <w:rsid w:val="4D389763"/>
    <w:rsid w:val="4D40AFBF"/>
    <w:rsid w:val="4D96B761"/>
    <w:rsid w:val="4DA57674"/>
    <w:rsid w:val="4DA81E4C"/>
    <w:rsid w:val="4DF79509"/>
    <w:rsid w:val="4DFCC4AC"/>
    <w:rsid w:val="4E68664C"/>
    <w:rsid w:val="4EAB70FF"/>
    <w:rsid w:val="4F1616F2"/>
    <w:rsid w:val="4F1D8637"/>
    <w:rsid w:val="4F7BDAD7"/>
    <w:rsid w:val="4FBC4D8D"/>
    <w:rsid w:val="4FDB6E32"/>
    <w:rsid w:val="4FE27854"/>
    <w:rsid w:val="4FF5179A"/>
    <w:rsid w:val="500C43E6"/>
    <w:rsid w:val="5030254F"/>
    <w:rsid w:val="504A1336"/>
    <w:rsid w:val="504C6358"/>
    <w:rsid w:val="506121D9"/>
    <w:rsid w:val="50633DE0"/>
    <w:rsid w:val="50BA45EB"/>
    <w:rsid w:val="50EE7834"/>
    <w:rsid w:val="51031A03"/>
    <w:rsid w:val="51181ECE"/>
    <w:rsid w:val="512474CE"/>
    <w:rsid w:val="5140066D"/>
    <w:rsid w:val="5163B51A"/>
    <w:rsid w:val="516A0F52"/>
    <w:rsid w:val="51DDFEB0"/>
    <w:rsid w:val="52232F3E"/>
    <w:rsid w:val="522F5E1A"/>
    <w:rsid w:val="527F6024"/>
    <w:rsid w:val="52A1B184"/>
    <w:rsid w:val="5315D956"/>
    <w:rsid w:val="5356590D"/>
    <w:rsid w:val="541859E4"/>
    <w:rsid w:val="5454E033"/>
    <w:rsid w:val="54577FB2"/>
    <w:rsid w:val="546B0527"/>
    <w:rsid w:val="54714D71"/>
    <w:rsid w:val="5477A2A8"/>
    <w:rsid w:val="549AB23E"/>
    <w:rsid w:val="54AE83D4"/>
    <w:rsid w:val="54B5E6A3"/>
    <w:rsid w:val="54D38CAF"/>
    <w:rsid w:val="54E6DF1A"/>
    <w:rsid w:val="551A64CF"/>
    <w:rsid w:val="552DE588"/>
    <w:rsid w:val="555F3BA9"/>
    <w:rsid w:val="5586F004"/>
    <w:rsid w:val="559D314C"/>
    <w:rsid w:val="55E474C2"/>
    <w:rsid w:val="564F3639"/>
    <w:rsid w:val="566C9903"/>
    <w:rsid w:val="56AD1495"/>
    <w:rsid w:val="56E0FC08"/>
    <w:rsid w:val="5736679D"/>
    <w:rsid w:val="57616AC7"/>
    <w:rsid w:val="5794F233"/>
    <w:rsid w:val="57985AE7"/>
    <w:rsid w:val="57A1C05C"/>
    <w:rsid w:val="580087F6"/>
    <w:rsid w:val="585AF90C"/>
    <w:rsid w:val="586EB4E1"/>
    <w:rsid w:val="588E4B42"/>
    <w:rsid w:val="58D6804D"/>
    <w:rsid w:val="59733A87"/>
    <w:rsid w:val="5993B0E0"/>
    <w:rsid w:val="5996E7BE"/>
    <w:rsid w:val="59A9FBB7"/>
    <w:rsid w:val="59B88D68"/>
    <w:rsid w:val="59CDF92F"/>
    <w:rsid w:val="5A2A6B52"/>
    <w:rsid w:val="5A523D1A"/>
    <w:rsid w:val="5AD3F76C"/>
    <w:rsid w:val="5ADF5096"/>
    <w:rsid w:val="5B250F98"/>
    <w:rsid w:val="5B32E98C"/>
    <w:rsid w:val="5B41DF4D"/>
    <w:rsid w:val="5BA0E5A3"/>
    <w:rsid w:val="5BA66225"/>
    <w:rsid w:val="5BF3AF26"/>
    <w:rsid w:val="5BFB9C11"/>
    <w:rsid w:val="5C1263DE"/>
    <w:rsid w:val="5C5A5DC7"/>
    <w:rsid w:val="5C85978F"/>
    <w:rsid w:val="5D5BE9A4"/>
    <w:rsid w:val="5D6818F8"/>
    <w:rsid w:val="5D68497E"/>
    <w:rsid w:val="5D83146B"/>
    <w:rsid w:val="5D932055"/>
    <w:rsid w:val="5DECD6D4"/>
    <w:rsid w:val="5E13373C"/>
    <w:rsid w:val="5E2E94D3"/>
    <w:rsid w:val="5E84D590"/>
    <w:rsid w:val="5ECF01D4"/>
    <w:rsid w:val="5F171D69"/>
    <w:rsid w:val="5F41CA33"/>
    <w:rsid w:val="5F7EEEAD"/>
    <w:rsid w:val="5F8C397F"/>
    <w:rsid w:val="5FA2A5F7"/>
    <w:rsid w:val="60366558"/>
    <w:rsid w:val="6059A681"/>
    <w:rsid w:val="607E0771"/>
    <w:rsid w:val="60884CB6"/>
    <w:rsid w:val="61277474"/>
    <w:rsid w:val="61907383"/>
    <w:rsid w:val="61A47886"/>
    <w:rsid w:val="61AF53B3"/>
    <w:rsid w:val="61B120D1"/>
    <w:rsid w:val="61BD0D5E"/>
    <w:rsid w:val="61C8927B"/>
    <w:rsid w:val="61F997E1"/>
    <w:rsid w:val="624DE2D1"/>
    <w:rsid w:val="6283F196"/>
    <w:rsid w:val="62A2C639"/>
    <w:rsid w:val="62D36D6F"/>
    <w:rsid w:val="63020790"/>
    <w:rsid w:val="632AB211"/>
    <w:rsid w:val="6367FCE6"/>
    <w:rsid w:val="637B03CB"/>
    <w:rsid w:val="638C1B97"/>
    <w:rsid w:val="6395DAF4"/>
    <w:rsid w:val="639FA5D8"/>
    <w:rsid w:val="63FE869C"/>
    <w:rsid w:val="641A806B"/>
    <w:rsid w:val="647C7879"/>
    <w:rsid w:val="64AF2D64"/>
    <w:rsid w:val="65853F73"/>
    <w:rsid w:val="6599B2B2"/>
    <w:rsid w:val="65AA3C79"/>
    <w:rsid w:val="65AC1D74"/>
    <w:rsid w:val="65C7048F"/>
    <w:rsid w:val="65ED9651"/>
    <w:rsid w:val="6643D00C"/>
    <w:rsid w:val="66569F7E"/>
    <w:rsid w:val="6660C3A4"/>
    <w:rsid w:val="66DAE98F"/>
    <w:rsid w:val="672E7062"/>
    <w:rsid w:val="6747CE63"/>
    <w:rsid w:val="677071F9"/>
    <w:rsid w:val="67A4D1B6"/>
    <w:rsid w:val="67AAFB99"/>
    <w:rsid w:val="67C06495"/>
    <w:rsid w:val="67CAC7BB"/>
    <w:rsid w:val="681DD06A"/>
    <w:rsid w:val="68206CED"/>
    <w:rsid w:val="68284EE0"/>
    <w:rsid w:val="6881E210"/>
    <w:rsid w:val="6883ECA1"/>
    <w:rsid w:val="692FEAEB"/>
    <w:rsid w:val="69338917"/>
    <w:rsid w:val="6939A30A"/>
    <w:rsid w:val="6990E968"/>
    <w:rsid w:val="69A35724"/>
    <w:rsid w:val="69B5894E"/>
    <w:rsid w:val="6A347DBD"/>
    <w:rsid w:val="6A8702C9"/>
    <w:rsid w:val="6A960D2F"/>
    <w:rsid w:val="6AA3CD11"/>
    <w:rsid w:val="6B0D0439"/>
    <w:rsid w:val="6B4E64B2"/>
    <w:rsid w:val="6B580DAF"/>
    <w:rsid w:val="6B5EAFE2"/>
    <w:rsid w:val="6BAF3F5C"/>
    <w:rsid w:val="6BB1D91C"/>
    <w:rsid w:val="6BC8B128"/>
    <w:rsid w:val="6C00A41F"/>
    <w:rsid w:val="6C01E185"/>
    <w:rsid w:val="6C21B5D7"/>
    <w:rsid w:val="6C6FD200"/>
    <w:rsid w:val="6C73B04D"/>
    <w:rsid w:val="6CD58D44"/>
    <w:rsid w:val="6CEEDC50"/>
    <w:rsid w:val="6D29AB11"/>
    <w:rsid w:val="6D415CF5"/>
    <w:rsid w:val="6D451E59"/>
    <w:rsid w:val="6D53D130"/>
    <w:rsid w:val="6D57F95A"/>
    <w:rsid w:val="6DDD8B89"/>
    <w:rsid w:val="6E47BDA5"/>
    <w:rsid w:val="6E504BB2"/>
    <w:rsid w:val="6EC304A2"/>
    <w:rsid w:val="6EFB18B2"/>
    <w:rsid w:val="6F398247"/>
    <w:rsid w:val="6FC0F022"/>
    <w:rsid w:val="7013A2F5"/>
    <w:rsid w:val="702B7ED2"/>
    <w:rsid w:val="707A433F"/>
    <w:rsid w:val="70800A66"/>
    <w:rsid w:val="70BA84E2"/>
    <w:rsid w:val="70EF3A13"/>
    <w:rsid w:val="70F13768"/>
    <w:rsid w:val="70FB2E82"/>
    <w:rsid w:val="714E06C5"/>
    <w:rsid w:val="715435ED"/>
    <w:rsid w:val="715DA2C3"/>
    <w:rsid w:val="72543D9B"/>
    <w:rsid w:val="7277406B"/>
    <w:rsid w:val="72850569"/>
    <w:rsid w:val="729DAC18"/>
    <w:rsid w:val="72E26A60"/>
    <w:rsid w:val="73344DA6"/>
    <w:rsid w:val="73400ACE"/>
    <w:rsid w:val="73621B67"/>
    <w:rsid w:val="73A02CF0"/>
    <w:rsid w:val="73BD85A7"/>
    <w:rsid w:val="73F699C1"/>
    <w:rsid w:val="73FD4E90"/>
    <w:rsid w:val="744A8098"/>
    <w:rsid w:val="746B6D32"/>
    <w:rsid w:val="74854B57"/>
    <w:rsid w:val="74913AFC"/>
    <w:rsid w:val="74E8CCB3"/>
    <w:rsid w:val="74F29D91"/>
    <w:rsid w:val="74F877ED"/>
    <w:rsid w:val="7558476E"/>
    <w:rsid w:val="75656815"/>
    <w:rsid w:val="75A8287A"/>
    <w:rsid w:val="760A7FE6"/>
    <w:rsid w:val="7626D53C"/>
    <w:rsid w:val="763E2FF1"/>
    <w:rsid w:val="766E988C"/>
    <w:rsid w:val="76D0402A"/>
    <w:rsid w:val="771AE8AE"/>
    <w:rsid w:val="77F4BA51"/>
    <w:rsid w:val="7804FA44"/>
    <w:rsid w:val="7806D968"/>
    <w:rsid w:val="7922E35B"/>
    <w:rsid w:val="7A20120C"/>
    <w:rsid w:val="7A5C80CC"/>
    <w:rsid w:val="7A6337C2"/>
    <w:rsid w:val="7A6E49EB"/>
    <w:rsid w:val="7A7FFD4C"/>
    <w:rsid w:val="7A81DF30"/>
    <w:rsid w:val="7A860A28"/>
    <w:rsid w:val="7AA9EB03"/>
    <w:rsid w:val="7AAE5C6A"/>
    <w:rsid w:val="7AD25A3D"/>
    <w:rsid w:val="7AFA465F"/>
    <w:rsid w:val="7BECD97A"/>
    <w:rsid w:val="7BF42F69"/>
    <w:rsid w:val="7C6867C4"/>
    <w:rsid w:val="7C6AEA46"/>
    <w:rsid w:val="7CA502EE"/>
    <w:rsid w:val="7CA851C8"/>
    <w:rsid w:val="7CE6A2F3"/>
    <w:rsid w:val="7CF29FE5"/>
    <w:rsid w:val="7D0DF474"/>
    <w:rsid w:val="7D2BBE15"/>
    <w:rsid w:val="7D4612B7"/>
    <w:rsid w:val="7D8EAAF1"/>
    <w:rsid w:val="7DCEEE6F"/>
    <w:rsid w:val="7DDECBBE"/>
    <w:rsid w:val="7DF973C4"/>
    <w:rsid w:val="7E065B14"/>
    <w:rsid w:val="7E32248A"/>
    <w:rsid w:val="7EBF3061"/>
    <w:rsid w:val="7F03CB36"/>
    <w:rsid w:val="7F344489"/>
    <w:rsid w:val="7F81F4FD"/>
    <w:rsid w:val="7F959123"/>
    <w:rsid w:val="7FD0BCF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61363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pPr>
      <w:keepNext/>
      <w:numPr>
        <w:numId w:val="140"/>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40"/>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40"/>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40"/>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140"/>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140"/>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140"/>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4">
    <w:name w:val="List Bullet 4"/>
    <w:basedOn w:val="Normal"/>
    <w:uiPriority w:val="99"/>
    <w:rsid w:val="00DF6611"/>
    <w:pPr>
      <w:numPr>
        <w:numId w:val="2"/>
      </w:numPr>
    </w:pPr>
    <w:rPr>
      <w:rFonts w:eastAsia="Times New Roman"/>
      <w:lang w:eastAsia="de-DE"/>
    </w:rPr>
  </w:style>
  <w:style w:type="paragraph" w:styleId="ListNumber">
    <w:name w:val="List Number"/>
    <w:basedOn w:val="Normal"/>
    <w:rsid w:val="007C06DB"/>
    <w:pPr>
      <w:numPr>
        <w:numId w:val="6"/>
      </w:numPr>
    </w:pPr>
    <w:rPr>
      <w:rFonts w:eastAsia="Times New Roman"/>
      <w:lang w:eastAsia="de-DE"/>
    </w:rPr>
  </w:style>
  <w:style w:type="paragraph" w:customStyle="1" w:styleId="ListBullet1">
    <w:name w:val="List Bullet 1"/>
    <w:basedOn w:val="Normal"/>
    <w:rsid w:val="007C06DB"/>
    <w:pPr>
      <w:numPr>
        <w:numId w:val="1"/>
      </w:numPr>
    </w:pPr>
    <w:rPr>
      <w:rFonts w:eastAsia="Times New Roman"/>
      <w:lang w:eastAsia="de-DE"/>
    </w:rPr>
  </w:style>
  <w:style w:type="paragraph" w:customStyle="1" w:styleId="ListDash">
    <w:name w:val="List Dash"/>
    <w:basedOn w:val="Normal"/>
    <w:rsid w:val="007C06DB"/>
    <w:pPr>
      <w:numPr>
        <w:numId w:val="3"/>
      </w:numPr>
    </w:pPr>
    <w:rPr>
      <w:rFonts w:eastAsia="Times New Roman"/>
      <w:lang w:eastAsia="de-DE"/>
    </w:rPr>
  </w:style>
  <w:style w:type="paragraph" w:customStyle="1" w:styleId="ListDash1">
    <w:name w:val="List Dash 1"/>
    <w:basedOn w:val="Normal"/>
    <w:rsid w:val="007C06DB"/>
    <w:pPr>
      <w:numPr>
        <w:numId w:val="4"/>
      </w:numPr>
    </w:pPr>
    <w:rPr>
      <w:rFonts w:eastAsia="Times New Roman"/>
      <w:lang w:eastAsia="de-DE"/>
    </w:rPr>
  </w:style>
  <w:style w:type="paragraph" w:customStyle="1" w:styleId="ListDash2">
    <w:name w:val="List Dash 2"/>
    <w:basedOn w:val="Normal"/>
    <w:rsid w:val="007C06DB"/>
    <w:pPr>
      <w:numPr>
        <w:numId w:val="5"/>
      </w:numPr>
    </w:pPr>
    <w:rPr>
      <w:rFonts w:eastAsia="Times New Roman"/>
      <w:lang w:eastAsia="de-DE"/>
    </w:rPr>
  </w:style>
  <w:style w:type="paragraph" w:customStyle="1" w:styleId="ListNumberLevel2">
    <w:name w:val="List Number (Level 2)"/>
    <w:basedOn w:val="Normal"/>
    <w:rsid w:val="007C06DB"/>
    <w:pPr>
      <w:tabs>
        <w:tab w:val="num" w:pos="1417"/>
      </w:tabs>
      <w:ind w:left="1417" w:hanging="708"/>
    </w:pPr>
    <w:rPr>
      <w:rFonts w:eastAsia="Times New Roman"/>
      <w:lang w:eastAsia="de-DE"/>
    </w:rPr>
  </w:style>
  <w:style w:type="paragraph" w:customStyle="1" w:styleId="ListNumberLevel3">
    <w:name w:val="List Number (Level 3)"/>
    <w:basedOn w:val="Normal"/>
    <w:rsid w:val="007C06DB"/>
    <w:pPr>
      <w:numPr>
        <w:ilvl w:val="2"/>
        <w:numId w:val="6"/>
      </w:numPr>
    </w:pPr>
    <w:rPr>
      <w:rFonts w:eastAsia="Times New Roman"/>
      <w:lang w:eastAsia="de-DE"/>
    </w:rPr>
  </w:style>
  <w:style w:type="paragraph" w:customStyle="1" w:styleId="ListNumberLevel4">
    <w:name w:val="List Number (Level 4)"/>
    <w:basedOn w:val="Normal"/>
    <w:rsid w:val="007C06DB"/>
    <w:pPr>
      <w:numPr>
        <w:ilvl w:val="3"/>
        <w:numId w:val="6"/>
      </w:numPr>
    </w:pPr>
    <w:rPr>
      <w:rFonts w:eastAsia="Times New Roman"/>
      <w:lang w:eastAsia="de-DE"/>
    </w:rPr>
  </w:style>
  <w:style w:type="table" w:styleId="TableGrid">
    <w:name w:val="Table Grid"/>
    <w:basedOn w:val="TableNormal"/>
    <w:uiPriority w:val="39"/>
    <w:rsid w:val="007C06DB"/>
    <w:pPr>
      <w:spacing w:before="120" w:after="120" w:line="240" w:lineRule="auto"/>
      <w:jc w:val="both"/>
    </w:pPr>
    <w:rPr>
      <w:rFonts w:ascii="Times New Roman" w:eastAsia="Times New Roman" w:hAnsi="Times New Roman" w:cs="Times New Roman"/>
      <w:sz w:val="20"/>
      <w:szCs w:val="20"/>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DF6611"/>
    <w:rPr>
      <w:color w:val="0000FF"/>
      <w:u w:val="single"/>
    </w:rPr>
  </w:style>
  <w:style w:type="paragraph" w:styleId="ListBullet">
    <w:name w:val="List Bullet"/>
    <w:basedOn w:val="Normal"/>
    <w:uiPriority w:val="99"/>
    <w:rsid w:val="00DF6611"/>
    <w:pPr>
      <w:numPr>
        <w:numId w:val="7"/>
      </w:numPr>
    </w:pPr>
    <w:rPr>
      <w:rFonts w:eastAsia="Times New Roman"/>
      <w:lang w:val="fr-FR" w:eastAsia="en-GB"/>
    </w:rPr>
  </w:style>
  <w:style w:type="paragraph" w:styleId="ListBullet2">
    <w:name w:val="List Bullet 2"/>
    <w:basedOn w:val="Normal"/>
    <w:uiPriority w:val="99"/>
    <w:rsid w:val="00DF6611"/>
    <w:pPr>
      <w:numPr>
        <w:numId w:val="8"/>
      </w:numPr>
    </w:pPr>
    <w:rPr>
      <w:rFonts w:eastAsia="Times New Roman"/>
      <w:lang w:val="fr-FR" w:eastAsia="en-GB"/>
    </w:rPr>
  </w:style>
  <w:style w:type="paragraph" w:styleId="ListBullet3">
    <w:name w:val="List Bullet 3"/>
    <w:basedOn w:val="Normal"/>
    <w:uiPriority w:val="99"/>
    <w:rsid w:val="00DF6611"/>
    <w:pPr>
      <w:numPr>
        <w:numId w:val="9"/>
      </w:numPr>
    </w:pPr>
    <w:rPr>
      <w:rFonts w:eastAsia="Times New Roman"/>
      <w:lang w:val="fr-FR" w:eastAsia="en-GB"/>
    </w:rPr>
  </w:style>
  <w:style w:type="paragraph" w:styleId="ListNumber2">
    <w:name w:val="List Number 2"/>
    <w:basedOn w:val="Normal"/>
    <w:rsid w:val="007C06DB"/>
    <w:pPr>
      <w:numPr>
        <w:numId w:val="13"/>
      </w:numPr>
    </w:pPr>
    <w:rPr>
      <w:rFonts w:eastAsia="Times New Roman"/>
      <w:lang w:val="fr-FR" w:eastAsia="en-GB"/>
    </w:rPr>
  </w:style>
  <w:style w:type="paragraph" w:styleId="ListNumber3">
    <w:name w:val="List Number 3"/>
    <w:basedOn w:val="Normal"/>
    <w:rsid w:val="007C06DB"/>
    <w:pPr>
      <w:numPr>
        <w:numId w:val="14"/>
      </w:numPr>
    </w:pPr>
    <w:rPr>
      <w:rFonts w:eastAsia="Times New Roman"/>
      <w:lang w:val="fr-FR" w:eastAsia="en-GB"/>
    </w:rPr>
  </w:style>
  <w:style w:type="paragraph" w:styleId="ListNumber4">
    <w:name w:val="List Number 4"/>
    <w:basedOn w:val="Normal"/>
    <w:rsid w:val="007C06DB"/>
    <w:pPr>
      <w:numPr>
        <w:numId w:val="15"/>
      </w:numPr>
    </w:pPr>
    <w:rPr>
      <w:rFonts w:eastAsia="Times New Roman"/>
      <w:lang w:val="fr-FR" w:eastAsia="en-GB"/>
    </w:rPr>
  </w:style>
  <w:style w:type="paragraph" w:customStyle="1" w:styleId="ListDash3">
    <w:name w:val="List Dash 3"/>
    <w:basedOn w:val="Normal"/>
    <w:rsid w:val="007C06DB"/>
    <w:pPr>
      <w:numPr>
        <w:numId w:val="10"/>
      </w:numPr>
    </w:pPr>
    <w:rPr>
      <w:rFonts w:eastAsia="Times New Roman"/>
      <w:lang w:val="fr-FR" w:eastAsia="en-GB"/>
    </w:rPr>
  </w:style>
  <w:style w:type="paragraph" w:customStyle="1" w:styleId="ListDash4">
    <w:name w:val="List Dash 4"/>
    <w:basedOn w:val="Normal"/>
    <w:rsid w:val="007C06DB"/>
    <w:pPr>
      <w:numPr>
        <w:numId w:val="11"/>
      </w:numPr>
    </w:pPr>
    <w:rPr>
      <w:rFonts w:eastAsia="Times New Roman"/>
      <w:lang w:val="fr-FR" w:eastAsia="en-GB"/>
    </w:rPr>
  </w:style>
  <w:style w:type="paragraph" w:customStyle="1" w:styleId="ListNumber1">
    <w:name w:val="List Number 1"/>
    <w:basedOn w:val="Text1"/>
    <w:rsid w:val="007C06DB"/>
    <w:pPr>
      <w:numPr>
        <w:numId w:val="12"/>
      </w:numPr>
    </w:pPr>
    <w:rPr>
      <w:rFonts w:eastAsia="Times New Roman"/>
      <w:lang w:val="fr-FR" w:eastAsia="en-GB"/>
    </w:rPr>
  </w:style>
  <w:style w:type="paragraph" w:customStyle="1" w:styleId="ListNumber1Level2">
    <w:name w:val="List Number 1 (Level 2)"/>
    <w:basedOn w:val="Text1"/>
    <w:rsid w:val="007C06DB"/>
    <w:pPr>
      <w:numPr>
        <w:ilvl w:val="1"/>
        <w:numId w:val="12"/>
      </w:numPr>
    </w:pPr>
    <w:rPr>
      <w:rFonts w:eastAsia="Times New Roman"/>
      <w:lang w:val="fr-FR" w:eastAsia="en-GB"/>
    </w:rPr>
  </w:style>
  <w:style w:type="paragraph" w:customStyle="1" w:styleId="ListNumber2Level2">
    <w:name w:val="List Number 2 (Level 2)"/>
    <w:basedOn w:val="Text2"/>
    <w:rsid w:val="007C06DB"/>
    <w:pPr>
      <w:numPr>
        <w:ilvl w:val="1"/>
        <w:numId w:val="13"/>
      </w:numPr>
    </w:pPr>
    <w:rPr>
      <w:rFonts w:eastAsia="Times New Roman"/>
      <w:lang w:val="fr-FR" w:eastAsia="en-GB"/>
    </w:rPr>
  </w:style>
  <w:style w:type="paragraph" w:customStyle="1" w:styleId="ListNumber3Level2">
    <w:name w:val="List Number 3 (Level 2)"/>
    <w:basedOn w:val="Text3"/>
    <w:rsid w:val="007C06DB"/>
    <w:pPr>
      <w:numPr>
        <w:ilvl w:val="1"/>
        <w:numId w:val="14"/>
      </w:numPr>
    </w:pPr>
    <w:rPr>
      <w:rFonts w:eastAsia="Times New Roman"/>
      <w:lang w:val="fr-FR" w:eastAsia="en-GB"/>
    </w:rPr>
  </w:style>
  <w:style w:type="paragraph" w:customStyle="1" w:styleId="ListNumber4Level2">
    <w:name w:val="List Number 4 (Level 2)"/>
    <w:basedOn w:val="Text4"/>
    <w:rsid w:val="007C06DB"/>
    <w:pPr>
      <w:numPr>
        <w:ilvl w:val="1"/>
        <w:numId w:val="15"/>
      </w:numPr>
    </w:pPr>
    <w:rPr>
      <w:rFonts w:eastAsia="Times New Roman"/>
      <w:lang w:val="fr-FR" w:eastAsia="en-GB"/>
    </w:rPr>
  </w:style>
  <w:style w:type="paragraph" w:customStyle="1" w:styleId="ListNumber1Level3">
    <w:name w:val="List Number 1 (Level 3)"/>
    <w:basedOn w:val="Text1"/>
    <w:rsid w:val="007C06DB"/>
    <w:pPr>
      <w:numPr>
        <w:ilvl w:val="2"/>
        <w:numId w:val="12"/>
      </w:numPr>
    </w:pPr>
    <w:rPr>
      <w:rFonts w:eastAsia="Times New Roman"/>
      <w:lang w:val="fr-FR" w:eastAsia="en-GB"/>
    </w:rPr>
  </w:style>
  <w:style w:type="paragraph" w:customStyle="1" w:styleId="ListNumber2Level3">
    <w:name w:val="List Number 2 (Level 3)"/>
    <w:basedOn w:val="Text2"/>
    <w:rsid w:val="007C06DB"/>
    <w:pPr>
      <w:numPr>
        <w:ilvl w:val="2"/>
        <w:numId w:val="13"/>
      </w:numPr>
    </w:pPr>
    <w:rPr>
      <w:rFonts w:eastAsia="Times New Roman"/>
      <w:lang w:val="fr-FR" w:eastAsia="en-GB"/>
    </w:rPr>
  </w:style>
  <w:style w:type="paragraph" w:customStyle="1" w:styleId="ListNumber3Level3">
    <w:name w:val="List Number 3 (Level 3)"/>
    <w:basedOn w:val="Text3"/>
    <w:rsid w:val="007C06DB"/>
    <w:pPr>
      <w:numPr>
        <w:ilvl w:val="2"/>
        <w:numId w:val="14"/>
      </w:numPr>
    </w:pPr>
    <w:rPr>
      <w:rFonts w:eastAsia="Times New Roman"/>
      <w:lang w:val="fr-FR" w:eastAsia="en-GB"/>
    </w:rPr>
  </w:style>
  <w:style w:type="paragraph" w:customStyle="1" w:styleId="ListNumber4Level3">
    <w:name w:val="List Number 4 (Level 3)"/>
    <w:basedOn w:val="Text4"/>
    <w:rsid w:val="007C06DB"/>
    <w:pPr>
      <w:numPr>
        <w:ilvl w:val="2"/>
        <w:numId w:val="15"/>
      </w:numPr>
    </w:pPr>
    <w:rPr>
      <w:rFonts w:eastAsia="Times New Roman"/>
      <w:lang w:val="fr-FR" w:eastAsia="en-GB"/>
    </w:rPr>
  </w:style>
  <w:style w:type="paragraph" w:customStyle="1" w:styleId="ListNumber1Level4">
    <w:name w:val="List Number 1 (Level 4)"/>
    <w:basedOn w:val="Text1"/>
    <w:rsid w:val="007C06DB"/>
    <w:pPr>
      <w:numPr>
        <w:ilvl w:val="3"/>
        <w:numId w:val="12"/>
      </w:numPr>
    </w:pPr>
    <w:rPr>
      <w:rFonts w:eastAsia="Times New Roman"/>
      <w:lang w:val="fr-FR" w:eastAsia="en-GB"/>
    </w:rPr>
  </w:style>
  <w:style w:type="paragraph" w:customStyle="1" w:styleId="ListNumber2Level4">
    <w:name w:val="List Number 2 (Level 4)"/>
    <w:basedOn w:val="Text2"/>
    <w:rsid w:val="007C06DB"/>
    <w:pPr>
      <w:numPr>
        <w:ilvl w:val="3"/>
        <w:numId w:val="13"/>
      </w:numPr>
    </w:pPr>
    <w:rPr>
      <w:rFonts w:eastAsia="Times New Roman"/>
      <w:lang w:val="fr-FR" w:eastAsia="en-GB"/>
    </w:rPr>
  </w:style>
  <w:style w:type="paragraph" w:customStyle="1" w:styleId="ListNumber3Level4">
    <w:name w:val="List Number 3 (Level 4)"/>
    <w:basedOn w:val="Text3"/>
    <w:rsid w:val="007C06DB"/>
    <w:pPr>
      <w:numPr>
        <w:ilvl w:val="3"/>
        <w:numId w:val="14"/>
      </w:numPr>
    </w:pPr>
    <w:rPr>
      <w:rFonts w:eastAsia="Times New Roman"/>
      <w:lang w:val="fr-FR" w:eastAsia="en-GB"/>
    </w:rPr>
  </w:style>
  <w:style w:type="paragraph" w:customStyle="1" w:styleId="ListNumber4Level4">
    <w:name w:val="List Number 4 (Level 4)"/>
    <w:basedOn w:val="Text4"/>
    <w:rsid w:val="007C06DB"/>
    <w:pPr>
      <w:numPr>
        <w:ilvl w:val="3"/>
        <w:numId w:val="15"/>
      </w:numPr>
    </w:pPr>
    <w:rPr>
      <w:rFonts w:eastAsia="Times New Roman"/>
      <w:lang w:val="fr-FR" w:eastAsia="en-GB"/>
    </w:rPr>
  </w:style>
  <w:style w:type="paragraph" w:customStyle="1" w:styleId="Annexetitreacte">
    <w:name w:val="Annexe titre (acte)"/>
    <w:basedOn w:val="Normal"/>
    <w:next w:val="Normal"/>
    <w:rsid w:val="007C06DB"/>
    <w:pPr>
      <w:jc w:val="center"/>
    </w:pPr>
    <w:rPr>
      <w:rFonts w:eastAsia="Times New Roman"/>
      <w:b/>
      <w:u w:val="single"/>
      <w:lang w:val="fr-FR" w:eastAsia="en-GB"/>
    </w:rPr>
  </w:style>
  <w:style w:type="paragraph" w:customStyle="1" w:styleId="Annexetitreexposglobal">
    <w:name w:val="Annexe titre (exposé global)"/>
    <w:basedOn w:val="Normal"/>
    <w:next w:val="Normal"/>
    <w:rsid w:val="007C06DB"/>
    <w:pPr>
      <w:jc w:val="center"/>
    </w:pPr>
    <w:rPr>
      <w:rFonts w:eastAsia="Times New Roman"/>
      <w:b/>
      <w:u w:val="single"/>
      <w:lang w:val="fr-FR" w:eastAsia="en-GB"/>
    </w:rPr>
  </w:style>
  <w:style w:type="paragraph" w:customStyle="1" w:styleId="Annexetitrefichefinacte">
    <w:name w:val="Annexe titre (fiche fin. acte)"/>
    <w:basedOn w:val="Normal"/>
    <w:next w:val="Normal"/>
    <w:rsid w:val="007C06DB"/>
    <w:pPr>
      <w:jc w:val="center"/>
    </w:pPr>
    <w:rPr>
      <w:rFonts w:eastAsia="Times New Roman"/>
      <w:b/>
      <w:u w:val="single"/>
      <w:lang w:val="fr-FR" w:eastAsia="en-GB"/>
    </w:rPr>
  </w:style>
  <w:style w:type="paragraph" w:customStyle="1" w:styleId="Annexetitrefichefinglobale">
    <w:name w:val="Annexe titre (fiche fin. globale)"/>
    <w:basedOn w:val="Normal"/>
    <w:next w:val="Normal"/>
    <w:rsid w:val="007C06DB"/>
    <w:pPr>
      <w:jc w:val="center"/>
    </w:pPr>
    <w:rPr>
      <w:rFonts w:eastAsia="Times New Roman"/>
      <w:b/>
      <w:u w:val="single"/>
      <w:lang w:val="fr-FR" w:eastAsia="en-GB"/>
    </w:rPr>
  </w:style>
  <w:style w:type="paragraph" w:customStyle="1" w:styleId="Annexetitreglobale">
    <w:name w:val="Annexe titre (globale)"/>
    <w:basedOn w:val="Normal"/>
    <w:next w:val="Normal"/>
    <w:rsid w:val="007C06DB"/>
    <w:pPr>
      <w:jc w:val="center"/>
    </w:pPr>
    <w:rPr>
      <w:rFonts w:eastAsia="Times New Roman"/>
      <w:b/>
      <w:u w:val="single"/>
      <w:lang w:val="fr-FR" w:eastAsia="en-GB"/>
    </w:rPr>
  </w:style>
  <w:style w:type="paragraph" w:customStyle="1" w:styleId="Exposdesmotifstitreglobal">
    <w:name w:val="Exposé des motifs titre (global)"/>
    <w:basedOn w:val="Normal"/>
    <w:next w:val="Normal"/>
    <w:rsid w:val="007C06DB"/>
    <w:pPr>
      <w:jc w:val="center"/>
    </w:pPr>
    <w:rPr>
      <w:rFonts w:eastAsia="Times New Roman"/>
      <w:b/>
      <w:u w:val="single"/>
      <w:lang w:val="fr-FR" w:eastAsia="en-GB"/>
    </w:rPr>
  </w:style>
  <w:style w:type="paragraph" w:customStyle="1" w:styleId="Langueoriginale">
    <w:name w:val="Langue originale"/>
    <w:basedOn w:val="Normal"/>
    <w:rsid w:val="007C06DB"/>
    <w:pPr>
      <w:spacing w:before="360"/>
      <w:jc w:val="center"/>
    </w:pPr>
    <w:rPr>
      <w:rFonts w:eastAsia="Times New Roman"/>
      <w:caps/>
      <w:lang w:val="fr-FR" w:eastAsia="en-GB"/>
    </w:rPr>
  </w:style>
  <w:style w:type="paragraph" w:customStyle="1" w:styleId="Phrasefinale">
    <w:name w:val="Phrase finale"/>
    <w:basedOn w:val="Normal"/>
    <w:next w:val="Normal"/>
    <w:rsid w:val="007C06DB"/>
    <w:pPr>
      <w:spacing w:before="360" w:after="0"/>
      <w:jc w:val="center"/>
    </w:pPr>
    <w:rPr>
      <w:rFonts w:eastAsia="Times New Roman"/>
      <w:lang w:val="fr-FR" w:eastAsia="en-GB"/>
    </w:rPr>
  </w:style>
  <w:style w:type="paragraph" w:customStyle="1" w:styleId="Prliminairetitre">
    <w:name w:val="Préliminaire titre"/>
    <w:basedOn w:val="Normal"/>
    <w:next w:val="Normal"/>
    <w:rsid w:val="007C06DB"/>
    <w:pPr>
      <w:spacing w:before="360" w:after="360"/>
      <w:jc w:val="center"/>
    </w:pPr>
    <w:rPr>
      <w:rFonts w:eastAsia="Times New Roman"/>
      <w:b/>
      <w:lang w:val="fr-FR" w:eastAsia="en-GB"/>
    </w:rPr>
  </w:style>
  <w:style w:type="paragraph" w:customStyle="1" w:styleId="Prliminairetype">
    <w:name w:val="Préliminaire type"/>
    <w:basedOn w:val="Normal"/>
    <w:next w:val="Normal"/>
    <w:rsid w:val="007C06DB"/>
    <w:pPr>
      <w:spacing w:before="360" w:after="0"/>
      <w:jc w:val="center"/>
    </w:pPr>
    <w:rPr>
      <w:rFonts w:eastAsia="Times New Roman"/>
      <w:b/>
      <w:lang w:val="fr-FR" w:eastAsia="en-GB"/>
    </w:rPr>
  </w:style>
  <w:style w:type="paragraph" w:customStyle="1" w:styleId="Rfrenceinstitutionelle">
    <w:name w:val="Référence institutionelle"/>
    <w:basedOn w:val="Normal"/>
    <w:next w:val="Statut"/>
    <w:rsid w:val="007C06DB"/>
    <w:pPr>
      <w:spacing w:before="0" w:after="240"/>
      <w:ind w:left="5103"/>
      <w:jc w:val="left"/>
    </w:pPr>
    <w:rPr>
      <w:rFonts w:eastAsia="Times New Roman"/>
      <w:lang w:val="fr-FR" w:eastAsia="en-GB"/>
    </w:rPr>
  </w:style>
  <w:style w:type="paragraph" w:customStyle="1" w:styleId="Rfrenceinterinstitutionelle">
    <w:name w:val="Référence interinstitutionelle"/>
    <w:basedOn w:val="Normal"/>
    <w:next w:val="Statut"/>
    <w:rsid w:val="007C06DB"/>
    <w:pPr>
      <w:spacing w:before="0" w:after="0"/>
      <w:ind w:left="5103"/>
      <w:jc w:val="left"/>
    </w:pPr>
    <w:rPr>
      <w:rFonts w:eastAsia="Times New Roman"/>
      <w:lang w:val="fr-FR" w:eastAsia="en-GB"/>
    </w:rPr>
  </w:style>
  <w:style w:type="paragraph" w:customStyle="1" w:styleId="Rfrenceinterinstitutionelleprliminaire">
    <w:name w:val="Référence interinstitutionelle (préliminaire)"/>
    <w:basedOn w:val="Normal"/>
    <w:next w:val="Normal"/>
    <w:rsid w:val="007C06DB"/>
    <w:pPr>
      <w:spacing w:before="0" w:after="0"/>
      <w:ind w:left="5103"/>
      <w:jc w:val="left"/>
    </w:pPr>
    <w:rPr>
      <w:rFonts w:eastAsia="Times New Roman"/>
      <w:lang w:val="fr-FR" w:eastAsia="en-GB"/>
    </w:rPr>
  </w:style>
  <w:style w:type="paragraph" w:customStyle="1" w:styleId="Sous-titreobjetprliminaire">
    <w:name w:val="Sous-titre objet (préliminaire)"/>
    <w:basedOn w:val="Normal"/>
    <w:rsid w:val="007C06DB"/>
    <w:pPr>
      <w:spacing w:before="0" w:after="0"/>
      <w:jc w:val="center"/>
    </w:pPr>
    <w:rPr>
      <w:rFonts w:eastAsia="Times New Roman"/>
      <w:b/>
      <w:lang w:val="fr-FR" w:eastAsia="en-GB"/>
    </w:rPr>
  </w:style>
  <w:style w:type="paragraph" w:customStyle="1" w:styleId="Statutprliminaire">
    <w:name w:val="Statut (préliminaire)"/>
    <w:basedOn w:val="Normal"/>
    <w:next w:val="Normal"/>
    <w:rsid w:val="007C06DB"/>
    <w:pPr>
      <w:spacing w:before="360" w:after="0"/>
      <w:jc w:val="center"/>
    </w:pPr>
    <w:rPr>
      <w:rFonts w:eastAsia="Times New Roman"/>
      <w:lang w:val="fr-FR" w:eastAsia="en-GB"/>
    </w:rPr>
  </w:style>
  <w:style w:type="paragraph" w:customStyle="1" w:styleId="Titreobjetprliminaire">
    <w:name w:val="Titre objet (préliminaire)"/>
    <w:basedOn w:val="Normal"/>
    <w:next w:val="Normal"/>
    <w:rsid w:val="007C06DB"/>
    <w:pPr>
      <w:spacing w:before="360" w:after="360"/>
      <w:jc w:val="center"/>
    </w:pPr>
    <w:rPr>
      <w:rFonts w:eastAsia="Times New Roman"/>
      <w:b/>
      <w:lang w:val="fr-FR" w:eastAsia="en-GB"/>
    </w:rPr>
  </w:style>
  <w:style w:type="paragraph" w:customStyle="1" w:styleId="Typedudocumentprliminaire">
    <w:name w:val="Type du document (préliminaire)"/>
    <w:basedOn w:val="Normal"/>
    <w:next w:val="Normal"/>
    <w:rsid w:val="007C06DB"/>
    <w:pPr>
      <w:spacing w:before="360" w:after="0"/>
      <w:jc w:val="center"/>
    </w:pPr>
    <w:rPr>
      <w:rFonts w:eastAsia="Times New Roman"/>
      <w:b/>
      <w:lang w:val="fr-FR" w:eastAsia="en-GB"/>
    </w:rPr>
  </w:style>
  <w:style w:type="paragraph" w:customStyle="1" w:styleId="Fichefinancirestandardtitre">
    <w:name w:val="Fiche financière (standard) titre"/>
    <w:basedOn w:val="Normal"/>
    <w:next w:val="Normal"/>
    <w:rsid w:val="007C06DB"/>
    <w:pPr>
      <w:jc w:val="center"/>
    </w:pPr>
    <w:rPr>
      <w:rFonts w:eastAsia="Times New Roman"/>
      <w:b/>
      <w:u w:val="single"/>
      <w:lang w:val="fr-FR" w:eastAsia="en-GB"/>
    </w:rPr>
  </w:style>
  <w:style w:type="paragraph" w:customStyle="1" w:styleId="Fichefinancirestandardtitreacte">
    <w:name w:val="Fiche financière (standard) titre (acte)"/>
    <w:basedOn w:val="Normal"/>
    <w:next w:val="Normal"/>
    <w:rsid w:val="007C06DB"/>
    <w:pPr>
      <w:jc w:val="center"/>
    </w:pPr>
    <w:rPr>
      <w:rFonts w:eastAsia="Times New Roman"/>
      <w:b/>
      <w:u w:val="single"/>
      <w:lang w:val="fr-FR" w:eastAsia="en-GB"/>
    </w:rPr>
  </w:style>
  <w:style w:type="paragraph" w:customStyle="1" w:styleId="Fichefinanciretravailtitre">
    <w:name w:val="Fiche financière (travail) titre"/>
    <w:basedOn w:val="Normal"/>
    <w:next w:val="Normal"/>
    <w:rsid w:val="007C06DB"/>
    <w:pPr>
      <w:jc w:val="center"/>
    </w:pPr>
    <w:rPr>
      <w:rFonts w:eastAsia="Times New Roman"/>
      <w:b/>
      <w:u w:val="single"/>
      <w:lang w:val="fr-FR" w:eastAsia="en-GB"/>
    </w:rPr>
  </w:style>
  <w:style w:type="paragraph" w:customStyle="1" w:styleId="Fichefinanciretravailtitreacte">
    <w:name w:val="Fiche financière (travail) titre (acte)"/>
    <w:basedOn w:val="Normal"/>
    <w:next w:val="Normal"/>
    <w:rsid w:val="007C06DB"/>
    <w:pPr>
      <w:jc w:val="center"/>
    </w:pPr>
    <w:rPr>
      <w:rFonts w:eastAsia="Times New Roman"/>
      <w:b/>
      <w:u w:val="single"/>
      <w:lang w:val="fr-FR" w:eastAsia="en-GB"/>
    </w:rPr>
  </w:style>
  <w:style w:type="paragraph" w:customStyle="1" w:styleId="Fichefinancireattributiontitre">
    <w:name w:val="Fiche financière (attribution) titre"/>
    <w:basedOn w:val="Normal"/>
    <w:next w:val="Normal"/>
    <w:rsid w:val="007C06DB"/>
    <w:pPr>
      <w:jc w:val="center"/>
    </w:pPr>
    <w:rPr>
      <w:rFonts w:eastAsia="Times New Roman"/>
      <w:b/>
      <w:u w:val="single"/>
      <w:lang w:val="fr-FR" w:eastAsia="en-GB"/>
    </w:rPr>
  </w:style>
  <w:style w:type="paragraph" w:customStyle="1" w:styleId="Fichefinancireattributiontitreacte">
    <w:name w:val="Fiche financière (attribution) titre (acte)"/>
    <w:basedOn w:val="Normal"/>
    <w:next w:val="Normal"/>
    <w:rsid w:val="007C06DB"/>
    <w:pPr>
      <w:jc w:val="center"/>
    </w:pPr>
    <w:rPr>
      <w:rFonts w:eastAsia="Times New Roman"/>
      <w:b/>
      <w:u w:val="single"/>
      <w:lang w:val="fr-FR" w:eastAsia="en-GB"/>
    </w:rPr>
  </w:style>
  <w:style w:type="character" w:styleId="CommentReference">
    <w:name w:val="annotation reference"/>
    <w:rsid w:val="00DF6611"/>
    <w:rPr>
      <w:rFonts w:cs="Times New Roman"/>
      <w:sz w:val="16"/>
      <w:szCs w:val="16"/>
    </w:rPr>
  </w:style>
  <w:style w:type="paragraph" w:styleId="CommentText">
    <w:name w:val="annotation text"/>
    <w:basedOn w:val="Normal"/>
    <w:link w:val="CommentTextChar"/>
    <w:uiPriority w:val="99"/>
    <w:rsid w:val="00DF6611"/>
    <w:rPr>
      <w:rFonts w:eastAsia="Times New Roman"/>
      <w:sz w:val="20"/>
      <w:szCs w:val="20"/>
      <w:lang w:val="fr-FR" w:eastAsia="en-GB"/>
    </w:rPr>
  </w:style>
  <w:style w:type="character" w:customStyle="1" w:styleId="CommentTextChar">
    <w:name w:val="Comment Text Char"/>
    <w:basedOn w:val="DefaultParagraphFont"/>
    <w:link w:val="CommentText"/>
    <w:uiPriority w:val="99"/>
    <w:rsid w:val="007C06DB"/>
    <w:rPr>
      <w:rFonts w:ascii="Times New Roman" w:eastAsia="Times New Roman" w:hAnsi="Times New Roman" w:cs="Times New Roman"/>
      <w:sz w:val="20"/>
      <w:szCs w:val="20"/>
      <w:lang w:val="fr-FR" w:eastAsia="en-GB"/>
    </w:rPr>
  </w:style>
  <w:style w:type="paragraph" w:styleId="CommentSubject">
    <w:name w:val="annotation subject"/>
    <w:basedOn w:val="CommentText"/>
    <w:next w:val="CommentText"/>
    <w:link w:val="CommentSubjectChar"/>
    <w:uiPriority w:val="99"/>
    <w:rsid w:val="00DF6611"/>
    <w:rPr>
      <w:b/>
      <w:bCs/>
    </w:rPr>
  </w:style>
  <w:style w:type="character" w:customStyle="1" w:styleId="CommentSubjectChar">
    <w:name w:val="Comment Subject Char"/>
    <w:basedOn w:val="CommentTextChar"/>
    <w:link w:val="CommentSubject"/>
    <w:uiPriority w:val="99"/>
    <w:rsid w:val="007C06DB"/>
    <w:rPr>
      <w:rFonts w:ascii="Times New Roman" w:eastAsia="Times New Roman" w:hAnsi="Times New Roman" w:cs="Times New Roman"/>
      <w:b/>
      <w:bCs/>
      <w:sz w:val="20"/>
      <w:szCs w:val="20"/>
      <w:lang w:val="fr-FR" w:eastAsia="en-GB"/>
    </w:rPr>
  </w:style>
  <w:style w:type="paragraph" w:styleId="BalloonText">
    <w:name w:val="Balloon Text"/>
    <w:basedOn w:val="Normal"/>
    <w:link w:val="BalloonTextChar"/>
    <w:rsid w:val="007C06DB"/>
    <w:rPr>
      <w:rFonts w:ascii="Tahoma" w:eastAsia="Times New Roman" w:hAnsi="Tahoma" w:cs="Tahoma"/>
      <w:sz w:val="16"/>
      <w:szCs w:val="16"/>
      <w:lang w:val="fr-FR" w:eastAsia="en-GB"/>
    </w:rPr>
  </w:style>
  <w:style w:type="character" w:customStyle="1" w:styleId="BalloonTextChar">
    <w:name w:val="Balloon Text Char"/>
    <w:basedOn w:val="DefaultParagraphFont"/>
    <w:link w:val="BalloonText"/>
    <w:rsid w:val="007C06DB"/>
    <w:rPr>
      <w:rFonts w:ascii="Tahoma" w:eastAsia="Times New Roman" w:hAnsi="Tahoma" w:cs="Tahoma"/>
      <w:sz w:val="16"/>
      <w:szCs w:val="16"/>
      <w:lang w:val="fr-FR" w:eastAsia="en-GB"/>
    </w:rPr>
  </w:style>
  <w:style w:type="paragraph" w:styleId="Caption">
    <w:name w:val="caption"/>
    <w:basedOn w:val="Normal"/>
    <w:next w:val="Normal"/>
    <w:qFormat/>
    <w:rsid w:val="007C06DB"/>
    <w:rPr>
      <w:rFonts w:eastAsia="Times New Roman"/>
      <w:b/>
      <w:bCs/>
      <w:sz w:val="20"/>
      <w:szCs w:val="20"/>
      <w:lang w:val="fr-FR" w:eastAsia="en-GB"/>
    </w:rPr>
  </w:style>
  <w:style w:type="paragraph" w:styleId="TableofFigures">
    <w:name w:val="table of figures"/>
    <w:basedOn w:val="Normal"/>
    <w:next w:val="Normal"/>
    <w:rsid w:val="007C06DB"/>
    <w:rPr>
      <w:rFonts w:eastAsia="Times New Roman"/>
      <w:lang w:val="fr-FR" w:eastAsia="en-GB"/>
    </w:rPr>
  </w:style>
  <w:style w:type="character" w:styleId="PageNumber">
    <w:name w:val="page number"/>
    <w:rsid w:val="007C06DB"/>
  </w:style>
  <w:style w:type="character" w:customStyle="1" w:styleId="tw4winMark">
    <w:name w:val="tw4winMark"/>
    <w:rsid w:val="007C06DB"/>
    <w:rPr>
      <w:vanish/>
      <w:color w:val="800080"/>
      <w:vertAlign w:val="subscript"/>
    </w:rPr>
  </w:style>
  <w:style w:type="character" w:styleId="FollowedHyperlink">
    <w:name w:val="FollowedHyperlink"/>
    <w:uiPriority w:val="99"/>
    <w:rsid w:val="00DF6611"/>
    <w:rPr>
      <w:color w:val="800080"/>
      <w:u w:val="single"/>
    </w:rPr>
  </w:style>
  <w:style w:type="paragraph" w:customStyle="1" w:styleId="Sous-titreobjet">
    <w:name w:val="Sous-titre objet"/>
    <w:basedOn w:val="Normal"/>
    <w:rsid w:val="007C06DB"/>
    <w:pPr>
      <w:spacing w:before="0" w:after="0"/>
      <w:jc w:val="center"/>
    </w:pPr>
    <w:rPr>
      <w:rFonts w:eastAsia="Times New Roman"/>
      <w:b/>
      <w:lang w:eastAsia="en-GB"/>
    </w:rPr>
  </w:style>
  <w:style w:type="paragraph" w:customStyle="1" w:styleId="Sous-titreobjetPagedecouverture">
    <w:name w:val="Sous-titre objet (Page de couverture)"/>
    <w:basedOn w:val="Sous-titreobjet"/>
    <w:rsid w:val="007C06DB"/>
  </w:style>
  <w:style w:type="paragraph" w:styleId="Revision">
    <w:name w:val="Revision"/>
    <w:hidden/>
    <w:uiPriority w:val="99"/>
    <w:semiHidden/>
    <w:rsid w:val="00DF6611"/>
    <w:rPr>
      <w:rFonts w:ascii="Calibri" w:eastAsia="Calibri" w:hAnsi="Calibri" w:cs="Times New Roman"/>
      <w:sz w:val="24"/>
      <w:lang w:val="en-GB" w:eastAsia="en-GB"/>
    </w:rPr>
  </w:style>
  <w:style w:type="paragraph" w:customStyle="1" w:styleId="FooterCoverPage">
    <w:name w:val="Footer Cover Page"/>
    <w:basedOn w:val="Normal"/>
    <w:link w:val="FooterCoverPageChar"/>
    <w:rsid w:val="007C06DB"/>
    <w:pPr>
      <w:tabs>
        <w:tab w:val="center" w:pos="4535"/>
        <w:tab w:val="right" w:pos="9071"/>
        <w:tab w:val="right" w:pos="9921"/>
      </w:tabs>
      <w:spacing w:before="360" w:after="0"/>
      <w:ind w:left="-850" w:right="-850"/>
      <w:jc w:val="left"/>
    </w:pPr>
    <w:rPr>
      <w:rFonts w:eastAsia="Calibri"/>
      <w:lang w:eastAsia="en-GB"/>
    </w:rPr>
  </w:style>
  <w:style w:type="character" w:customStyle="1" w:styleId="TOCHeadingChar">
    <w:name w:val="TOC Heading Char"/>
    <w:uiPriority w:val="39"/>
    <w:rsid w:val="007C06DB"/>
    <w:rPr>
      <w:rFonts w:ascii="Times New Roman" w:hAnsi="Times New Roman" w:cs="Times New Roman"/>
      <w:b/>
      <w:sz w:val="28"/>
      <w:lang w:val="en-GB"/>
    </w:rPr>
  </w:style>
  <w:style w:type="character" w:customStyle="1" w:styleId="FooterCoverPageChar">
    <w:name w:val="Footer Cover Page Char"/>
    <w:link w:val="FooterCoverPage"/>
    <w:rsid w:val="007C06DB"/>
    <w:rPr>
      <w:rFonts w:ascii="Times New Roman" w:eastAsia="Calibri" w:hAnsi="Times New Roman" w:cs="Times New Roman"/>
      <w:sz w:val="24"/>
      <w:lang w:val="en-GB" w:eastAsia="en-GB"/>
    </w:rPr>
  </w:style>
  <w:style w:type="paragraph" w:customStyle="1" w:styleId="HeaderCoverPage">
    <w:name w:val="Header Cover Page"/>
    <w:basedOn w:val="Normal"/>
    <w:link w:val="HeaderCoverPageChar"/>
    <w:rsid w:val="007C06DB"/>
    <w:pPr>
      <w:tabs>
        <w:tab w:val="center" w:pos="4535"/>
        <w:tab w:val="right" w:pos="9071"/>
      </w:tabs>
      <w:spacing w:before="0"/>
    </w:pPr>
    <w:rPr>
      <w:rFonts w:eastAsia="Calibri"/>
      <w:lang w:eastAsia="en-GB"/>
    </w:rPr>
  </w:style>
  <w:style w:type="character" w:customStyle="1" w:styleId="HeaderCoverPageChar">
    <w:name w:val="Header Cover Page Char"/>
    <w:link w:val="HeaderCoverPage"/>
    <w:rsid w:val="007C06DB"/>
    <w:rPr>
      <w:rFonts w:ascii="Times New Roman" w:eastAsia="Calibri" w:hAnsi="Times New Roman" w:cs="Times New Roman"/>
      <w:sz w:val="24"/>
      <w:lang w:val="en-GB" w:eastAsia="en-GB"/>
    </w:rPr>
  </w:style>
  <w:style w:type="character" w:customStyle="1" w:styleId="FooterSensitivityChar">
    <w:name w:val="Footer Sensitivity Char"/>
    <w:rsid w:val="007C06DB"/>
    <w:rPr>
      <w:rFonts w:ascii="Times New Roman" w:hAnsi="Times New Roman" w:cs="Times New Roman"/>
      <w:b/>
      <w:sz w:val="32"/>
      <w:lang w:val="en-GB"/>
    </w:rPr>
  </w:style>
  <w:style w:type="character" w:customStyle="1" w:styleId="HeaderSensitivityChar">
    <w:name w:val="Header Sensitivity Char"/>
    <w:rsid w:val="007C06DB"/>
    <w:rPr>
      <w:rFonts w:ascii="Times New Roman" w:hAnsi="Times New Roman" w:cs="Times New Roman"/>
      <w:b/>
      <w:sz w:val="32"/>
      <w:lang w:val="en-GB"/>
    </w:rPr>
  </w:style>
  <w:style w:type="character" w:customStyle="1" w:styleId="HeaderSensitivityRightChar">
    <w:name w:val="Header Sensitivity Right Char"/>
    <w:rsid w:val="007C06DB"/>
    <w:rPr>
      <w:rFonts w:ascii="Times New Roman" w:hAnsi="Times New Roman" w:cs="Times New Roman"/>
      <w:sz w:val="28"/>
      <w:lang w:val="en-GB"/>
    </w:rPr>
  </w:style>
  <w:style w:type="paragraph" w:customStyle="1" w:styleId="paragraph">
    <w:name w:val="paragraph"/>
    <w:basedOn w:val="Normal"/>
    <w:link w:val="paragraphChar"/>
    <w:rsid w:val="007C06DB"/>
    <w:pPr>
      <w:spacing w:before="100" w:beforeAutospacing="1" w:after="100" w:afterAutospacing="1"/>
      <w:jc w:val="left"/>
    </w:pPr>
    <w:rPr>
      <w:rFonts w:eastAsia="Times New Roman"/>
      <w:szCs w:val="24"/>
      <w:lang w:val="en-IE" w:eastAsia="en-IE"/>
      <w14:ligatures w14:val="standardContextual"/>
    </w:rPr>
  </w:style>
  <w:style w:type="character" w:customStyle="1" w:styleId="normaltextrun">
    <w:name w:val="normaltextrun"/>
    <w:basedOn w:val="DefaultParagraphFont"/>
    <w:rsid w:val="007C06DB"/>
  </w:style>
  <w:style w:type="character" w:customStyle="1" w:styleId="findhit">
    <w:name w:val="findhit"/>
    <w:basedOn w:val="DefaultParagraphFont"/>
    <w:rsid w:val="007C06DB"/>
  </w:style>
  <w:style w:type="character" w:customStyle="1" w:styleId="eop">
    <w:name w:val="eop"/>
    <w:basedOn w:val="DefaultParagraphFont"/>
    <w:rsid w:val="007C06DB"/>
  </w:style>
  <w:style w:type="paragraph" w:styleId="ListParagraph">
    <w:name w:val="List Paragraph"/>
    <w:basedOn w:val="Normal"/>
    <w:uiPriority w:val="1"/>
    <w:qFormat/>
    <w:rsid w:val="00DF6611"/>
    <w:pPr>
      <w:spacing w:before="0" w:after="160" w:line="259" w:lineRule="auto"/>
      <w:ind w:left="720"/>
      <w:contextualSpacing/>
      <w:jc w:val="left"/>
    </w:pPr>
    <w:rPr>
      <w:rFonts w:asciiTheme="minorHAnsi" w:hAnsiTheme="minorHAnsi" w:cstheme="minorBidi"/>
      <w:kern w:val="2"/>
      <w:sz w:val="22"/>
      <w:lang w:val="en-IE"/>
      <w14:ligatures w14:val="standardContextual"/>
    </w:rPr>
  </w:style>
  <w:style w:type="character" w:customStyle="1" w:styleId="paragraphChar">
    <w:name w:val="paragraph Char"/>
    <w:basedOn w:val="DefaultParagraphFont"/>
    <w:link w:val="paragraph"/>
    <w:rsid w:val="007C06DB"/>
    <w:rPr>
      <w:rFonts w:ascii="Times New Roman" w:eastAsia="Times New Roman" w:hAnsi="Times New Roman" w:cs="Times New Roman"/>
      <w:sz w:val="24"/>
      <w:szCs w:val="24"/>
      <w:lang w:val="en-IE" w:eastAsia="en-IE"/>
      <w14:ligatures w14:val="standardContextual"/>
    </w:rPr>
  </w:style>
  <w:style w:type="paragraph" w:customStyle="1" w:styleId="li">
    <w:name w:val="li"/>
    <w:basedOn w:val="Normal"/>
    <w:rsid w:val="00DF6611"/>
    <w:pPr>
      <w:spacing w:before="100" w:beforeAutospacing="1" w:after="100" w:afterAutospacing="1"/>
      <w:jc w:val="left"/>
    </w:pPr>
    <w:rPr>
      <w:rFonts w:eastAsia="Times New Roman"/>
      <w:szCs w:val="24"/>
      <w:lang w:val="en-IE" w:eastAsia="en-IE"/>
      <w14:ligatures w14:val="standardContextual"/>
    </w:rPr>
  </w:style>
  <w:style w:type="paragraph" w:customStyle="1" w:styleId="oj-normal">
    <w:name w:val="oj-normal"/>
    <w:basedOn w:val="Normal"/>
    <w:rsid w:val="00CB5EDF"/>
    <w:pPr>
      <w:spacing w:before="100" w:beforeAutospacing="1" w:after="100" w:afterAutospacing="1"/>
      <w:jc w:val="left"/>
    </w:pPr>
    <w:rPr>
      <w:rFonts w:eastAsia="Times New Roman"/>
      <w:szCs w:val="24"/>
      <w:lang w:val="en-IE" w:eastAsia="en-IE"/>
    </w:rPr>
  </w:style>
  <w:style w:type="character" w:customStyle="1" w:styleId="UnresolvedMention">
    <w:name w:val="Unresolved Mention"/>
    <w:basedOn w:val="DefaultParagraphFont"/>
    <w:uiPriority w:val="99"/>
    <w:semiHidden/>
    <w:unhideWhenUsed/>
    <w:rsid w:val="00CB5EDF"/>
    <w:rPr>
      <w:color w:val="605E5C"/>
      <w:shd w:val="clear" w:color="auto" w:fill="E1DFDD"/>
    </w:rPr>
  </w:style>
  <w:style w:type="paragraph" w:customStyle="1" w:styleId="msonormal0">
    <w:name w:val="msonormal"/>
    <w:basedOn w:val="Normal"/>
    <w:rsid w:val="00CB5EDF"/>
    <w:pPr>
      <w:spacing w:before="100" w:beforeAutospacing="1" w:after="100" w:afterAutospacing="1"/>
      <w:jc w:val="left"/>
    </w:pPr>
    <w:rPr>
      <w:rFonts w:eastAsia="Times New Roman"/>
      <w:szCs w:val="24"/>
      <w:lang w:val="en-IE" w:eastAsia="en-IE"/>
    </w:rPr>
  </w:style>
  <w:style w:type="paragraph" w:styleId="Title">
    <w:name w:val="Title"/>
    <w:basedOn w:val="Normal"/>
    <w:link w:val="TitleChar"/>
    <w:uiPriority w:val="10"/>
    <w:qFormat/>
    <w:rsid w:val="00CB5EDF"/>
    <w:pPr>
      <w:widowControl w:val="0"/>
      <w:autoSpaceDE w:val="0"/>
      <w:autoSpaceDN w:val="0"/>
      <w:spacing w:before="0" w:after="0"/>
      <w:ind w:left="315" w:right="332"/>
      <w:jc w:val="center"/>
    </w:pPr>
    <w:rPr>
      <w:rFonts w:ascii="Cambria" w:eastAsia="Cambria" w:hAnsi="Cambria" w:cs="Cambria"/>
      <w:sz w:val="34"/>
      <w:szCs w:val="34"/>
      <w:lang w:val="en-US"/>
    </w:rPr>
  </w:style>
  <w:style w:type="character" w:customStyle="1" w:styleId="TitleChar">
    <w:name w:val="Title Char"/>
    <w:basedOn w:val="DefaultParagraphFont"/>
    <w:link w:val="Title"/>
    <w:uiPriority w:val="10"/>
    <w:rsid w:val="00CB5EDF"/>
    <w:rPr>
      <w:rFonts w:ascii="Cambria" w:eastAsia="Cambria" w:hAnsi="Cambria" w:cs="Cambria"/>
      <w:sz w:val="34"/>
      <w:szCs w:val="34"/>
    </w:rPr>
  </w:style>
  <w:style w:type="paragraph" w:styleId="BodyText">
    <w:name w:val="Body Text"/>
    <w:basedOn w:val="Normal"/>
    <w:link w:val="BodyTextChar"/>
    <w:uiPriority w:val="1"/>
    <w:semiHidden/>
    <w:unhideWhenUsed/>
    <w:qFormat/>
    <w:rsid w:val="00CB5EDF"/>
    <w:pPr>
      <w:widowControl w:val="0"/>
      <w:autoSpaceDE w:val="0"/>
      <w:autoSpaceDN w:val="0"/>
      <w:spacing w:before="0" w:after="0"/>
      <w:jc w:val="left"/>
    </w:pPr>
    <w:rPr>
      <w:rFonts w:ascii="Cambria" w:eastAsia="Cambria" w:hAnsi="Cambria" w:cs="Cambria"/>
      <w:sz w:val="19"/>
      <w:szCs w:val="19"/>
      <w:lang w:val="en-US"/>
    </w:rPr>
  </w:style>
  <w:style w:type="character" w:customStyle="1" w:styleId="BodyTextChar">
    <w:name w:val="Body Text Char"/>
    <w:basedOn w:val="DefaultParagraphFont"/>
    <w:link w:val="BodyText"/>
    <w:uiPriority w:val="1"/>
    <w:semiHidden/>
    <w:rsid w:val="00CB5EDF"/>
    <w:rPr>
      <w:rFonts w:ascii="Cambria" w:eastAsia="Cambria" w:hAnsi="Cambria" w:cs="Cambria"/>
      <w:sz w:val="19"/>
      <w:szCs w:val="19"/>
    </w:rPr>
  </w:style>
  <w:style w:type="paragraph" w:customStyle="1" w:styleId="TableParagraph">
    <w:name w:val="Table Paragraph"/>
    <w:basedOn w:val="Normal"/>
    <w:uiPriority w:val="1"/>
    <w:qFormat/>
    <w:rsid w:val="00CB5EDF"/>
    <w:pPr>
      <w:widowControl w:val="0"/>
      <w:autoSpaceDE w:val="0"/>
      <w:autoSpaceDN w:val="0"/>
      <w:spacing w:before="0" w:after="0"/>
      <w:jc w:val="left"/>
    </w:pPr>
    <w:rPr>
      <w:rFonts w:ascii="Cambria" w:eastAsia="Cambria" w:hAnsi="Cambria" w:cs="Cambria"/>
      <w:sz w:val="22"/>
      <w:lang w:val="en-US"/>
    </w:rPr>
  </w:style>
  <w:style w:type="character" w:customStyle="1" w:styleId="num">
    <w:name w:val="num"/>
    <w:basedOn w:val="DefaultParagraphFont"/>
    <w:rsid w:val="00CB5EDF"/>
  </w:style>
  <w:style w:type="paragraph" w:customStyle="1" w:styleId="NumPar10">
    <w:name w:val="Num Par 1"/>
    <w:basedOn w:val="Text1"/>
    <w:rsid w:val="00CB5EDF"/>
    <w:rPr>
      <w:lang w:val="fr-BE"/>
    </w:rPr>
  </w:style>
  <w:style w:type="paragraph" w:customStyle="1" w:styleId="Normal1">
    <w:name w:val="Normal1"/>
    <w:basedOn w:val="Normal"/>
    <w:rsid w:val="00CB5EDF"/>
    <w:pPr>
      <w:spacing w:before="100" w:beforeAutospacing="1" w:after="100" w:afterAutospacing="1"/>
      <w:jc w:val="left"/>
    </w:pPr>
    <w:rPr>
      <w:rFonts w:eastAsia="Times New Roman"/>
      <w:szCs w:val="24"/>
      <w:lang w:val="en-IE" w:eastAsia="en-IE"/>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autoRedefine/>
    <w:uiPriority w:val="99"/>
    <w:rsid w:val="00CB5EDF"/>
    <w:pPr>
      <w:spacing w:after="160" w:line="240" w:lineRule="exact"/>
      <w:contextualSpacing/>
    </w:pPr>
    <w:rPr>
      <w:rFonts w:asciiTheme="minorHAnsi" w:hAnsiTheme="minorHAnsi" w:cstheme="minorBidi"/>
      <w:sz w:val="22"/>
      <w:vertAlign w:val="superscript"/>
      <w:lang w:val="en-US"/>
    </w:rPr>
  </w:style>
  <w:style w:type="character" w:customStyle="1" w:styleId="oj-super">
    <w:name w:val="oj-super"/>
    <w:basedOn w:val="DefaultParagraphFont"/>
    <w:rsid w:val="00CB5EDF"/>
  </w:style>
  <w:style w:type="paragraph" w:customStyle="1" w:styleId="numpar11">
    <w:name w:val="numpar1"/>
    <w:basedOn w:val="Normal"/>
    <w:rsid w:val="00CB5EDF"/>
    <w:pPr>
      <w:ind w:left="850" w:hanging="850"/>
    </w:pPr>
    <w:rPr>
      <w:szCs w:val="24"/>
      <w:lang w:val="en-IE" w:eastAsia="en-IE"/>
    </w:rPr>
  </w:style>
  <w:style w:type="paragraph" w:customStyle="1" w:styleId="Article">
    <w:name w:val="Article"/>
    <w:basedOn w:val="Text1"/>
    <w:rsid w:val="00CB5EDF"/>
    <w:pPr>
      <w:ind w:left="0"/>
      <w:jc w:val="center"/>
    </w:pPr>
    <w:rPr>
      <w:i/>
    </w:rPr>
  </w:style>
  <w:style w:type="character" w:customStyle="1" w:styleId="cf01">
    <w:name w:val="cf01"/>
    <w:basedOn w:val="DefaultParagraphFont"/>
    <w:rsid w:val="0053346D"/>
    <w:rPr>
      <w:rFonts w:ascii="Times New Roman" w:hAnsi="Times New Roman" w:cs="Times New Roman" w:hint="default"/>
      <w:sz w:val="24"/>
      <w:szCs w:val="24"/>
    </w:rPr>
  </w:style>
  <w:style w:type="character" w:styleId="Strong">
    <w:name w:val="Strong"/>
    <w:basedOn w:val="DefaultParagraphFont"/>
    <w:uiPriority w:val="22"/>
    <w:qFormat/>
    <w:rsid w:val="0053346D"/>
    <w:rPr>
      <w:b/>
      <w:bCs/>
    </w:rPr>
  </w:style>
  <w:style w:type="character" w:customStyle="1" w:styleId="UnresolvedMention1">
    <w:name w:val="Unresolved Mention1"/>
    <w:basedOn w:val="DefaultParagraphFont"/>
    <w:uiPriority w:val="99"/>
    <w:semiHidden/>
    <w:unhideWhenUsed/>
    <w:rsid w:val="0053346D"/>
    <w:rPr>
      <w:color w:val="605E5C"/>
      <w:shd w:val="clear" w:color="auto" w:fill="E1DFDD"/>
    </w:rPr>
  </w:style>
  <w:style w:type="paragraph" w:customStyle="1" w:styleId="Body">
    <w:name w:val="Body"/>
    <w:rsid w:val="0053346D"/>
    <w:pPr>
      <w:spacing w:before="120" w:after="120" w:line="240" w:lineRule="auto"/>
      <w:jc w:val="both"/>
    </w:pPr>
    <w:rPr>
      <w:rFonts w:ascii="Times New Roman" w:eastAsia="Times New Roman" w:hAnsi="Times New Roman" w:cs="Times New Roman"/>
      <w:color w:val="000000"/>
      <w:sz w:val="24"/>
      <w:szCs w:val="24"/>
      <w:u w:color="000000"/>
      <w:lang w:val="en-GB" w:eastAsia="en-GB"/>
    </w:rPr>
  </w:style>
  <w:style w:type="character" w:customStyle="1" w:styleId="ilfuvd">
    <w:name w:val="ilfuvd"/>
    <w:basedOn w:val="DefaultParagraphFont"/>
    <w:rsid w:val="0053346D"/>
  </w:style>
  <w:style w:type="character" w:customStyle="1" w:styleId="Mention">
    <w:name w:val="Mention"/>
    <w:basedOn w:val="DefaultParagraphFont"/>
    <w:uiPriority w:val="99"/>
    <w:unhideWhenUsed/>
    <w:rsid w:val="00E51FF9"/>
    <w:rPr>
      <w:color w:val="2B579A"/>
      <w:shd w:val="clear" w:color="auto" w:fill="E1DFDD"/>
    </w:rPr>
  </w:style>
  <w:style w:type="character" w:customStyle="1" w:styleId="HeaderChar">
    <w:name w:val="Header Char"/>
    <w:basedOn w:val="DefaultParagraphFont"/>
    <w:link w:val="Header"/>
    <w:uiPriority w:val="99"/>
    <w:rsid w:val="00E82958"/>
    <w:rPr>
      <w:rFonts w:ascii="Times New Roman" w:hAnsi="Times New Roman" w:cs="Times New Roman"/>
      <w:sz w:val="24"/>
      <w:lang w:val="en-GB"/>
    </w:rPr>
  </w:style>
  <w:style w:type="character" w:customStyle="1" w:styleId="FooterChar">
    <w:name w:val="Footer Char"/>
    <w:basedOn w:val="DefaultParagraphFont"/>
    <w:link w:val="Footer"/>
    <w:uiPriority w:val="99"/>
    <w:rsid w:val="00E82958"/>
    <w:rPr>
      <w:rFonts w:ascii="Times New Roman" w:hAnsi="Times New Roman" w:cs="Times New Roman"/>
      <w:sz w:val="24"/>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lang w:val="en-GB"/>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lang w:val="en-GB"/>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character" w:styleId="FootnoteReference">
    <w:name w:val="footnote reference"/>
    <w:basedOn w:val="DefaultParagraphFont"/>
    <w:link w:val="SUPERSCharCharCharCharCharCharCharChar"/>
    <w:uiPriority w:val="99"/>
    <w:semiHidden/>
    <w:unhideWhenUsed/>
    <w:rPr>
      <w:shd w:val="clear" w:color="auto" w:fill="auto"/>
      <w:vertAlign w:val="superscript"/>
    </w:rPr>
  </w:style>
  <w:style w:type="paragraph" w:customStyle="1" w:styleId="HeaderSensitivity">
    <w:name w:val="Header Sensitivity"/>
    <w:basedOn w:val="Normal"/>
    <w:rsid w:val="00E82958"/>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E82958"/>
    <w:pPr>
      <w:spacing w:before="0"/>
      <w:jc w:val="right"/>
    </w:pPr>
    <w:rPr>
      <w:sz w:val="28"/>
    </w:rPr>
  </w:style>
  <w:style w:type="paragraph" w:customStyle="1" w:styleId="FooterSensitivity">
    <w:name w:val="Footer Sensitivity"/>
    <w:basedOn w:val="Normal"/>
    <w:rsid w:val="00E82958"/>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133"/>
      </w:numPr>
    </w:pPr>
  </w:style>
  <w:style w:type="paragraph" w:customStyle="1" w:styleId="Tiret1">
    <w:name w:val="Tiret 1"/>
    <w:basedOn w:val="Point1"/>
    <w:pPr>
      <w:numPr>
        <w:numId w:val="134"/>
      </w:numPr>
    </w:pPr>
  </w:style>
  <w:style w:type="paragraph" w:customStyle="1" w:styleId="Tiret2">
    <w:name w:val="Tiret 2"/>
    <w:basedOn w:val="Point2"/>
    <w:pPr>
      <w:numPr>
        <w:numId w:val="135"/>
      </w:numPr>
    </w:pPr>
  </w:style>
  <w:style w:type="paragraph" w:customStyle="1" w:styleId="Tiret3">
    <w:name w:val="Tiret 3"/>
    <w:basedOn w:val="Point3"/>
    <w:pPr>
      <w:numPr>
        <w:numId w:val="136"/>
      </w:numPr>
    </w:pPr>
  </w:style>
  <w:style w:type="paragraph" w:customStyle="1" w:styleId="Tiret4">
    <w:name w:val="Tiret 4"/>
    <w:basedOn w:val="Point4"/>
    <w:pPr>
      <w:numPr>
        <w:numId w:val="137"/>
      </w:numPr>
    </w:pPr>
  </w:style>
  <w:style w:type="paragraph" w:customStyle="1" w:styleId="Tiret5">
    <w:name w:val="Tiret 5"/>
    <w:basedOn w:val="Point5"/>
    <w:pPr>
      <w:numPr>
        <w:numId w:val="138"/>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39"/>
      </w:numPr>
    </w:pPr>
  </w:style>
  <w:style w:type="paragraph" w:customStyle="1" w:styleId="NumPar2">
    <w:name w:val="NumPar 2"/>
    <w:basedOn w:val="Normal"/>
    <w:next w:val="Text1"/>
    <w:pPr>
      <w:numPr>
        <w:ilvl w:val="1"/>
        <w:numId w:val="139"/>
      </w:numPr>
    </w:pPr>
  </w:style>
  <w:style w:type="paragraph" w:customStyle="1" w:styleId="NumPar3">
    <w:name w:val="NumPar 3"/>
    <w:basedOn w:val="Normal"/>
    <w:next w:val="Text1"/>
    <w:pPr>
      <w:numPr>
        <w:ilvl w:val="2"/>
        <w:numId w:val="139"/>
      </w:numPr>
    </w:pPr>
  </w:style>
  <w:style w:type="paragraph" w:customStyle="1" w:styleId="NumPar4">
    <w:name w:val="NumPar 4"/>
    <w:basedOn w:val="Normal"/>
    <w:next w:val="Text1"/>
    <w:pPr>
      <w:numPr>
        <w:ilvl w:val="3"/>
        <w:numId w:val="139"/>
      </w:numPr>
    </w:pPr>
  </w:style>
  <w:style w:type="paragraph" w:customStyle="1" w:styleId="NumPar5">
    <w:name w:val="NumPar 5"/>
    <w:basedOn w:val="Normal"/>
    <w:next w:val="Text2"/>
    <w:pPr>
      <w:numPr>
        <w:ilvl w:val="4"/>
        <w:numId w:val="139"/>
      </w:numPr>
    </w:pPr>
  </w:style>
  <w:style w:type="paragraph" w:customStyle="1" w:styleId="NumPar6">
    <w:name w:val="NumPar 6"/>
    <w:basedOn w:val="Normal"/>
    <w:next w:val="Text2"/>
    <w:pPr>
      <w:numPr>
        <w:ilvl w:val="5"/>
        <w:numId w:val="139"/>
      </w:numPr>
    </w:pPr>
  </w:style>
  <w:style w:type="paragraph" w:customStyle="1" w:styleId="NumPar7">
    <w:name w:val="NumPar 7"/>
    <w:basedOn w:val="Normal"/>
    <w:next w:val="Text2"/>
    <w:pPr>
      <w:numPr>
        <w:ilvl w:val="6"/>
        <w:numId w:val="139"/>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41"/>
      </w:numPr>
    </w:pPr>
  </w:style>
  <w:style w:type="paragraph" w:customStyle="1" w:styleId="Point1number">
    <w:name w:val="Point 1 (number)"/>
    <w:basedOn w:val="Normal"/>
    <w:pPr>
      <w:numPr>
        <w:ilvl w:val="2"/>
        <w:numId w:val="141"/>
      </w:numPr>
    </w:pPr>
  </w:style>
  <w:style w:type="paragraph" w:customStyle="1" w:styleId="Point2number">
    <w:name w:val="Point 2 (number)"/>
    <w:basedOn w:val="Normal"/>
    <w:pPr>
      <w:numPr>
        <w:ilvl w:val="4"/>
        <w:numId w:val="141"/>
      </w:numPr>
    </w:pPr>
  </w:style>
  <w:style w:type="paragraph" w:customStyle="1" w:styleId="Point3number">
    <w:name w:val="Point 3 (number)"/>
    <w:basedOn w:val="Normal"/>
    <w:pPr>
      <w:numPr>
        <w:ilvl w:val="6"/>
        <w:numId w:val="141"/>
      </w:numPr>
    </w:pPr>
  </w:style>
  <w:style w:type="paragraph" w:customStyle="1" w:styleId="Point0letter">
    <w:name w:val="Point 0 (letter)"/>
    <w:basedOn w:val="Normal"/>
    <w:pPr>
      <w:numPr>
        <w:ilvl w:val="1"/>
        <w:numId w:val="141"/>
      </w:numPr>
    </w:pPr>
  </w:style>
  <w:style w:type="paragraph" w:customStyle="1" w:styleId="Point1letter">
    <w:name w:val="Point 1 (letter)"/>
    <w:basedOn w:val="Normal"/>
    <w:pPr>
      <w:numPr>
        <w:ilvl w:val="3"/>
        <w:numId w:val="141"/>
      </w:numPr>
    </w:pPr>
  </w:style>
  <w:style w:type="paragraph" w:customStyle="1" w:styleId="Point2letter">
    <w:name w:val="Point 2 (letter)"/>
    <w:basedOn w:val="Normal"/>
    <w:pPr>
      <w:numPr>
        <w:ilvl w:val="5"/>
        <w:numId w:val="141"/>
      </w:numPr>
    </w:pPr>
  </w:style>
  <w:style w:type="paragraph" w:customStyle="1" w:styleId="Point3letter">
    <w:name w:val="Point 3 (letter)"/>
    <w:basedOn w:val="Normal"/>
    <w:pPr>
      <w:numPr>
        <w:ilvl w:val="7"/>
        <w:numId w:val="141"/>
      </w:numPr>
    </w:pPr>
  </w:style>
  <w:style w:type="paragraph" w:customStyle="1" w:styleId="Point4letter">
    <w:name w:val="Point 4 (letter)"/>
    <w:basedOn w:val="Normal"/>
    <w:pPr>
      <w:numPr>
        <w:ilvl w:val="8"/>
        <w:numId w:val="141"/>
      </w:numPr>
    </w:pPr>
  </w:style>
  <w:style w:type="paragraph" w:customStyle="1" w:styleId="Bullet0">
    <w:name w:val="Bullet 0"/>
    <w:basedOn w:val="Normal"/>
    <w:pPr>
      <w:numPr>
        <w:numId w:val="142"/>
      </w:numPr>
    </w:pPr>
  </w:style>
  <w:style w:type="paragraph" w:customStyle="1" w:styleId="Bullet1">
    <w:name w:val="Bullet 1"/>
    <w:basedOn w:val="Normal"/>
    <w:pPr>
      <w:numPr>
        <w:numId w:val="143"/>
      </w:numPr>
    </w:pPr>
  </w:style>
  <w:style w:type="paragraph" w:customStyle="1" w:styleId="Bullet2">
    <w:name w:val="Bullet 2"/>
    <w:basedOn w:val="Normal"/>
    <w:pPr>
      <w:numPr>
        <w:numId w:val="144"/>
      </w:numPr>
    </w:pPr>
  </w:style>
  <w:style w:type="paragraph" w:customStyle="1" w:styleId="Bullet3">
    <w:name w:val="Bullet 3"/>
    <w:basedOn w:val="Normal"/>
    <w:pPr>
      <w:numPr>
        <w:numId w:val="145"/>
      </w:numPr>
    </w:pPr>
  </w:style>
  <w:style w:type="paragraph" w:customStyle="1" w:styleId="Bullet4">
    <w:name w:val="Bullet 4"/>
    <w:basedOn w:val="Normal"/>
    <w:pPr>
      <w:numPr>
        <w:numId w:val="146"/>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147"/>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 w:type="paragraph" w:styleId="Header">
    <w:name w:val="header"/>
    <w:basedOn w:val="Normal"/>
    <w:link w:val="HeaderChar"/>
    <w:uiPriority w:val="99"/>
    <w:unhideWhenUsed/>
    <w:rsid w:val="00E82958"/>
    <w:pPr>
      <w:tabs>
        <w:tab w:val="center" w:pos="4535"/>
        <w:tab w:val="right" w:pos="9071"/>
      </w:tabs>
      <w:spacing w:before="0"/>
    </w:pPr>
  </w:style>
  <w:style w:type="paragraph" w:customStyle="1" w:styleId="HeaderLandscape">
    <w:name w:val="HeaderLandscape"/>
    <w:basedOn w:val="Normal"/>
    <w:rsid w:val="00E82958"/>
    <w:pPr>
      <w:tabs>
        <w:tab w:val="center" w:pos="7285"/>
        <w:tab w:val="right" w:pos="14003"/>
      </w:tabs>
      <w:spacing w:before="0"/>
    </w:pPr>
  </w:style>
  <w:style w:type="paragraph" w:styleId="Footer">
    <w:name w:val="footer"/>
    <w:basedOn w:val="Normal"/>
    <w:link w:val="FooterChar"/>
    <w:uiPriority w:val="99"/>
    <w:unhideWhenUsed/>
    <w:rsid w:val="00E82958"/>
    <w:pPr>
      <w:tabs>
        <w:tab w:val="center" w:pos="4535"/>
        <w:tab w:val="right" w:pos="9071"/>
        <w:tab w:val="right" w:pos="9921"/>
      </w:tabs>
      <w:spacing w:before="360" w:after="0"/>
      <w:ind w:left="-850" w:right="-850"/>
      <w:jc w:val="left"/>
    </w:pPr>
  </w:style>
  <w:style w:type="paragraph" w:customStyle="1" w:styleId="FooterLandscape">
    <w:name w:val="FooterLandscape"/>
    <w:basedOn w:val="Normal"/>
    <w:rsid w:val="00E82958"/>
    <w:pPr>
      <w:tabs>
        <w:tab w:val="center" w:pos="7285"/>
        <w:tab w:val="center" w:pos="10913"/>
        <w:tab w:val="right" w:pos="15137"/>
      </w:tabs>
      <w:spacing w:before="360" w:after="0"/>
      <w:ind w:left="-567" w:right="-567"/>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62118">
      <w:bodyDiv w:val="1"/>
      <w:marLeft w:val="0"/>
      <w:marRight w:val="0"/>
      <w:marTop w:val="0"/>
      <w:marBottom w:val="0"/>
      <w:divBdr>
        <w:top w:val="none" w:sz="0" w:space="0" w:color="auto"/>
        <w:left w:val="none" w:sz="0" w:space="0" w:color="auto"/>
        <w:bottom w:val="none" w:sz="0" w:space="0" w:color="auto"/>
        <w:right w:val="none" w:sz="0" w:space="0" w:color="auto"/>
      </w:divBdr>
    </w:div>
    <w:div w:id="26835566">
      <w:bodyDiv w:val="1"/>
      <w:marLeft w:val="0"/>
      <w:marRight w:val="0"/>
      <w:marTop w:val="0"/>
      <w:marBottom w:val="0"/>
      <w:divBdr>
        <w:top w:val="none" w:sz="0" w:space="0" w:color="auto"/>
        <w:left w:val="none" w:sz="0" w:space="0" w:color="auto"/>
        <w:bottom w:val="none" w:sz="0" w:space="0" w:color="auto"/>
        <w:right w:val="none" w:sz="0" w:space="0" w:color="auto"/>
      </w:divBdr>
    </w:div>
    <w:div w:id="71240261">
      <w:bodyDiv w:val="1"/>
      <w:marLeft w:val="0"/>
      <w:marRight w:val="0"/>
      <w:marTop w:val="0"/>
      <w:marBottom w:val="0"/>
      <w:divBdr>
        <w:top w:val="none" w:sz="0" w:space="0" w:color="auto"/>
        <w:left w:val="none" w:sz="0" w:space="0" w:color="auto"/>
        <w:bottom w:val="none" w:sz="0" w:space="0" w:color="auto"/>
        <w:right w:val="none" w:sz="0" w:space="0" w:color="auto"/>
      </w:divBdr>
    </w:div>
    <w:div w:id="82453352">
      <w:bodyDiv w:val="1"/>
      <w:marLeft w:val="0"/>
      <w:marRight w:val="0"/>
      <w:marTop w:val="0"/>
      <w:marBottom w:val="0"/>
      <w:divBdr>
        <w:top w:val="none" w:sz="0" w:space="0" w:color="auto"/>
        <w:left w:val="none" w:sz="0" w:space="0" w:color="auto"/>
        <w:bottom w:val="none" w:sz="0" w:space="0" w:color="auto"/>
        <w:right w:val="none" w:sz="0" w:space="0" w:color="auto"/>
      </w:divBdr>
    </w:div>
    <w:div w:id="109983477">
      <w:bodyDiv w:val="1"/>
      <w:marLeft w:val="0"/>
      <w:marRight w:val="0"/>
      <w:marTop w:val="0"/>
      <w:marBottom w:val="0"/>
      <w:divBdr>
        <w:top w:val="none" w:sz="0" w:space="0" w:color="auto"/>
        <w:left w:val="none" w:sz="0" w:space="0" w:color="auto"/>
        <w:bottom w:val="none" w:sz="0" w:space="0" w:color="auto"/>
        <w:right w:val="none" w:sz="0" w:space="0" w:color="auto"/>
      </w:divBdr>
      <w:divsChild>
        <w:div w:id="591671781">
          <w:marLeft w:val="0"/>
          <w:marRight w:val="0"/>
          <w:marTop w:val="0"/>
          <w:marBottom w:val="0"/>
          <w:divBdr>
            <w:top w:val="none" w:sz="0" w:space="0" w:color="auto"/>
            <w:left w:val="none" w:sz="0" w:space="0" w:color="auto"/>
            <w:bottom w:val="none" w:sz="0" w:space="0" w:color="auto"/>
            <w:right w:val="none" w:sz="0" w:space="0" w:color="auto"/>
          </w:divBdr>
        </w:div>
        <w:div w:id="746340407">
          <w:marLeft w:val="0"/>
          <w:marRight w:val="0"/>
          <w:marTop w:val="0"/>
          <w:marBottom w:val="0"/>
          <w:divBdr>
            <w:top w:val="none" w:sz="0" w:space="0" w:color="auto"/>
            <w:left w:val="none" w:sz="0" w:space="0" w:color="auto"/>
            <w:bottom w:val="none" w:sz="0" w:space="0" w:color="auto"/>
            <w:right w:val="none" w:sz="0" w:space="0" w:color="auto"/>
          </w:divBdr>
        </w:div>
        <w:div w:id="775176982">
          <w:marLeft w:val="0"/>
          <w:marRight w:val="0"/>
          <w:marTop w:val="0"/>
          <w:marBottom w:val="0"/>
          <w:divBdr>
            <w:top w:val="none" w:sz="0" w:space="0" w:color="auto"/>
            <w:left w:val="none" w:sz="0" w:space="0" w:color="auto"/>
            <w:bottom w:val="none" w:sz="0" w:space="0" w:color="auto"/>
            <w:right w:val="none" w:sz="0" w:space="0" w:color="auto"/>
          </w:divBdr>
        </w:div>
      </w:divsChild>
    </w:div>
    <w:div w:id="128524652">
      <w:bodyDiv w:val="1"/>
      <w:marLeft w:val="0"/>
      <w:marRight w:val="0"/>
      <w:marTop w:val="0"/>
      <w:marBottom w:val="0"/>
      <w:divBdr>
        <w:top w:val="none" w:sz="0" w:space="0" w:color="auto"/>
        <w:left w:val="none" w:sz="0" w:space="0" w:color="auto"/>
        <w:bottom w:val="none" w:sz="0" w:space="0" w:color="auto"/>
        <w:right w:val="none" w:sz="0" w:space="0" w:color="auto"/>
      </w:divBdr>
      <w:divsChild>
        <w:div w:id="1168179811">
          <w:marLeft w:val="0"/>
          <w:marRight w:val="0"/>
          <w:marTop w:val="0"/>
          <w:marBottom w:val="0"/>
          <w:divBdr>
            <w:top w:val="none" w:sz="0" w:space="0" w:color="auto"/>
            <w:left w:val="none" w:sz="0" w:space="0" w:color="auto"/>
            <w:bottom w:val="none" w:sz="0" w:space="0" w:color="auto"/>
            <w:right w:val="none" w:sz="0" w:space="0" w:color="auto"/>
          </w:divBdr>
        </w:div>
      </w:divsChild>
    </w:div>
    <w:div w:id="158816096">
      <w:bodyDiv w:val="1"/>
      <w:marLeft w:val="0"/>
      <w:marRight w:val="0"/>
      <w:marTop w:val="0"/>
      <w:marBottom w:val="0"/>
      <w:divBdr>
        <w:top w:val="none" w:sz="0" w:space="0" w:color="auto"/>
        <w:left w:val="none" w:sz="0" w:space="0" w:color="auto"/>
        <w:bottom w:val="none" w:sz="0" w:space="0" w:color="auto"/>
        <w:right w:val="none" w:sz="0" w:space="0" w:color="auto"/>
      </w:divBdr>
    </w:div>
    <w:div w:id="268467407">
      <w:bodyDiv w:val="1"/>
      <w:marLeft w:val="0"/>
      <w:marRight w:val="0"/>
      <w:marTop w:val="0"/>
      <w:marBottom w:val="0"/>
      <w:divBdr>
        <w:top w:val="none" w:sz="0" w:space="0" w:color="auto"/>
        <w:left w:val="none" w:sz="0" w:space="0" w:color="auto"/>
        <w:bottom w:val="none" w:sz="0" w:space="0" w:color="auto"/>
        <w:right w:val="none" w:sz="0" w:space="0" w:color="auto"/>
      </w:divBdr>
    </w:div>
    <w:div w:id="272909625">
      <w:bodyDiv w:val="1"/>
      <w:marLeft w:val="0"/>
      <w:marRight w:val="0"/>
      <w:marTop w:val="0"/>
      <w:marBottom w:val="0"/>
      <w:divBdr>
        <w:top w:val="none" w:sz="0" w:space="0" w:color="auto"/>
        <w:left w:val="none" w:sz="0" w:space="0" w:color="auto"/>
        <w:bottom w:val="none" w:sz="0" w:space="0" w:color="auto"/>
        <w:right w:val="none" w:sz="0" w:space="0" w:color="auto"/>
      </w:divBdr>
      <w:divsChild>
        <w:div w:id="1981763596">
          <w:marLeft w:val="0"/>
          <w:marRight w:val="0"/>
          <w:marTop w:val="0"/>
          <w:marBottom w:val="0"/>
          <w:divBdr>
            <w:top w:val="none" w:sz="0" w:space="0" w:color="auto"/>
            <w:left w:val="none" w:sz="0" w:space="0" w:color="auto"/>
            <w:bottom w:val="none" w:sz="0" w:space="0" w:color="auto"/>
            <w:right w:val="none" w:sz="0" w:space="0" w:color="auto"/>
          </w:divBdr>
          <w:divsChild>
            <w:div w:id="1229460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944064">
      <w:bodyDiv w:val="1"/>
      <w:marLeft w:val="0"/>
      <w:marRight w:val="0"/>
      <w:marTop w:val="0"/>
      <w:marBottom w:val="0"/>
      <w:divBdr>
        <w:top w:val="none" w:sz="0" w:space="0" w:color="auto"/>
        <w:left w:val="none" w:sz="0" w:space="0" w:color="auto"/>
        <w:bottom w:val="none" w:sz="0" w:space="0" w:color="auto"/>
        <w:right w:val="none" w:sz="0" w:space="0" w:color="auto"/>
      </w:divBdr>
    </w:div>
    <w:div w:id="282732853">
      <w:bodyDiv w:val="1"/>
      <w:marLeft w:val="0"/>
      <w:marRight w:val="0"/>
      <w:marTop w:val="0"/>
      <w:marBottom w:val="0"/>
      <w:divBdr>
        <w:top w:val="none" w:sz="0" w:space="0" w:color="auto"/>
        <w:left w:val="none" w:sz="0" w:space="0" w:color="auto"/>
        <w:bottom w:val="none" w:sz="0" w:space="0" w:color="auto"/>
        <w:right w:val="none" w:sz="0" w:space="0" w:color="auto"/>
      </w:divBdr>
    </w:div>
    <w:div w:id="283586823">
      <w:bodyDiv w:val="1"/>
      <w:marLeft w:val="0"/>
      <w:marRight w:val="0"/>
      <w:marTop w:val="0"/>
      <w:marBottom w:val="0"/>
      <w:divBdr>
        <w:top w:val="none" w:sz="0" w:space="0" w:color="auto"/>
        <w:left w:val="none" w:sz="0" w:space="0" w:color="auto"/>
        <w:bottom w:val="none" w:sz="0" w:space="0" w:color="auto"/>
        <w:right w:val="none" w:sz="0" w:space="0" w:color="auto"/>
      </w:divBdr>
      <w:divsChild>
        <w:div w:id="953949548">
          <w:marLeft w:val="0"/>
          <w:marRight w:val="0"/>
          <w:marTop w:val="0"/>
          <w:marBottom w:val="0"/>
          <w:divBdr>
            <w:top w:val="none" w:sz="0" w:space="0" w:color="auto"/>
            <w:left w:val="none" w:sz="0" w:space="0" w:color="auto"/>
            <w:bottom w:val="none" w:sz="0" w:space="0" w:color="auto"/>
            <w:right w:val="none" w:sz="0" w:space="0" w:color="auto"/>
          </w:divBdr>
          <w:divsChild>
            <w:div w:id="389423785">
              <w:marLeft w:val="0"/>
              <w:marRight w:val="0"/>
              <w:marTop w:val="0"/>
              <w:marBottom w:val="0"/>
              <w:divBdr>
                <w:top w:val="none" w:sz="0" w:space="0" w:color="auto"/>
                <w:left w:val="none" w:sz="0" w:space="0" w:color="auto"/>
                <w:bottom w:val="none" w:sz="0" w:space="0" w:color="auto"/>
                <w:right w:val="none" w:sz="0" w:space="0" w:color="auto"/>
              </w:divBdr>
            </w:div>
            <w:div w:id="1466267132">
              <w:marLeft w:val="0"/>
              <w:marRight w:val="0"/>
              <w:marTop w:val="0"/>
              <w:marBottom w:val="0"/>
              <w:divBdr>
                <w:top w:val="none" w:sz="0" w:space="0" w:color="auto"/>
                <w:left w:val="none" w:sz="0" w:space="0" w:color="auto"/>
                <w:bottom w:val="none" w:sz="0" w:space="0" w:color="auto"/>
                <w:right w:val="none" w:sz="0" w:space="0" w:color="auto"/>
              </w:divBdr>
            </w:div>
            <w:div w:id="1897742527">
              <w:marLeft w:val="0"/>
              <w:marRight w:val="0"/>
              <w:marTop w:val="0"/>
              <w:marBottom w:val="0"/>
              <w:divBdr>
                <w:top w:val="none" w:sz="0" w:space="0" w:color="auto"/>
                <w:left w:val="none" w:sz="0" w:space="0" w:color="auto"/>
                <w:bottom w:val="none" w:sz="0" w:space="0" w:color="auto"/>
                <w:right w:val="none" w:sz="0" w:space="0" w:color="auto"/>
              </w:divBdr>
            </w:div>
            <w:div w:id="1978215037">
              <w:marLeft w:val="0"/>
              <w:marRight w:val="0"/>
              <w:marTop w:val="0"/>
              <w:marBottom w:val="0"/>
              <w:divBdr>
                <w:top w:val="none" w:sz="0" w:space="0" w:color="auto"/>
                <w:left w:val="none" w:sz="0" w:space="0" w:color="auto"/>
                <w:bottom w:val="none" w:sz="0" w:space="0" w:color="auto"/>
                <w:right w:val="none" w:sz="0" w:space="0" w:color="auto"/>
              </w:divBdr>
            </w:div>
            <w:div w:id="2104182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534824">
      <w:bodyDiv w:val="1"/>
      <w:marLeft w:val="0"/>
      <w:marRight w:val="0"/>
      <w:marTop w:val="0"/>
      <w:marBottom w:val="0"/>
      <w:divBdr>
        <w:top w:val="none" w:sz="0" w:space="0" w:color="auto"/>
        <w:left w:val="none" w:sz="0" w:space="0" w:color="auto"/>
        <w:bottom w:val="none" w:sz="0" w:space="0" w:color="auto"/>
        <w:right w:val="none" w:sz="0" w:space="0" w:color="auto"/>
      </w:divBdr>
    </w:div>
    <w:div w:id="376979722">
      <w:bodyDiv w:val="1"/>
      <w:marLeft w:val="0"/>
      <w:marRight w:val="0"/>
      <w:marTop w:val="0"/>
      <w:marBottom w:val="0"/>
      <w:divBdr>
        <w:top w:val="none" w:sz="0" w:space="0" w:color="auto"/>
        <w:left w:val="none" w:sz="0" w:space="0" w:color="auto"/>
        <w:bottom w:val="none" w:sz="0" w:space="0" w:color="auto"/>
        <w:right w:val="none" w:sz="0" w:space="0" w:color="auto"/>
      </w:divBdr>
    </w:div>
    <w:div w:id="414519640">
      <w:bodyDiv w:val="1"/>
      <w:marLeft w:val="0"/>
      <w:marRight w:val="0"/>
      <w:marTop w:val="0"/>
      <w:marBottom w:val="0"/>
      <w:divBdr>
        <w:top w:val="none" w:sz="0" w:space="0" w:color="auto"/>
        <w:left w:val="none" w:sz="0" w:space="0" w:color="auto"/>
        <w:bottom w:val="none" w:sz="0" w:space="0" w:color="auto"/>
        <w:right w:val="none" w:sz="0" w:space="0" w:color="auto"/>
      </w:divBdr>
    </w:div>
    <w:div w:id="458915507">
      <w:bodyDiv w:val="1"/>
      <w:marLeft w:val="0"/>
      <w:marRight w:val="0"/>
      <w:marTop w:val="0"/>
      <w:marBottom w:val="0"/>
      <w:divBdr>
        <w:top w:val="none" w:sz="0" w:space="0" w:color="auto"/>
        <w:left w:val="none" w:sz="0" w:space="0" w:color="auto"/>
        <w:bottom w:val="none" w:sz="0" w:space="0" w:color="auto"/>
        <w:right w:val="none" w:sz="0" w:space="0" w:color="auto"/>
      </w:divBdr>
      <w:divsChild>
        <w:div w:id="261693646">
          <w:marLeft w:val="0"/>
          <w:marRight w:val="0"/>
          <w:marTop w:val="0"/>
          <w:marBottom w:val="0"/>
          <w:divBdr>
            <w:top w:val="none" w:sz="0" w:space="0" w:color="auto"/>
            <w:left w:val="none" w:sz="0" w:space="0" w:color="auto"/>
            <w:bottom w:val="none" w:sz="0" w:space="0" w:color="auto"/>
            <w:right w:val="none" w:sz="0" w:space="0" w:color="auto"/>
          </w:divBdr>
        </w:div>
      </w:divsChild>
    </w:div>
    <w:div w:id="553809007">
      <w:bodyDiv w:val="1"/>
      <w:marLeft w:val="0"/>
      <w:marRight w:val="0"/>
      <w:marTop w:val="0"/>
      <w:marBottom w:val="0"/>
      <w:divBdr>
        <w:top w:val="none" w:sz="0" w:space="0" w:color="auto"/>
        <w:left w:val="none" w:sz="0" w:space="0" w:color="auto"/>
        <w:bottom w:val="none" w:sz="0" w:space="0" w:color="auto"/>
        <w:right w:val="none" w:sz="0" w:space="0" w:color="auto"/>
      </w:divBdr>
      <w:divsChild>
        <w:div w:id="401682189">
          <w:marLeft w:val="0"/>
          <w:marRight w:val="0"/>
          <w:marTop w:val="0"/>
          <w:marBottom w:val="0"/>
          <w:divBdr>
            <w:top w:val="none" w:sz="0" w:space="0" w:color="auto"/>
            <w:left w:val="none" w:sz="0" w:space="0" w:color="auto"/>
            <w:bottom w:val="none" w:sz="0" w:space="0" w:color="auto"/>
            <w:right w:val="none" w:sz="0" w:space="0" w:color="auto"/>
          </w:divBdr>
        </w:div>
        <w:div w:id="592740301">
          <w:marLeft w:val="0"/>
          <w:marRight w:val="0"/>
          <w:marTop w:val="0"/>
          <w:marBottom w:val="0"/>
          <w:divBdr>
            <w:top w:val="none" w:sz="0" w:space="0" w:color="auto"/>
            <w:left w:val="none" w:sz="0" w:space="0" w:color="auto"/>
            <w:bottom w:val="none" w:sz="0" w:space="0" w:color="auto"/>
            <w:right w:val="none" w:sz="0" w:space="0" w:color="auto"/>
          </w:divBdr>
        </w:div>
        <w:div w:id="712848909">
          <w:marLeft w:val="0"/>
          <w:marRight w:val="0"/>
          <w:marTop w:val="0"/>
          <w:marBottom w:val="0"/>
          <w:divBdr>
            <w:top w:val="none" w:sz="0" w:space="0" w:color="auto"/>
            <w:left w:val="none" w:sz="0" w:space="0" w:color="auto"/>
            <w:bottom w:val="none" w:sz="0" w:space="0" w:color="auto"/>
            <w:right w:val="none" w:sz="0" w:space="0" w:color="auto"/>
          </w:divBdr>
        </w:div>
      </w:divsChild>
    </w:div>
    <w:div w:id="589509524">
      <w:bodyDiv w:val="1"/>
      <w:marLeft w:val="0"/>
      <w:marRight w:val="0"/>
      <w:marTop w:val="0"/>
      <w:marBottom w:val="0"/>
      <w:divBdr>
        <w:top w:val="none" w:sz="0" w:space="0" w:color="auto"/>
        <w:left w:val="none" w:sz="0" w:space="0" w:color="auto"/>
        <w:bottom w:val="none" w:sz="0" w:space="0" w:color="auto"/>
        <w:right w:val="none" w:sz="0" w:space="0" w:color="auto"/>
      </w:divBdr>
    </w:div>
    <w:div w:id="635334873">
      <w:bodyDiv w:val="1"/>
      <w:marLeft w:val="0"/>
      <w:marRight w:val="0"/>
      <w:marTop w:val="0"/>
      <w:marBottom w:val="0"/>
      <w:divBdr>
        <w:top w:val="none" w:sz="0" w:space="0" w:color="auto"/>
        <w:left w:val="none" w:sz="0" w:space="0" w:color="auto"/>
        <w:bottom w:val="none" w:sz="0" w:space="0" w:color="auto"/>
        <w:right w:val="none" w:sz="0" w:space="0" w:color="auto"/>
      </w:divBdr>
    </w:div>
    <w:div w:id="692658692">
      <w:bodyDiv w:val="1"/>
      <w:marLeft w:val="0"/>
      <w:marRight w:val="0"/>
      <w:marTop w:val="0"/>
      <w:marBottom w:val="0"/>
      <w:divBdr>
        <w:top w:val="none" w:sz="0" w:space="0" w:color="auto"/>
        <w:left w:val="none" w:sz="0" w:space="0" w:color="auto"/>
        <w:bottom w:val="none" w:sz="0" w:space="0" w:color="auto"/>
        <w:right w:val="none" w:sz="0" w:space="0" w:color="auto"/>
      </w:divBdr>
    </w:div>
    <w:div w:id="714545010">
      <w:bodyDiv w:val="1"/>
      <w:marLeft w:val="0"/>
      <w:marRight w:val="0"/>
      <w:marTop w:val="0"/>
      <w:marBottom w:val="0"/>
      <w:divBdr>
        <w:top w:val="none" w:sz="0" w:space="0" w:color="auto"/>
        <w:left w:val="none" w:sz="0" w:space="0" w:color="auto"/>
        <w:bottom w:val="none" w:sz="0" w:space="0" w:color="auto"/>
        <w:right w:val="none" w:sz="0" w:space="0" w:color="auto"/>
      </w:divBdr>
    </w:div>
    <w:div w:id="722944735">
      <w:bodyDiv w:val="1"/>
      <w:marLeft w:val="0"/>
      <w:marRight w:val="0"/>
      <w:marTop w:val="0"/>
      <w:marBottom w:val="0"/>
      <w:divBdr>
        <w:top w:val="none" w:sz="0" w:space="0" w:color="auto"/>
        <w:left w:val="none" w:sz="0" w:space="0" w:color="auto"/>
        <w:bottom w:val="none" w:sz="0" w:space="0" w:color="auto"/>
        <w:right w:val="none" w:sz="0" w:space="0" w:color="auto"/>
      </w:divBdr>
      <w:divsChild>
        <w:div w:id="1817264400">
          <w:marLeft w:val="0"/>
          <w:marRight w:val="0"/>
          <w:marTop w:val="0"/>
          <w:marBottom w:val="0"/>
          <w:divBdr>
            <w:top w:val="none" w:sz="0" w:space="0" w:color="auto"/>
            <w:left w:val="none" w:sz="0" w:space="0" w:color="auto"/>
            <w:bottom w:val="none" w:sz="0" w:space="0" w:color="auto"/>
            <w:right w:val="none" w:sz="0" w:space="0" w:color="auto"/>
          </w:divBdr>
        </w:div>
      </w:divsChild>
    </w:div>
    <w:div w:id="755630758">
      <w:bodyDiv w:val="1"/>
      <w:marLeft w:val="0"/>
      <w:marRight w:val="0"/>
      <w:marTop w:val="0"/>
      <w:marBottom w:val="0"/>
      <w:divBdr>
        <w:top w:val="none" w:sz="0" w:space="0" w:color="auto"/>
        <w:left w:val="none" w:sz="0" w:space="0" w:color="auto"/>
        <w:bottom w:val="none" w:sz="0" w:space="0" w:color="auto"/>
        <w:right w:val="none" w:sz="0" w:space="0" w:color="auto"/>
      </w:divBdr>
    </w:div>
    <w:div w:id="893003077">
      <w:bodyDiv w:val="1"/>
      <w:marLeft w:val="0"/>
      <w:marRight w:val="0"/>
      <w:marTop w:val="0"/>
      <w:marBottom w:val="0"/>
      <w:divBdr>
        <w:top w:val="none" w:sz="0" w:space="0" w:color="auto"/>
        <w:left w:val="none" w:sz="0" w:space="0" w:color="auto"/>
        <w:bottom w:val="none" w:sz="0" w:space="0" w:color="auto"/>
        <w:right w:val="none" w:sz="0" w:space="0" w:color="auto"/>
      </w:divBdr>
      <w:divsChild>
        <w:div w:id="267394449">
          <w:marLeft w:val="0"/>
          <w:marRight w:val="0"/>
          <w:marTop w:val="0"/>
          <w:marBottom w:val="0"/>
          <w:divBdr>
            <w:top w:val="none" w:sz="0" w:space="0" w:color="auto"/>
            <w:left w:val="none" w:sz="0" w:space="0" w:color="auto"/>
            <w:bottom w:val="none" w:sz="0" w:space="0" w:color="auto"/>
            <w:right w:val="none" w:sz="0" w:space="0" w:color="auto"/>
          </w:divBdr>
          <w:divsChild>
            <w:div w:id="379014730">
              <w:marLeft w:val="0"/>
              <w:marRight w:val="0"/>
              <w:marTop w:val="0"/>
              <w:marBottom w:val="0"/>
              <w:divBdr>
                <w:top w:val="none" w:sz="0" w:space="0" w:color="auto"/>
                <w:left w:val="none" w:sz="0" w:space="0" w:color="auto"/>
                <w:bottom w:val="none" w:sz="0" w:space="0" w:color="auto"/>
                <w:right w:val="none" w:sz="0" w:space="0" w:color="auto"/>
              </w:divBdr>
            </w:div>
          </w:divsChild>
        </w:div>
        <w:div w:id="797725599">
          <w:marLeft w:val="0"/>
          <w:marRight w:val="0"/>
          <w:marTop w:val="0"/>
          <w:marBottom w:val="0"/>
          <w:divBdr>
            <w:top w:val="none" w:sz="0" w:space="0" w:color="auto"/>
            <w:left w:val="none" w:sz="0" w:space="0" w:color="auto"/>
            <w:bottom w:val="none" w:sz="0" w:space="0" w:color="auto"/>
            <w:right w:val="none" w:sz="0" w:space="0" w:color="auto"/>
          </w:divBdr>
          <w:divsChild>
            <w:div w:id="501556294">
              <w:marLeft w:val="0"/>
              <w:marRight w:val="0"/>
              <w:marTop w:val="0"/>
              <w:marBottom w:val="0"/>
              <w:divBdr>
                <w:top w:val="none" w:sz="0" w:space="0" w:color="auto"/>
                <w:left w:val="none" w:sz="0" w:space="0" w:color="auto"/>
                <w:bottom w:val="none" w:sz="0" w:space="0" w:color="auto"/>
                <w:right w:val="none" w:sz="0" w:space="0" w:color="auto"/>
              </w:divBdr>
            </w:div>
            <w:div w:id="533736323">
              <w:marLeft w:val="0"/>
              <w:marRight w:val="0"/>
              <w:marTop w:val="0"/>
              <w:marBottom w:val="0"/>
              <w:divBdr>
                <w:top w:val="none" w:sz="0" w:space="0" w:color="auto"/>
                <w:left w:val="none" w:sz="0" w:space="0" w:color="auto"/>
                <w:bottom w:val="none" w:sz="0" w:space="0" w:color="auto"/>
                <w:right w:val="none" w:sz="0" w:space="0" w:color="auto"/>
              </w:divBdr>
            </w:div>
            <w:div w:id="669256741">
              <w:marLeft w:val="0"/>
              <w:marRight w:val="0"/>
              <w:marTop w:val="0"/>
              <w:marBottom w:val="0"/>
              <w:divBdr>
                <w:top w:val="none" w:sz="0" w:space="0" w:color="auto"/>
                <w:left w:val="none" w:sz="0" w:space="0" w:color="auto"/>
                <w:bottom w:val="none" w:sz="0" w:space="0" w:color="auto"/>
                <w:right w:val="none" w:sz="0" w:space="0" w:color="auto"/>
              </w:divBdr>
            </w:div>
            <w:div w:id="1399863194">
              <w:marLeft w:val="0"/>
              <w:marRight w:val="0"/>
              <w:marTop w:val="0"/>
              <w:marBottom w:val="0"/>
              <w:divBdr>
                <w:top w:val="none" w:sz="0" w:space="0" w:color="auto"/>
                <w:left w:val="none" w:sz="0" w:space="0" w:color="auto"/>
                <w:bottom w:val="none" w:sz="0" w:space="0" w:color="auto"/>
                <w:right w:val="none" w:sz="0" w:space="0" w:color="auto"/>
              </w:divBdr>
            </w:div>
            <w:div w:id="1822849888">
              <w:marLeft w:val="0"/>
              <w:marRight w:val="0"/>
              <w:marTop w:val="0"/>
              <w:marBottom w:val="0"/>
              <w:divBdr>
                <w:top w:val="none" w:sz="0" w:space="0" w:color="auto"/>
                <w:left w:val="none" w:sz="0" w:space="0" w:color="auto"/>
                <w:bottom w:val="none" w:sz="0" w:space="0" w:color="auto"/>
                <w:right w:val="none" w:sz="0" w:space="0" w:color="auto"/>
              </w:divBdr>
            </w:div>
          </w:divsChild>
        </w:div>
        <w:div w:id="852113890">
          <w:marLeft w:val="0"/>
          <w:marRight w:val="0"/>
          <w:marTop w:val="0"/>
          <w:marBottom w:val="0"/>
          <w:divBdr>
            <w:top w:val="none" w:sz="0" w:space="0" w:color="auto"/>
            <w:left w:val="none" w:sz="0" w:space="0" w:color="auto"/>
            <w:bottom w:val="none" w:sz="0" w:space="0" w:color="auto"/>
            <w:right w:val="none" w:sz="0" w:space="0" w:color="auto"/>
          </w:divBdr>
          <w:divsChild>
            <w:div w:id="695735100">
              <w:marLeft w:val="0"/>
              <w:marRight w:val="0"/>
              <w:marTop w:val="0"/>
              <w:marBottom w:val="0"/>
              <w:divBdr>
                <w:top w:val="none" w:sz="0" w:space="0" w:color="auto"/>
                <w:left w:val="none" w:sz="0" w:space="0" w:color="auto"/>
                <w:bottom w:val="none" w:sz="0" w:space="0" w:color="auto"/>
                <w:right w:val="none" w:sz="0" w:space="0" w:color="auto"/>
              </w:divBdr>
            </w:div>
            <w:div w:id="1056859528">
              <w:marLeft w:val="0"/>
              <w:marRight w:val="0"/>
              <w:marTop w:val="0"/>
              <w:marBottom w:val="0"/>
              <w:divBdr>
                <w:top w:val="none" w:sz="0" w:space="0" w:color="auto"/>
                <w:left w:val="none" w:sz="0" w:space="0" w:color="auto"/>
                <w:bottom w:val="none" w:sz="0" w:space="0" w:color="auto"/>
                <w:right w:val="none" w:sz="0" w:space="0" w:color="auto"/>
              </w:divBdr>
            </w:div>
            <w:div w:id="1609313344">
              <w:marLeft w:val="0"/>
              <w:marRight w:val="0"/>
              <w:marTop w:val="0"/>
              <w:marBottom w:val="0"/>
              <w:divBdr>
                <w:top w:val="none" w:sz="0" w:space="0" w:color="auto"/>
                <w:left w:val="none" w:sz="0" w:space="0" w:color="auto"/>
                <w:bottom w:val="none" w:sz="0" w:space="0" w:color="auto"/>
                <w:right w:val="none" w:sz="0" w:space="0" w:color="auto"/>
              </w:divBdr>
            </w:div>
          </w:divsChild>
        </w:div>
        <w:div w:id="1699506096">
          <w:marLeft w:val="0"/>
          <w:marRight w:val="0"/>
          <w:marTop w:val="0"/>
          <w:marBottom w:val="0"/>
          <w:divBdr>
            <w:top w:val="none" w:sz="0" w:space="0" w:color="auto"/>
            <w:left w:val="none" w:sz="0" w:space="0" w:color="auto"/>
            <w:bottom w:val="none" w:sz="0" w:space="0" w:color="auto"/>
            <w:right w:val="none" w:sz="0" w:space="0" w:color="auto"/>
          </w:divBdr>
          <w:divsChild>
            <w:div w:id="1398701711">
              <w:marLeft w:val="0"/>
              <w:marRight w:val="0"/>
              <w:marTop w:val="0"/>
              <w:marBottom w:val="0"/>
              <w:divBdr>
                <w:top w:val="none" w:sz="0" w:space="0" w:color="auto"/>
                <w:left w:val="none" w:sz="0" w:space="0" w:color="auto"/>
                <w:bottom w:val="none" w:sz="0" w:space="0" w:color="auto"/>
                <w:right w:val="none" w:sz="0" w:space="0" w:color="auto"/>
              </w:divBdr>
            </w:div>
          </w:divsChild>
        </w:div>
        <w:div w:id="1931040661">
          <w:marLeft w:val="0"/>
          <w:marRight w:val="0"/>
          <w:marTop w:val="0"/>
          <w:marBottom w:val="0"/>
          <w:divBdr>
            <w:top w:val="none" w:sz="0" w:space="0" w:color="auto"/>
            <w:left w:val="none" w:sz="0" w:space="0" w:color="auto"/>
            <w:bottom w:val="none" w:sz="0" w:space="0" w:color="auto"/>
            <w:right w:val="none" w:sz="0" w:space="0" w:color="auto"/>
          </w:divBdr>
          <w:divsChild>
            <w:div w:id="397286475">
              <w:marLeft w:val="0"/>
              <w:marRight w:val="0"/>
              <w:marTop w:val="0"/>
              <w:marBottom w:val="0"/>
              <w:divBdr>
                <w:top w:val="none" w:sz="0" w:space="0" w:color="auto"/>
                <w:left w:val="none" w:sz="0" w:space="0" w:color="auto"/>
                <w:bottom w:val="none" w:sz="0" w:space="0" w:color="auto"/>
                <w:right w:val="none" w:sz="0" w:space="0" w:color="auto"/>
              </w:divBdr>
            </w:div>
            <w:div w:id="622080979">
              <w:marLeft w:val="0"/>
              <w:marRight w:val="0"/>
              <w:marTop w:val="0"/>
              <w:marBottom w:val="0"/>
              <w:divBdr>
                <w:top w:val="none" w:sz="0" w:space="0" w:color="auto"/>
                <w:left w:val="none" w:sz="0" w:space="0" w:color="auto"/>
                <w:bottom w:val="none" w:sz="0" w:space="0" w:color="auto"/>
                <w:right w:val="none" w:sz="0" w:space="0" w:color="auto"/>
              </w:divBdr>
            </w:div>
            <w:div w:id="836044456">
              <w:marLeft w:val="0"/>
              <w:marRight w:val="0"/>
              <w:marTop w:val="0"/>
              <w:marBottom w:val="0"/>
              <w:divBdr>
                <w:top w:val="none" w:sz="0" w:space="0" w:color="auto"/>
                <w:left w:val="none" w:sz="0" w:space="0" w:color="auto"/>
                <w:bottom w:val="none" w:sz="0" w:space="0" w:color="auto"/>
                <w:right w:val="none" w:sz="0" w:space="0" w:color="auto"/>
              </w:divBdr>
            </w:div>
            <w:div w:id="1805003576">
              <w:marLeft w:val="0"/>
              <w:marRight w:val="0"/>
              <w:marTop w:val="0"/>
              <w:marBottom w:val="0"/>
              <w:divBdr>
                <w:top w:val="none" w:sz="0" w:space="0" w:color="auto"/>
                <w:left w:val="none" w:sz="0" w:space="0" w:color="auto"/>
                <w:bottom w:val="none" w:sz="0" w:space="0" w:color="auto"/>
                <w:right w:val="none" w:sz="0" w:space="0" w:color="auto"/>
              </w:divBdr>
            </w:div>
          </w:divsChild>
        </w:div>
        <w:div w:id="1933279126">
          <w:marLeft w:val="0"/>
          <w:marRight w:val="0"/>
          <w:marTop w:val="0"/>
          <w:marBottom w:val="0"/>
          <w:divBdr>
            <w:top w:val="none" w:sz="0" w:space="0" w:color="auto"/>
            <w:left w:val="none" w:sz="0" w:space="0" w:color="auto"/>
            <w:bottom w:val="none" w:sz="0" w:space="0" w:color="auto"/>
            <w:right w:val="none" w:sz="0" w:space="0" w:color="auto"/>
          </w:divBdr>
          <w:divsChild>
            <w:div w:id="555819941">
              <w:marLeft w:val="0"/>
              <w:marRight w:val="0"/>
              <w:marTop w:val="0"/>
              <w:marBottom w:val="0"/>
              <w:divBdr>
                <w:top w:val="none" w:sz="0" w:space="0" w:color="auto"/>
                <w:left w:val="none" w:sz="0" w:space="0" w:color="auto"/>
                <w:bottom w:val="none" w:sz="0" w:space="0" w:color="auto"/>
                <w:right w:val="none" w:sz="0" w:space="0" w:color="auto"/>
              </w:divBdr>
            </w:div>
            <w:div w:id="633144122">
              <w:marLeft w:val="0"/>
              <w:marRight w:val="0"/>
              <w:marTop w:val="0"/>
              <w:marBottom w:val="0"/>
              <w:divBdr>
                <w:top w:val="none" w:sz="0" w:space="0" w:color="auto"/>
                <w:left w:val="none" w:sz="0" w:space="0" w:color="auto"/>
                <w:bottom w:val="none" w:sz="0" w:space="0" w:color="auto"/>
                <w:right w:val="none" w:sz="0" w:space="0" w:color="auto"/>
              </w:divBdr>
            </w:div>
            <w:div w:id="1344090907">
              <w:marLeft w:val="0"/>
              <w:marRight w:val="0"/>
              <w:marTop w:val="0"/>
              <w:marBottom w:val="0"/>
              <w:divBdr>
                <w:top w:val="none" w:sz="0" w:space="0" w:color="auto"/>
                <w:left w:val="none" w:sz="0" w:space="0" w:color="auto"/>
                <w:bottom w:val="none" w:sz="0" w:space="0" w:color="auto"/>
                <w:right w:val="none" w:sz="0" w:space="0" w:color="auto"/>
              </w:divBdr>
            </w:div>
            <w:div w:id="1594434190">
              <w:marLeft w:val="0"/>
              <w:marRight w:val="0"/>
              <w:marTop w:val="0"/>
              <w:marBottom w:val="0"/>
              <w:divBdr>
                <w:top w:val="none" w:sz="0" w:space="0" w:color="auto"/>
                <w:left w:val="none" w:sz="0" w:space="0" w:color="auto"/>
                <w:bottom w:val="none" w:sz="0" w:space="0" w:color="auto"/>
                <w:right w:val="none" w:sz="0" w:space="0" w:color="auto"/>
              </w:divBdr>
            </w:div>
            <w:div w:id="1943418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661438">
      <w:bodyDiv w:val="1"/>
      <w:marLeft w:val="0"/>
      <w:marRight w:val="0"/>
      <w:marTop w:val="0"/>
      <w:marBottom w:val="0"/>
      <w:divBdr>
        <w:top w:val="none" w:sz="0" w:space="0" w:color="auto"/>
        <w:left w:val="none" w:sz="0" w:space="0" w:color="auto"/>
        <w:bottom w:val="none" w:sz="0" w:space="0" w:color="auto"/>
        <w:right w:val="none" w:sz="0" w:space="0" w:color="auto"/>
      </w:divBdr>
    </w:div>
    <w:div w:id="897740407">
      <w:bodyDiv w:val="1"/>
      <w:marLeft w:val="0"/>
      <w:marRight w:val="0"/>
      <w:marTop w:val="0"/>
      <w:marBottom w:val="0"/>
      <w:divBdr>
        <w:top w:val="none" w:sz="0" w:space="0" w:color="auto"/>
        <w:left w:val="none" w:sz="0" w:space="0" w:color="auto"/>
        <w:bottom w:val="none" w:sz="0" w:space="0" w:color="auto"/>
        <w:right w:val="none" w:sz="0" w:space="0" w:color="auto"/>
      </w:divBdr>
      <w:divsChild>
        <w:div w:id="402067438">
          <w:marLeft w:val="0"/>
          <w:marRight w:val="0"/>
          <w:marTop w:val="0"/>
          <w:marBottom w:val="0"/>
          <w:divBdr>
            <w:top w:val="none" w:sz="0" w:space="0" w:color="auto"/>
            <w:left w:val="none" w:sz="0" w:space="0" w:color="auto"/>
            <w:bottom w:val="none" w:sz="0" w:space="0" w:color="auto"/>
            <w:right w:val="none" w:sz="0" w:space="0" w:color="auto"/>
          </w:divBdr>
        </w:div>
        <w:div w:id="1259366421">
          <w:marLeft w:val="0"/>
          <w:marRight w:val="0"/>
          <w:marTop w:val="0"/>
          <w:marBottom w:val="0"/>
          <w:divBdr>
            <w:top w:val="none" w:sz="0" w:space="0" w:color="auto"/>
            <w:left w:val="none" w:sz="0" w:space="0" w:color="auto"/>
            <w:bottom w:val="none" w:sz="0" w:space="0" w:color="auto"/>
            <w:right w:val="none" w:sz="0" w:space="0" w:color="auto"/>
          </w:divBdr>
        </w:div>
      </w:divsChild>
    </w:div>
    <w:div w:id="969939902">
      <w:bodyDiv w:val="1"/>
      <w:marLeft w:val="0"/>
      <w:marRight w:val="0"/>
      <w:marTop w:val="0"/>
      <w:marBottom w:val="0"/>
      <w:divBdr>
        <w:top w:val="none" w:sz="0" w:space="0" w:color="auto"/>
        <w:left w:val="none" w:sz="0" w:space="0" w:color="auto"/>
        <w:bottom w:val="none" w:sz="0" w:space="0" w:color="auto"/>
        <w:right w:val="none" w:sz="0" w:space="0" w:color="auto"/>
      </w:divBdr>
    </w:div>
    <w:div w:id="971835028">
      <w:bodyDiv w:val="1"/>
      <w:marLeft w:val="0"/>
      <w:marRight w:val="0"/>
      <w:marTop w:val="0"/>
      <w:marBottom w:val="0"/>
      <w:divBdr>
        <w:top w:val="none" w:sz="0" w:space="0" w:color="auto"/>
        <w:left w:val="none" w:sz="0" w:space="0" w:color="auto"/>
        <w:bottom w:val="none" w:sz="0" w:space="0" w:color="auto"/>
        <w:right w:val="none" w:sz="0" w:space="0" w:color="auto"/>
      </w:divBdr>
    </w:div>
    <w:div w:id="976880613">
      <w:bodyDiv w:val="1"/>
      <w:marLeft w:val="0"/>
      <w:marRight w:val="0"/>
      <w:marTop w:val="0"/>
      <w:marBottom w:val="0"/>
      <w:divBdr>
        <w:top w:val="none" w:sz="0" w:space="0" w:color="auto"/>
        <w:left w:val="none" w:sz="0" w:space="0" w:color="auto"/>
        <w:bottom w:val="none" w:sz="0" w:space="0" w:color="auto"/>
        <w:right w:val="none" w:sz="0" w:space="0" w:color="auto"/>
      </w:divBdr>
    </w:div>
    <w:div w:id="983660944">
      <w:bodyDiv w:val="1"/>
      <w:marLeft w:val="0"/>
      <w:marRight w:val="0"/>
      <w:marTop w:val="0"/>
      <w:marBottom w:val="0"/>
      <w:divBdr>
        <w:top w:val="none" w:sz="0" w:space="0" w:color="auto"/>
        <w:left w:val="none" w:sz="0" w:space="0" w:color="auto"/>
        <w:bottom w:val="none" w:sz="0" w:space="0" w:color="auto"/>
        <w:right w:val="none" w:sz="0" w:space="0" w:color="auto"/>
      </w:divBdr>
    </w:div>
    <w:div w:id="1051268858">
      <w:bodyDiv w:val="1"/>
      <w:marLeft w:val="0"/>
      <w:marRight w:val="0"/>
      <w:marTop w:val="0"/>
      <w:marBottom w:val="0"/>
      <w:divBdr>
        <w:top w:val="none" w:sz="0" w:space="0" w:color="auto"/>
        <w:left w:val="none" w:sz="0" w:space="0" w:color="auto"/>
        <w:bottom w:val="none" w:sz="0" w:space="0" w:color="auto"/>
        <w:right w:val="none" w:sz="0" w:space="0" w:color="auto"/>
      </w:divBdr>
    </w:div>
    <w:div w:id="1081370107">
      <w:bodyDiv w:val="1"/>
      <w:marLeft w:val="0"/>
      <w:marRight w:val="0"/>
      <w:marTop w:val="0"/>
      <w:marBottom w:val="0"/>
      <w:divBdr>
        <w:top w:val="none" w:sz="0" w:space="0" w:color="auto"/>
        <w:left w:val="none" w:sz="0" w:space="0" w:color="auto"/>
        <w:bottom w:val="none" w:sz="0" w:space="0" w:color="auto"/>
        <w:right w:val="none" w:sz="0" w:space="0" w:color="auto"/>
      </w:divBdr>
    </w:div>
    <w:div w:id="1095982201">
      <w:bodyDiv w:val="1"/>
      <w:marLeft w:val="0"/>
      <w:marRight w:val="0"/>
      <w:marTop w:val="0"/>
      <w:marBottom w:val="0"/>
      <w:divBdr>
        <w:top w:val="none" w:sz="0" w:space="0" w:color="auto"/>
        <w:left w:val="none" w:sz="0" w:space="0" w:color="auto"/>
        <w:bottom w:val="none" w:sz="0" w:space="0" w:color="auto"/>
        <w:right w:val="none" w:sz="0" w:space="0" w:color="auto"/>
      </w:divBdr>
    </w:div>
    <w:div w:id="1106999313">
      <w:bodyDiv w:val="1"/>
      <w:marLeft w:val="0"/>
      <w:marRight w:val="0"/>
      <w:marTop w:val="0"/>
      <w:marBottom w:val="0"/>
      <w:divBdr>
        <w:top w:val="none" w:sz="0" w:space="0" w:color="auto"/>
        <w:left w:val="none" w:sz="0" w:space="0" w:color="auto"/>
        <w:bottom w:val="none" w:sz="0" w:space="0" w:color="auto"/>
        <w:right w:val="none" w:sz="0" w:space="0" w:color="auto"/>
      </w:divBdr>
    </w:div>
    <w:div w:id="1112239031">
      <w:bodyDiv w:val="1"/>
      <w:marLeft w:val="0"/>
      <w:marRight w:val="0"/>
      <w:marTop w:val="0"/>
      <w:marBottom w:val="0"/>
      <w:divBdr>
        <w:top w:val="none" w:sz="0" w:space="0" w:color="auto"/>
        <w:left w:val="none" w:sz="0" w:space="0" w:color="auto"/>
        <w:bottom w:val="none" w:sz="0" w:space="0" w:color="auto"/>
        <w:right w:val="none" w:sz="0" w:space="0" w:color="auto"/>
      </w:divBdr>
    </w:div>
    <w:div w:id="1145900111">
      <w:bodyDiv w:val="1"/>
      <w:marLeft w:val="0"/>
      <w:marRight w:val="0"/>
      <w:marTop w:val="0"/>
      <w:marBottom w:val="0"/>
      <w:divBdr>
        <w:top w:val="none" w:sz="0" w:space="0" w:color="auto"/>
        <w:left w:val="none" w:sz="0" w:space="0" w:color="auto"/>
        <w:bottom w:val="none" w:sz="0" w:space="0" w:color="auto"/>
        <w:right w:val="none" w:sz="0" w:space="0" w:color="auto"/>
      </w:divBdr>
    </w:div>
    <w:div w:id="1155418582">
      <w:bodyDiv w:val="1"/>
      <w:marLeft w:val="0"/>
      <w:marRight w:val="0"/>
      <w:marTop w:val="0"/>
      <w:marBottom w:val="0"/>
      <w:divBdr>
        <w:top w:val="none" w:sz="0" w:space="0" w:color="auto"/>
        <w:left w:val="none" w:sz="0" w:space="0" w:color="auto"/>
        <w:bottom w:val="none" w:sz="0" w:space="0" w:color="auto"/>
        <w:right w:val="none" w:sz="0" w:space="0" w:color="auto"/>
      </w:divBdr>
    </w:div>
    <w:div w:id="1182401150">
      <w:bodyDiv w:val="1"/>
      <w:marLeft w:val="0"/>
      <w:marRight w:val="0"/>
      <w:marTop w:val="0"/>
      <w:marBottom w:val="0"/>
      <w:divBdr>
        <w:top w:val="none" w:sz="0" w:space="0" w:color="auto"/>
        <w:left w:val="none" w:sz="0" w:space="0" w:color="auto"/>
        <w:bottom w:val="none" w:sz="0" w:space="0" w:color="auto"/>
        <w:right w:val="none" w:sz="0" w:space="0" w:color="auto"/>
      </w:divBdr>
      <w:divsChild>
        <w:div w:id="394204202">
          <w:marLeft w:val="0"/>
          <w:marRight w:val="0"/>
          <w:marTop w:val="0"/>
          <w:marBottom w:val="0"/>
          <w:divBdr>
            <w:top w:val="none" w:sz="0" w:space="0" w:color="auto"/>
            <w:left w:val="none" w:sz="0" w:space="0" w:color="auto"/>
            <w:bottom w:val="none" w:sz="0" w:space="0" w:color="auto"/>
            <w:right w:val="none" w:sz="0" w:space="0" w:color="auto"/>
          </w:divBdr>
        </w:div>
        <w:div w:id="603348326">
          <w:marLeft w:val="0"/>
          <w:marRight w:val="0"/>
          <w:marTop w:val="0"/>
          <w:marBottom w:val="0"/>
          <w:divBdr>
            <w:top w:val="none" w:sz="0" w:space="0" w:color="auto"/>
            <w:left w:val="none" w:sz="0" w:space="0" w:color="auto"/>
            <w:bottom w:val="none" w:sz="0" w:space="0" w:color="auto"/>
            <w:right w:val="none" w:sz="0" w:space="0" w:color="auto"/>
          </w:divBdr>
        </w:div>
      </w:divsChild>
    </w:div>
    <w:div w:id="1217815829">
      <w:bodyDiv w:val="1"/>
      <w:marLeft w:val="0"/>
      <w:marRight w:val="0"/>
      <w:marTop w:val="0"/>
      <w:marBottom w:val="0"/>
      <w:divBdr>
        <w:top w:val="none" w:sz="0" w:space="0" w:color="auto"/>
        <w:left w:val="none" w:sz="0" w:space="0" w:color="auto"/>
        <w:bottom w:val="none" w:sz="0" w:space="0" w:color="auto"/>
        <w:right w:val="none" w:sz="0" w:space="0" w:color="auto"/>
      </w:divBdr>
    </w:div>
    <w:div w:id="1228153698">
      <w:bodyDiv w:val="1"/>
      <w:marLeft w:val="0"/>
      <w:marRight w:val="0"/>
      <w:marTop w:val="0"/>
      <w:marBottom w:val="0"/>
      <w:divBdr>
        <w:top w:val="none" w:sz="0" w:space="0" w:color="auto"/>
        <w:left w:val="none" w:sz="0" w:space="0" w:color="auto"/>
        <w:bottom w:val="none" w:sz="0" w:space="0" w:color="auto"/>
        <w:right w:val="none" w:sz="0" w:space="0" w:color="auto"/>
      </w:divBdr>
    </w:div>
    <w:div w:id="1272398217">
      <w:bodyDiv w:val="1"/>
      <w:marLeft w:val="0"/>
      <w:marRight w:val="0"/>
      <w:marTop w:val="0"/>
      <w:marBottom w:val="0"/>
      <w:divBdr>
        <w:top w:val="none" w:sz="0" w:space="0" w:color="auto"/>
        <w:left w:val="none" w:sz="0" w:space="0" w:color="auto"/>
        <w:bottom w:val="none" w:sz="0" w:space="0" w:color="auto"/>
        <w:right w:val="none" w:sz="0" w:space="0" w:color="auto"/>
      </w:divBdr>
    </w:div>
    <w:div w:id="1281575104">
      <w:bodyDiv w:val="1"/>
      <w:marLeft w:val="0"/>
      <w:marRight w:val="0"/>
      <w:marTop w:val="0"/>
      <w:marBottom w:val="0"/>
      <w:divBdr>
        <w:top w:val="none" w:sz="0" w:space="0" w:color="auto"/>
        <w:left w:val="none" w:sz="0" w:space="0" w:color="auto"/>
        <w:bottom w:val="none" w:sz="0" w:space="0" w:color="auto"/>
        <w:right w:val="none" w:sz="0" w:space="0" w:color="auto"/>
      </w:divBdr>
    </w:div>
    <w:div w:id="1326399827">
      <w:bodyDiv w:val="1"/>
      <w:marLeft w:val="0"/>
      <w:marRight w:val="0"/>
      <w:marTop w:val="0"/>
      <w:marBottom w:val="0"/>
      <w:divBdr>
        <w:top w:val="none" w:sz="0" w:space="0" w:color="auto"/>
        <w:left w:val="none" w:sz="0" w:space="0" w:color="auto"/>
        <w:bottom w:val="none" w:sz="0" w:space="0" w:color="auto"/>
        <w:right w:val="none" w:sz="0" w:space="0" w:color="auto"/>
      </w:divBdr>
    </w:div>
    <w:div w:id="1400784527">
      <w:bodyDiv w:val="1"/>
      <w:marLeft w:val="0"/>
      <w:marRight w:val="0"/>
      <w:marTop w:val="0"/>
      <w:marBottom w:val="0"/>
      <w:divBdr>
        <w:top w:val="none" w:sz="0" w:space="0" w:color="auto"/>
        <w:left w:val="none" w:sz="0" w:space="0" w:color="auto"/>
        <w:bottom w:val="none" w:sz="0" w:space="0" w:color="auto"/>
        <w:right w:val="none" w:sz="0" w:space="0" w:color="auto"/>
      </w:divBdr>
    </w:div>
    <w:div w:id="1431900595">
      <w:bodyDiv w:val="1"/>
      <w:marLeft w:val="0"/>
      <w:marRight w:val="0"/>
      <w:marTop w:val="0"/>
      <w:marBottom w:val="0"/>
      <w:divBdr>
        <w:top w:val="none" w:sz="0" w:space="0" w:color="auto"/>
        <w:left w:val="none" w:sz="0" w:space="0" w:color="auto"/>
        <w:bottom w:val="none" w:sz="0" w:space="0" w:color="auto"/>
        <w:right w:val="none" w:sz="0" w:space="0" w:color="auto"/>
      </w:divBdr>
      <w:divsChild>
        <w:div w:id="158889701">
          <w:marLeft w:val="0"/>
          <w:marRight w:val="0"/>
          <w:marTop w:val="0"/>
          <w:marBottom w:val="0"/>
          <w:divBdr>
            <w:top w:val="none" w:sz="0" w:space="0" w:color="auto"/>
            <w:left w:val="none" w:sz="0" w:space="0" w:color="auto"/>
            <w:bottom w:val="none" w:sz="0" w:space="0" w:color="auto"/>
            <w:right w:val="none" w:sz="0" w:space="0" w:color="auto"/>
          </w:divBdr>
        </w:div>
        <w:div w:id="206526926">
          <w:marLeft w:val="0"/>
          <w:marRight w:val="0"/>
          <w:marTop w:val="0"/>
          <w:marBottom w:val="0"/>
          <w:divBdr>
            <w:top w:val="none" w:sz="0" w:space="0" w:color="auto"/>
            <w:left w:val="none" w:sz="0" w:space="0" w:color="auto"/>
            <w:bottom w:val="none" w:sz="0" w:space="0" w:color="auto"/>
            <w:right w:val="none" w:sz="0" w:space="0" w:color="auto"/>
          </w:divBdr>
        </w:div>
        <w:div w:id="670522321">
          <w:marLeft w:val="0"/>
          <w:marRight w:val="0"/>
          <w:marTop w:val="0"/>
          <w:marBottom w:val="0"/>
          <w:divBdr>
            <w:top w:val="none" w:sz="0" w:space="0" w:color="auto"/>
            <w:left w:val="none" w:sz="0" w:space="0" w:color="auto"/>
            <w:bottom w:val="none" w:sz="0" w:space="0" w:color="auto"/>
            <w:right w:val="none" w:sz="0" w:space="0" w:color="auto"/>
          </w:divBdr>
        </w:div>
        <w:div w:id="1598831383">
          <w:marLeft w:val="0"/>
          <w:marRight w:val="0"/>
          <w:marTop w:val="0"/>
          <w:marBottom w:val="0"/>
          <w:divBdr>
            <w:top w:val="none" w:sz="0" w:space="0" w:color="auto"/>
            <w:left w:val="none" w:sz="0" w:space="0" w:color="auto"/>
            <w:bottom w:val="none" w:sz="0" w:space="0" w:color="auto"/>
            <w:right w:val="none" w:sz="0" w:space="0" w:color="auto"/>
          </w:divBdr>
        </w:div>
      </w:divsChild>
    </w:div>
    <w:div w:id="1436515772">
      <w:bodyDiv w:val="1"/>
      <w:marLeft w:val="0"/>
      <w:marRight w:val="0"/>
      <w:marTop w:val="0"/>
      <w:marBottom w:val="0"/>
      <w:divBdr>
        <w:top w:val="none" w:sz="0" w:space="0" w:color="auto"/>
        <w:left w:val="none" w:sz="0" w:space="0" w:color="auto"/>
        <w:bottom w:val="none" w:sz="0" w:space="0" w:color="auto"/>
        <w:right w:val="none" w:sz="0" w:space="0" w:color="auto"/>
      </w:divBdr>
    </w:div>
    <w:div w:id="1440219333">
      <w:bodyDiv w:val="1"/>
      <w:marLeft w:val="0"/>
      <w:marRight w:val="0"/>
      <w:marTop w:val="0"/>
      <w:marBottom w:val="0"/>
      <w:divBdr>
        <w:top w:val="none" w:sz="0" w:space="0" w:color="auto"/>
        <w:left w:val="none" w:sz="0" w:space="0" w:color="auto"/>
        <w:bottom w:val="none" w:sz="0" w:space="0" w:color="auto"/>
        <w:right w:val="none" w:sz="0" w:space="0" w:color="auto"/>
      </w:divBdr>
    </w:div>
    <w:div w:id="1447700422">
      <w:bodyDiv w:val="1"/>
      <w:marLeft w:val="0"/>
      <w:marRight w:val="0"/>
      <w:marTop w:val="0"/>
      <w:marBottom w:val="0"/>
      <w:divBdr>
        <w:top w:val="none" w:sz="0" w:space="0" w:color="auto"/>
        <w:left w:val="none" w:sz="0" w:space="0" w:color="auto"/>
        <w:bottom w:val="none" w:sz="0" w:space="0" w:color="auto"/>
        <w:right w:val="none" w:sz="0" w:space="0" w:color="auto"/>
      </w:divBdr>
    </w:div>
    <w:div w:id="1519276685">
      <w:bodyDiv w:val="1"/>
      <w:marLeft w:val="0"/>
      <w:marRight w:val="0"/>
      <w:marTop w:val="0"/>
      <w:marBottom w:val="0"/>
      <w:divBdr>
        <w:top w:val="none" w:sz="0" w:space="0" w:color="auto"/>
        <w:left w:val="none" w:sz="0" w:space="0" w:color="auto"/>
        <w:bottom w:val="none" w:sz="0" w:space="0" w:color="auto"/>
        <w:right w:val="none" w:sz="0" w:space="0" w:color="auto"/>
      </w:divBdr>
    </w:div>
    <w:div w:id="1522820763">
      <w:bodyDiv w:val="1"/>
      <w:marLeft w:val="0"/>
      <w:marRight w:val="0"/>
      <w:marTop w:val="0"/>
      <w:marBottom w:val="0"/>
      <w:divBdr>
        <w:top w:val="none" w:sz="0" w:space="0" w:color="auto"/>
        <w:left w:val="none" w:sz="0" w:space="0" w:color="auto"/>
        <w:bottom w:val="none" w:sz="0" w:space="0" w:color="auto"/>
        <w:right w:val="none" w:sz="0" w:space="0" w:color="auto"/>
      </w:divBdr>
      <w:divsChild>
        <w:div w:id="728184648">
          <w:marLeft w:val="0"/>
          <w:marRight w:val="0"/>
          <w:marTop w:val="0"/>
          <w:marBottom w:val="0"/>
          <w:divBdr>
            <w:top w:val="none" w:sz="0" w:space="0" w:color="auto"/>
            <w:left w:val="none" w:sz="0" w:space="0" w:color="auto"/>
            <w:bottom w:val="none" w:sz="0" w:space="0" w:color="auto"/>
            <w:right w:val="none" w:sz="0" w:space="0" w:color="auto"/>
          </w:divBdr>
        </w:div>
        <w:div w:id="1777675750">
          <w:marLeft w:val="0"/>
          <w:marRight w:val="0"/>
          <w:marTop w:val="0"/>
          <w:marBottom w:val="0"/>
          <w:divBdr>
            <w:top w:val="none" w:sz="0" w:space="0" w:color="auto"/>
            <w:left w:val="none" w:sz="0" w:space="0" w:color="auto"/>
            <w:bottom w:val="none" w:sz="0" w:space="0" w:color="auto"/>
            <w:right w:val="none" w:sz="0" w:space="0" w:color="auto"/>
          </w:divBdr>
        </w:div>
        <w:div w:id="1790926278">
          <w:marLeft w:val="0"/>
          <w:marRight w:val="0"/>
          <w:marTop w:val="0"/>
          <w:marBottom w:val="0"/>
          <w:divBdr>
            <w:top w:val="none" w:sz="0" w:space="0" w:color="auto"/>
            <w:left w:val="none" w:sz="0" w:space="0" w:color="auto"/>
            <w:bottom w:val="none" w:sz="0" w:space="0" w:color="auto"/>
            <w:right w:val="none" w:sz="0" w:space="0" w:color="auto"/>
          </w:divBdr>
        </w:div>
      </w:divsChild>
    </w:div>
    <w:div w:id="1592201833">
      <w:bodyDiv w:val="1"/>
      <w:marLeft w:val="0"/>
      <w:marRight w:val="0"/>
      <w:marTop w:val="0"/>
      <w:marBottom w:val="0"/>
      <w:divBdr>
        <w:top w:val="none" w:sz="0" w:space="0" w:color="auto"/>
        <w:left w:val="none" w:sz="0" w:space="0" w:color="auto"/>
        <w:bottom w:val="none" w:sz="0" w:space="0" w:color="auto"/>
        <w:right w:val="none" w:sz="0" w:space="0" w:color="auto"/>
      </w:divBdr>
      <w:divsChild>
        <w:div w:id="795953193">
          <w:marLeft w:val="0"/>
          <w:marRight w:val="0"/>
          <w:marTop w:val="0"/>
          <w:marBottom w:val="0"/>
          <w:divBdr>
            <w:top w:val="none" w:sz="0" w:space="0" w:color="auto"/>
            <w:left w:val="none" w:sz="0" w:space="0" w:color="auto"/>
            <w:bottom w:val="none" w:sz="0" w:space="0" w:color="auto"/>
            <w:right w:val="none" w:sz="0" w:space="0" w:color="auto"/>
          </w:divBdr>
          <w:divsChild>
            <w:div w:id="603656011">
              <w:marLeft w:val="0"/>
              <w:marRight w:val="0"/>
              <w:marTop w:val="0"/>
              <w:marBottom w:val="0"/>
              <w:divBdr>
                <w:top w:val="none" w:sz="0" w:space="0" w:color="auto"/>
                <w:left w:val="none" w:sz="0" w:space="0" w:color="auto"/>
                <w:bottom w:val="none" w:sz="0" w:space="0" w:color="auto"/>
                <w:right w:val="none" w:sz="0" w:space="0" w:color="auto"/>
              </w:divBdr>
            </w:div>
          </w:divsChild>
        </w:div>
        <w:div w:id="991329536">
          <w:marLeft w:val="0"/>
          <w:marRight w:val="0"/>
          <w:marTop w:val="0"/>
          <w:marBottom w:val="0"/>
          <w:divBdr>
            <w:top w:val="none" w:sz="0" w:space="0" w:color="auto"/>
            <w:left w:val="none" w:sz="0" w:space="0" w:color="auto"/>
            <w:bottom w:val="none" w:sz="0" w:space="0" w:color="auto"/>
            <w:right w:val="none" w:sz="0" w:space="0" w:color="auto"/>
          </w:divBdr>
          <w:divsChild>
            <w:div w:id="301275833">
              <w:marLeft w:val="0"/>
              <w:marRight w:val="0"/>
              <w:marTop w:val="0"/>
              <w:marBottom w:val="0"/>
              <w:divBdr>
                <w:top w:val="none" w:sz="0" w:space="0" w:color="auto"/>
                <w:left w:val="none" w:sz="0" w:space="0" w:color="auto"/>
                <w:bottom w:val="none" w:sz="0" w:space="0" w:color="auto"/>
                <w:right w:val="none" w:sz="0" w:space="0" w:color="auto"/>
              </w:divBdr>
            </w:div>
            <w:div w:id="322972856">
              <w:marLeft w:val="0"/>
              <w:marRight w:val="0"/>
              <w:marTop w:val="0"/>
              <w:marBottom w:val="0"/>
              <w:divBdr>
                <w:top w:val="none" w:sz="0" w:space="0" w:color="auto"/>
                <w:left w:val="none" w:sz="0" w:space="0" w:color="auto"/>
                <w:bottom w:val="none" w:sz="0" w:space="0" w:color="auto"/>
                <w:right w:val="none" w:sz="0" w:space="0" w:color="auto"/>
              </w:divBdr>
            </w:div>
            <w:div w:id="595361343">
              <w:marLeft w:val="0"/>
              <w:marRight w:val="0"/>
              <w:marTop w:val="0"/>
              <w:marBottom w:val="0"/>
              <w:divBdr>
                <w:top w:val="none" w:sz="0" w:space="0" w:color="auto"/>
                <w:left w:val="none" w:sz="0" w:space="0" w:color="auto"/>
                <w:bottom w:val="none" w:sz="0" w:space="0" w:color="auto"/>
                <w:right w:val="none" w:sz="0" w:space="0" w:color="auto"/>
              </w:divBdr>
            </w:div>
            <w:div w:id="1812019588">
              <w:marLeft w:val="0"/>
              <w:marRight w:val="0"/>
              <w:marTop w:val="0"/>
              <w:marBottom w:val="0"/>
              <w:divBdr>
                <w:top w:val="none" w:sz="0" w:space="0" w:color="auto"/>
                <w:left w:val="none" w:sz="0" w:space="0" w:color="auto"/>
                <w:bottom w:val="none" w:sz="0" w:space="0" w:color="auto"/>
                <w:right w:val="none" w:sz="0" w:space="0" w:color="auto"/>
              </w:divBdr>
            </w:div>
            <w:div w:id="1833444769">
              <w:marLeft w:val="0"/>
              <w:marRight w:val="0"/>
              <w:marTop w:val="0"/>
              <w:marBottom w:val="0"/>
              <w:divBdr>
                <w:top w:val="none" w:sz="0" w:space="0" w:color="auto"/>
                <w:left w:val="none" w:sz="0" w:space="0" w:color="auto"/>
                <w:bottom w:val="none" w:sz="0" w:space="0" w:color="auto"/>
                <w:right w:val="none" w:sz="0" w:space="0" w:color="auto"/>
              </w:divBdr>
            </w:div>
          </w:divsChild>
        </w:div>
        <w:div w:id="1022972233">
          <w:marLeft w:val="0"/>
          <w:marRight w:val="0"/>
          <w:marTop w:val="0"/>
          <w:marBottom w:val="0"/>
          <w:divBdr>
            <w:top w:val="none" w:sz="0" w:space="0" w:color="auto"/>
            <w:left w:val="none" w:sz="0" w:space="0" w:color="auto"/>
            <w:bottom w:val="none" w:sz="0" w:space="0" w:color="auto"/>
            <w:right w:val="none" w:sz="0" w:space="0" w:color="auto"/>
          </w:divBdr>
          <w:divsChild>
            <w:div w:id="1662273633">
              <w:marLeft w:val="0"/>
              <w:marRight w:val="0"/>
              <w:marTop w:val="0"/>
              <w:marBottom w:val="0"/>
              <w:divBdr>
                <w:top w:val="none" w:sz="0" w:space="0" w:color="auto"/>
                <w:left w:val="none" w:sz="0" w:space="0" w:color="auto"/>
                <w:bottom w:val="none" w:sz="0" w:space="0" w:color="auto"/>
                <w:right w:val="none" w:sz="0" w:space="0" w:color="auto"/>
              </w:divBdr>
            </w:div>
          </w:divsChild>
        </w:div>
        <w:div w:id="1195341636">
          <w:marLeft w:val="0"/>
          <w:marRight w:val="0"/>
          <w:marTop w:val="0"/>
          <w:marBottom w:val="0"/>
          <w:divBdr>
            <w:top w:val="none" w:sz="0" w:space="0" w:color="auto"/>
            <w:left w:val="none" w:sz="0" w:space="0" w:color="auto"/>
            <w:bottom w:val="none" w:sz="0" w:space="0" w:color="auto"/>
            <w:right w:val="none" w:sz="0" w:space="0" w:color="auto"/>
          </w:divBdr>
          <w:divsChild>
            <w:div w:id="932397190">
              <w:marLeft w:val="0"/>
              <w:marRight w:val="0"/>
              <w:marTop w:val="0"/>
              <w:marBottom w:val="0"/>
              <w:divBdr>
                <w:top w:val="none" w:sz="0" w:space="0" w:color="auto"/>
                <w:left w:val="none" w:sz="0" w:space="0" w:color="auto"/>
                <w:bottom w:val="none" w:sz="0" w:space="0" w:color="auto"/>
                <w:right w:val="none" w:sz="0" w:space="0" w:color="auto"/>
              </w:divBdr>
            </w:div>
            <w:div w:id="1202980136">
              <w:marLeft w:val="0"/>
              <w:marRight w:val="0"/>
              <w:marTop w:val="0"/>
              <w:marBottom w:val="0"/>
              <w:divBdr>
                <w:top w:val="none" w:sz="0" w:space="0" w:color="auto"/>
                <w:left w:val="none" w:sz="0" w:space="0" w:color="auto"/>
                <w:bottom w:val="none" w:sz="0" w:space="0" w:color="auto"/>
                <w:right w:val="none" w:sz="0" w:space="0" w:color="auto"/>
              </w:divBdr>
            </w:div>
            <w:div w:id="1865361943">
              <w:marLeft w:val="0"/>
              <w:marRight w:val="0"/>
              <w:marTop w:val="0"/>
              <w:marBottom w:val="0"/>
              <w:divBdr>
                <w:top w:val="none" w:sz="0" w:space="0" w:color="auto"/>
                <w:left w:val="none" w:sz="0" w:space="0" w:color="auto"/>
                <w:bottom w:val="none" w:sz="0" w:space="0" w:color="auto"/>
                <w:right w:val="none" w:sz="0" w:space="0" w:color="auto"/>
              </w:divBdr>
            </w:div>
            <w:div w:id="1966691846">
              <w:marLeft w:val="0"/>
              <w:marRight w:val="0"/>
              <w:marTop w:val="0"/>
              <w:marBottom w:val="0"/>
              <w:divBdr>
                <w:top w:val="none" w:sz="0" w:space="0" w:color="auto"/>
                <w:left w:val="none" w:sz="0" w:space="0" w:color="auto"/>
                <w:bottom w:val="none" w:sz="0" w:space="0" w:color="auto"/>
                <w:right w:val="none" w:sz="0" w:space="0" w:color="auto"/>
              </w:divBdr>
            </w:div>
          </w:divsChild>
        </w:div>
        <w:div w:id="1313098827">
          <w:marLeft w:val="0"/>
          <w:marRight w:val="0"/>
          <w:marTop w:val="0"/>
          <w:marBottom w:val="0"/>
          <w:divBdr>
            <w:top w:val="none" w:sz="0" w:space="0" w:color="auto"/>
            <w:left w:val="none" w:sz="0" w:space="0" w:color="auto"/>
            <w:bottom w:val="none" w:sz="0" w:space="0" w:color="auto"/>
            <w:right w:val="none" w:sz="0" w:space="0" w:color="auto"/>
          </w:divBdr>
          <w:divsChild>
            <w:div w:id="474300105">
              <w:marLeft w:val="0"/>
              <w:marRight w:val="0"/>
              <w:marTop w:val="0"/>
              <w:marBottom w:val="0"/>
              <w:divBdr>
                <w:top w:val="none" w:sz="0" w:space="0" w:color="auto"/>
                <w:left w:val="none" w:sz="0" w:space="0" w:color="auto"/>
                <w:bottom w:val="none" w:sz="0" w:space="0" w:color="auto"/>
                <w:right w:val="none" w:sz="0" w:space="0" w:color="auto"/>
              </w:divBdr>
            </w:div>
            <w:div w:id="714230608">
              <w:marLeft w:val="0"/>
              <w:marRight w:val="0"/>
              <w:marTop w:val="0"/>
              <w:marBottom w:val="0"/>
              <w:divBdr>
                <w:top w:val="none" w:sz="0" w:space="0" w:color="auto"/>
                <w:left w:val="none" w:sz="0" w:space="0" w:color="auto"/>
                <w:bottom w:val="none" w:sz="0" w:space="0" w:color="auto"/>
                <w:right w:val="none" w:sz="0" w:space="0" w:color="auto"/>
              </w:divBdr>
            </w:div>
            <w:div w:id="1202591453">
              <w:marLeft w:val="0"/>
              <w:marRight w:val="0"/>
              <w:marTop w:val="0"/>
              <w:marBottom w:val="0"/>
              <w:divBdr>
                <w:top w:val="none" w:sz="0" w:space="0" w:color="auto"/>
                <w:left w:val="none" w:sz="0" w:space="0" w:color="auto"/>
                <w:bottom w:val="none" w:sz="0" w:space="0" w:color="auto"/>
                <w:right w:val="none" w:sz="0" w:space="0" w:color="auto"/>
              </w:divBdr>
            </w:div>
            <w:div w:id="1426531309">
              <w:marLeft w:val="0"/>
              <w:marRight w:val="0"/>
              <w:marTop w:val="0"/>
              <w:marBottom w:val="0"/>
              <w:divBdr>
                <w:top w:val="none" w:sz="0" w:space="0" w:color="auto"/>
                <w:left w:val="none" w:sz="0" w:space="0" w:color="auto"/>
                <w:bottom w:val="none" w:sz="0" w:space="0" w:color="auto"/>
                <w:right w:val="none" w:sz="0" w:space="0" w:color="auto"/>
              </w:divBdr>
            </w:div>
            <w:div w:id="1567371243">
              <w:marLeft w:val="0"/>
              <w:marRight w:val="0"/>
              <w:marTop w:val="0"/>
              <w:marBottom w:val="0"/>
              <w:divBdr>
                <w:top w:val="none" w:sz="0" w:space="0" w:color="auto"/>
                <w:left w:val="none" w:sz="0" w:space="0" w:color="auto"/>
                <w:bottom w:val="none" w:sz="0" w:space="0" w:color="auto"/>
                <w:right w:val="none" w:sz="0" w:space="0" w:color="auto"/>
              </w:divBdr>
            </w:div>
          </w:divsChild>
        </w:div>
        <w:div w:id="1320302291">
          <w:marLeft w:val="0"/>
          <w:marRight w:val="0"/>
          <w:marTop w:val="0"/>
          <w:marBottom w:val="0"/>
          <w:divBdr>
            <w:top w:val="none" w:sz="0" w:space="0" w:color="auto"/>
            <w:left w:val="none" w:sz="0" w:space="0" w:color="auto"/>
            <w:bottom w:val="none" w:sz="0" w:space="0" w:color="auto"/>
            <w:right w:val="none" w:sz="0" w:space="0" w:color="auto"/>
          </w:divBdr>
          <w:divsChild>
            <w:div w:id="361900660">
              <w:marLeft w:val="0"/>
              <w:marRight w:val="0"/>
              <w:marTop w:val="0"/>
              <w:marBottom w:val="0"/>
              <w:divBdr>
                <w:top w:val="none" w:sz="0" w:space="0" w:color="auto"/>
                <w:left w:val="none" w:sz="0" w:space="0" w:color="auto"/>
                <w:bottom w:val="none" w:sz="0" w:space="0" w:color="auto"/>
                <w:right w:val="none" w:sz="0" w:space="0" w:color="auto"/>
              </w:divBdr>
            </w:div>
            <w:div w:id="1010596985">
              <w:marLeft w:val="0"/>
              <w:marRight w:val="0"/>
              <w:marTop w:val="0"/>
              <w:marBottom w:val="0"/>
              <w:divBdr>
                <w:top w:val="none" w:sz="0" w:space="0" w:color="auto"/>
                <w:left w:val="none" w:sz="0" w:space="0" w:color="auto"/>
                <w:bottom w:val="none" w:sz="0" w:space="0" w:color="auto"/>
                <w:right w:val="none" w:sz="0" w:space="0" w:color="auto"/>
              </w:divBdr>
            </w:div>
            <w:div w:id="1387879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896864">
      <w:bodyDiv w:val="1"/>
      <w:marLeft w:val="0"/>
      <w:marRight w:val="0"/>
      <w:marTop w:val="0"/>
      <w:marBottom w:val="0"/>
      <w:divBdr>
        <w:top w:val="none" w:sz="0" w:space="0" w:color="auto"/>
        <w:left w:val="none" w:sz="0" w:space="0" w:color="auto"/>
        <w:bottom w:val="none" w:sz="0" w:space="0" w:color="auto"/>
        <w:right w:val="none" w:sz="0" w:space="0" w:color="auto"/>
      </w:divBdr>
    </w:div>
    <w:div w:id="1614358626">
      <w:bodyDiv w:val="1"/>
      <w:marLeft w:val="0"/>
      <w:marRight w:val="0"/>
      <w:marTop w:val="0"/>
      <w:marBottom w:val="0"/>
      <w:divBdr>
        <w:top w:val="none" w:sz="0" w:space="0" w:color="auto"/>
        <w:left w:val="none" w:sz="0" w:space="0" w:color="auto"/>
        <w:bottom w:val="none" w:sz="0" w:space="0" w:color="auto"/>
        <w:right w:val="none" w:sz="0" w:space="0" w:color="auto"/>
      </w:divBdr>
      <w:divsChild>
        <w:div w:id="1365595705">
          <w:marLeft w:val="0"/>
          <w:marRight w:val="0"/>
          <w:marTop w:val="0"/>
          <w:marBottom w:val="0"/>
          <w:divBdr>
            <w:top w:val="none" w:sz="0" w:space="0" w:color="auto"/>
            <w:left w:val="none" w:sz="0" w:space="0" w:color="auto"/>
            <w:bottom w:val="none" w:sz="0" w:space="0" w:color="auto"/>
            <w:right w:val="none" w:sz="0" w:space="0" w:color="auto"/>
          </w:divBdr>
        </w:div>
        <w:div w:id="1554611234">
          <w:marLeft w:val="0"/>
          <w:marRight w:val="0"/>
          <w:marTop w:val="0"/>
          <w:marBottom w:val="0"/>
          <w:divBdr>
            <w:top w:val="none" w:sz="0" w:space="0" w:color="auto"/>
            <w:left w:val="none" w:sz="0" w:space="0" w:color="auto"/>
            <w:bottom w:val="none" w:sz="0" w:space="0" w:color="auto"/>
            <w:right w:val="none" w:sz="0" w:space="0" w:color="auto"/>
          </w:divBdr>
        </w:div>
      </w:divsChild>
    </w:div>
    <w:div w:id="1664240900">
      <w:bodyDiv w:val="1"/>
      <w:marLeft w:val="0"/>
      <w:marRight w:val="0"/>
      <w:marTop w:val="0"/>
      <w:marBottom w:val="0"/>
      <w:divBdr>
        <w:top w:val="none" w:sz="0" w:space="0" w:color="auto"/>
        <w:left w:val="none" w:sz="0" w:space="0" w:color="auto"/>
        <w:bottom w:val="none" w:sz="0" w:space="0" w:color="auto"/>
        <w:right w:val="none" w:sz="0" w:space="0" w:color="auto"/>
      </w:divBdr>
      <w:divsChild>
        <w:div w:id="360866348">
          <w:marLeft w:val="0"/>
          <w:marRight w:val="0"/>
          <w:marTop w:val="0"/>
          <w:marBottom w:val="0"/>
          <w:divBdr>
            <w:top w:val="none" w:sz="0" w:space="0" w:color="auto"/>
            <w:left w:val="none" w:sz="0" w:space="0" w:color="auto"/>
            <w:bottom w:val="none" w:sz="0" w:space="0" w:color="auto"/>
            <w:right w:val="none" w:sz="0" w:space="0" w:color="auto"/>
          </w:divBdr>
        </w:div>
        <w:div w:id="550045177">
          <w:marLeft w:val="0"/>
          <w:marRight w:val="0"/>
          <w:marTop w:val="0"/>
          <w:marBottom w:val="0"/>
          <w:divBdr>
            <w:top w:val="none" w:sz="0" w:space="0" w:color="auto"/>
            <w:left w:val="none" w:sz="0" w:space="0" w:color="auto"/>
            <w:bottom w:val="none" w:sz="0" w:space="0" w:color="auto"/>
            <w:right w:val="none" w:sz="0" w:space="0" w:color="auto"/>
          </w:divBdr>
        </w:div>
        <w:div w:id="810636869">
          <w:marLeft w:val="0"/>
          <w:marRight w:val="0"/>
          <w:marTop w:val="0"/>
          <w:marBottom w:val="0"/>
          <w:divBdr>
            <w:top w:val="none" w:sz="0" w:space="0" w:color="auto"/>
            <w:left w:val="none" w:sz="0" w:space="0" w:color="auto"/>
            <w:bottom w:val="none" w:sz="0" w:space="0" w:color="auto"/>
            <w:right w:val="none" w:sz="0" w:space="0" w:color="auto"/>
          </w:divBdr>
        </w:div>
        <w:div w:id="890727236">
          <w:marLeft w:val="0"/>
          <w:marRight w:val="0"/>
          <w:marTop w:val="0"/>
          <w:marBottom w:val="0"/>
          <w:divBdr>
            <w:top w:val="none" w:sz="0" w:space="0" w:color="auto"/>
            <w:left w:val="none" w:sz="0" w:space="0" w:color="auto"/>
            <w:bottom w:val="none" w:sz="0" w:space="0" w:color="auto"/>
            <w:right w:val="none" w:sz="0" w:space="0" w:color="auto"/>
          </w:divBdr>
        </w:div>
        <w:div w:id="1119757018">
          <w:marLeft w:val="0"/>
          <w:marRight w:val="0"/>
          <w:marTop w:val="0"/>
          <w:marBottom w:val="0"/>
          <w:divBdr>
            <w:top w:val="none" w:sz="0" w:space="0" w:color="auto"/>
            <w:left w:val="none" w:sz="0" w:space="0" w:color="auto"/>
            <w:bottom w:val="none" w:sz="0" w:space="0" w:color="auto"/>
            <w:right w:val="none" w:sz="0" w:space="0" w:color="auto"/>
          </w:divBdr>
        </w:div>
        <w:div w:id="1129858954">
          <w:marLeft w:val="0"/>
          <w:marRight w:val="0"/>
          <w:marTop w:val="0"/>
          <w:marBottom w:val="0"/>
          <w:divBdr>
            <w:top w:val="none" w:sz="0" w:space="0" w:color="auto"/>
            <w:left w:val="none" w:sz="0" w:space="0" w:color="auto"/>
            <w:bottom w:val="none" w:sz="0" w:space="0" w:color="auto"/>
            <w:right w:val="none" w:sz="0" w:space="0" w:color="auto"/>
          </w:divBdr>
        </w:div>
        <w:div w:id="1225795695">
          <w:marLeft w:val="0"/>
          <w:marRight w:val="0"/>
          <w:marTop w:val="0"/>
          <w:marBottom w:val="0"/>
          <w:divBdr>
            <w:top w:val="none" w:sz="0" w:space="0" w:color="auto"/>
            <w:left w:val="none" w:sz="0" w:space="0" w:color="auto"/>
            <w:bottom w:val="none" w:sz="0" w:space="0" w:color="auto"/>
            <w:right w:val="none" w:sz="0" w:space="0" w:color="auto"/>
          </w:divBdr>
        </w:div>
        <w:div w:id="1229150850">
          <w:marLeft w:val="0"/>
          <w:marRight w:val="0"/>
          <w:marTop w:val="0"/>
          <w:marBottom w:val="0"/>
          <w:divBdr>
            <w:top w:val="none" w:sz="0" w:space="0" w:color="auto"/>
            <w:left w:val="none" w:sz="0" w:space="0" w:color="auto"/>
            <w:bottom w:val="none" w:sz="0" w:space="0" w:color="auto"/>
            <w:right w:val="none" w:sz="0" w:space="0" w:color="auto"/>
          </w:divBdr>
        </w:div>
        <w:div w:id="1257400660">
          <w:marLeft w:val="0"/>
          <w:marRight w:val="0"/>
          <w:marTop w:val="0"/>
          <w:marBottom w:val="0"/>
          <w:divBdr>
            <w:top w:val="none" w:sz="0" w:space="0" w:color="auto"/>
            <w:left w:val="none" w:sz="0" w:space="0" w:color="auto"/>
            <w:bottom w:val="none" w:sz="0" w:space="0" w:color="auto"/>
            <w:right w:val="none" w:sz="0" w:space="0" w:color="auto"/>
          </w:divBdr>
        </w:div>
        <w:div w:id="1265770690">
          <w:marLeft w:val="0"/>
          <w:marRight w:val="0"/>
          <w:marTop w:val="0"/>
          <w:marBottom w:val="0"/>
          <w:divBdr>
            <w:top w:val="none" w:sz="0" w:space="0" w:color="auto"/>
            <w:left w:val="none" w:sz="0" w:space="0" w:color="auto"/>
            <w:bottom w:val="none" w:sz="0" w:space="0" w:color="auto"/>
            <w:right w:val="none" w:sz="0" w:space="0" w:color="auto"/>
          </w:divBdr>
        </w:div>
        <w:div w:id="1507672530">
          <w:marLeft w:val="0"/>
          <w:marRight w:val="0"/>
          <w:marTop w:val="0"/>
          <w:marBottom w:val="0"/>
          <w:divBdr>
            <w:top w:val="none" w:sz="0" w:space="0" w:color="auto"/>
            <w:left w:val="none" w:sz="0" w:space="0" w:color="auto"/>
            <w:bottom w:val="none" w:sz="0" w:space="0" w:color="auto"/>
            <w:right w:val="none" w:sz="0" w:space="0" w:color="auto"/>
          </w:divBdr>
        </w:div>
        <w:div w:id="1971668014">
          <w:marLeft w:val="0"/>
          <w:marRight w:val="0"/>
          <w:marTop w:val="0"/>
          <w:marBottom w:val="0"/>
          <w:divBdr>
            <w:top w:val="none" w:sz="0" w:space="0" w:color="auto"/>
            <w:left w:val="none" w:sz="0" w:space="0" w:color="auto"/>
            <w:bottom w:val="none" w:sz="0" w:space="0" w:color="auto"/>
            <w:right w:val="none" w:sz="0" w:space="0" w:color="auto"/>
          </w:divBdr>
        </w:div>
        <w:div w:id="2086947587">
          <w:marLeft w:val="0"/>
          <w:marRight w:val="0"/>
          <w:marTop w:val="0"/>
          <w:marBottom w:val="0"/>
          <w:divBdr>
            <w:top w:val="none" w:sz="0" w:space="0" w:color="auto"/>
            <w:left w:val="none" w:sz="0" w:space="0" w:color="auto"/>
            <w:bottom w:val="none" w:sz="0" w:space="0" w:color="auto"/>
            <w:right w:val="none" w:sz="0" w:space="0" w:color="auto"/>
          </w:divBdr>
        </w:div>
      </w:divsChild>
    </w:div>
    <w:div w:id="1715931353">
      <w:bodyDiv w:val="1"/>
      <w:marLeft w:val="0"/>
      <w:marRight w:val="0"/>
      <w:marTop w:val="0"/>
      <w:marBottom w:val="0"/>
      <w:divBdr>
        <w:top w:val="none" w:sz="0" w:space="0" w:color="auto"/>
        <w:left w:val="none" w:sz="0" w:space="0" w:color="auto"/>
        <w:bottom w:val="none" w:sz="0" w:space="0" w:color="auto"/>
        <w:right w:val="none" w:sz="0" w:space="0" w:color="auto"/>
      </w:divBdr>
      <w:divsChild>
        <w:div w:id="709720423">
          <w:marLeft w:val="0"/>
          <w:marRight w:val="0"/>
          <w:marTop w:val="0"/>
          <w:marBottom w:val="0"/>
          <w:divBdr>
            <w:top w:val="none" w:sz="0" w:space="0" w:color="auto"/>
            <w:left w:val="none" w:sz="0" w:space="0" w:color="auto"/>
            <w:bottom w:val="none" w:sz="0" w:space="0" w:color="auto"/>
            <w:right w:val="none" w:sz="0" w:space="0" w:color="auto"/>
          </w:divBdr>
        </w:div>
      </w:divsChild>
    </w:div>
    <w:div w:id="1720204271">
      <w:bodyDiv w:val="1"/>
      <w:marLeft w:val="0"/>
      <w:marRight w:val="0"/>
      <w:marTop w:val="0"/>
      <w:marBottom w:val="0"/>
      <w:divBdr>
        <w:top w:val="none" w:sz="0" w:space="0" w:color="auto"/>
        <w:left w:val="none" w:sz="0" w:space="0" w:color="auto"/>
        <w:bottom w:val="none" w:sz="0" w:space="0" w:color="auto"/>
        <w:right w:val="none" w:sz="0" w:space="0" w:color="auto"/>
      </w:divBdr>
    </w:div>
    <w:div w:id="1734085556">
      <w:bodyDiv w:val="1"/>
      <w:marLeft w:val="0"/>
      <w:marRight w:val="0"/>
      <w:marTop w:val="0"/>
      <w:marBottom w:val="0"/>
      <w:divBdr>
        <w:top w:val="none" w:sz="0" w:space="0" w:color="auto"/>
        <w:left w:val="none" w:sz="0" w:space="0" w:color="auto"/>
        <w:bottom w:val="none" w:sz="0" w:space="0" w:color="auto"/>
        <w:right w:val="none" w:sz="0" w:space="0" w:color="auto"/>
      </w:divBdr>
      <w:divsChild>
        <w:div w:id="837236799">
          <w:marLeft w:val="0"/>
          <w:marRight w:val="0"/>
          <w:marTop w:val="0"/>
          <w:marBottom w:val="0"/>
          <w:divBdr>
            <w:top w:val="none" w:sz="0" w:space="0" w:color="auto"/>
            <w:left w:val="none" w:sz="0" w:space="0" w:color="auto"/>
            <w:bottom w:val="none" w:sz="0" w:space="0" w:color="auto"/>
            <w:right w:val="none" w:sz="0" w:space="0" w:color="auto"/>
          </w:divBdr>
        </w:div>
        <w:div w:id="1613242326">
          <w:marLeft w:val="0"/>
          <w:marRight w:val="0"/>
          <w:marTop w:val="0"/>
          <w:marBottom w:val="0"/>
          <w:divBdr>
            <w:top w:val="none" w:sz="0" w:space="0" w:color="auto"/>
            <w:left w:val="none" w:sz="0" w:space="0" w:color="auto"/>
            <w:bottom w:val="none" w:sz="0" w:space="0" w:color="auto"/>
            <w:right w:val="none" w:sz="0" w:space="0" w:color="auto"/>
          </w:divBdr>
        </w:div>
        <w:div w:id="1725181189">
          <w:marLeft w:val="0"/>
          <w:marRight w:val="0"/>
          <w:marTop w:val="0"/>
          <w:marBottom w:val="0"/>
          <w:divBdr>
            <w:top w:val="none" w:sz="0" w:space="0" w:color="auto"/>
            <w:left w:val="none" w:sz="0" w:space="0" w:color="auto"/>
            <w:bottom w:val="none" w:sz="0" w:space="0" w:color="auto"/>
            <w:right w:val="none" w:sz="0" w:space="0" w:color="auto"/>
          </w:divBdr>
        </w:div>
      </w:divsChild>
    </w:div>
    <w:div w:id="1795905459">
      <w:bodyDiv w:val="1"/>
      <w:marLeft w:val="0"/>
      <w:marRight w:val="0"/>
      <w:marTop w:val="0"/>
      <w:marBottom w:val="0"/>
      <w:divBdr>
        <w:top w:val="none" w:sz="0" w:space="0" w:color="auto"/>
        <w:left w:val="none" w:sz="0" w:space="0" w:color="auto"/>
        <w:bottom w:val="none" w:sz="0" w:space="0" w:color="auto"/>
        <w:right w:val="none" w:sz="0" w:space="0" w:color="auto"/>
      </w:divBdr>
    </w:div>
    <w:div w:id="1796677037">
      <w:bodyDiv w:val="1"/>
      <w:marLeft w:val="0"/>
      <w:marRight w:val="0"/>
      <w:marTop w:val="0"/>
      <w:marBottom w:val="0"/>
      <w:divBdr>
        <w:top w:val="none" w:sz="0" w:space="0" w:color="auto"/>
        <w:left w:val="none" w:sz="0" w:space="0" w:color="auto"/>
        <w:bottom w:val="none" w:sz="0" w:space="0" w:color="auto"/>
        <w:right w:val="none" w:sz="0" w:space="0" w:color="auto"/>
      </w:divBdr>
    </w:div>
    <w:div w:id="1816485533">
      <w:bodyDiv w:val="1"/>
      <w:marLeft w:val="0"/>
      <w:marRight w:val="0"/>
      <w:marTop w:val="0"/>
      <w:marBottom w:val="0"/>
      <w:divBdr>
        <w:top w:val="none" w:sz="0" w:space="0" w:color="auto"/>
        <w:left w:val="none" w:sz="0" w:space="0" w:color="auto"/>
        <w:bottom w:val="none" w:sz="0" w:space="0" w:color="auto"/>
        <w:right w:val="none" w:sz="0" w:space="0" w:color="auto"/>
      </w:divBdr>
      <w:divsChild>
        <w:div w:id="331639592">
          <w:marLeft w:val="0"/>
          <w:marRight w:val="0"/>
          <w:marTop w:val="0"/>
          <w:marBottom w:val="0"/>
          <w:divBdr>
            <w:top w:val="none" w:sz="0" w:space="0" w:color="auto"/>
            <w:left w:val="none" w:sz="0" w:space="0" w:color="auto"/>
            <w:bottom w:val="none" w:sz="0" w:space="0" w:color="auto"/>
            <w:right w:val="none" w:sz="0" w:space="0" w:color="auto"/>
          </w:divBdr>
        </w:div>
      </w:divsChild>
    </w:div>
    <w:div w:id="1867254766">
      <w:bodyDiv w:val="1"/>
      <w:marLeft w:val="0"/>
      <w:marRight w:val="0"/>
      <w:marTop w:val="0"/>
      <w:marBottom w:val="0"/>
      <w:divBdr>
        <w:top w:val="none" w:sz="0" w:space="0" w:color="auto"/>
        <w:left w:val="none" w:sz="0" w:space="0" w:color="auto"/>
        <w:bottom w:val="none" w:sz="0" w:space="0" w:color="auto"/>
        <w:right w:val="none" w:sz="0" w:space="0" w:color="auto"/>
      </w:divBdr>
    </w:div>
    <w:div w:id="1874464105">
      <w:bodyDiv w:val="1"/>
      <w:marLeft w:val="0"/>
      <w:marRight w:val="0"/>
      <w:marTop w:val="0"/>
      <w:marBottom w:val="0"/>
      <w:divBdr>
        <w:top w:val="none" w:sz="0" w:space="0" w:color="auto"/>
        <w:left w:val="none" w:sz="0" w:space="0" w:color="auto"/>
        <w:bottom w:val="none" w:sz="0" w:space="0" w:color="auto"/>
        <w:right w:val="none" w:sz="0" w:space="0" w:color="auto"/>
      </w:divBdr>
      <w:divsChild>
        <w:div w:id="487936829">
          <w:marLeft w:val="0"/>
          <w:marRight w:val="0"/>
          <w:marTop w:val="0"/>
          <w:marBottom w:val="0"/>
          <w:divBdr>
            <w:top w:val="none" w:sz="0" w:space="0" w:color="auto"/>
            <w:left w:val="none" w:sz="0" w:space="0" w:color="auto"/>
            <w:bottom w:val="none" w:sz="0" w:space="0" w:color="auto"/>
            <w:right w:val="none" w:sz="0" w:space="0" w:color="auto"/>
          </w:divBdr>
        </w:div>
        <w:div w:id="1834486677">
          <w:marLeft w:val="0"/>
          <w:marRight w:val="0"/>
          <w:marTop w:val="0"/>
          <w:marBottom w:val="0"/>
          <w:divBdr>
            <w:top w:val="none" w:sz="0" w:space="0" w:color="auto"/>
            <w:left w:val="none" w:sz="0" w:space="0" w:color="auto"/>
            <w:bottom w:val="none" w:sz="0" w:space="0" w:color="auto"/>
            <w:right w:val="none" w:sz="0" w:space="0" w:color="auto"/>
          </w:divBdr>
        </w:div>
      </w:divsChild>
    </w:div>
    <w:div w:id="1902521626">
      <w:bodyDiv w:val="1"/>
      <w:marLeft w:val="0"/>
      <w:marRight w:val="0"/>
      <w:marTop w:val="0"/>
      <w:marBottom w:val="0"/>
      <w:divBdr>
        <w:top w:val="none" w:sz="0" w:space="0" w:color="auto"/>
        <w:left w:val="none" w:sz="0" w:space="0" w:color="auto"/>
        <w:bottom w:val="none" w:sz="0" w:space="0" w:color="auto"/>
        <w:right w:val="none" w:sz="0" w:space="0" w:color="auto"/>
      </w:divBdr>
    </w:div>
    <w:div w:id="1937980386">
      <w:bodyDiv w:val="1"/>
      <w:marLeft w:val="0"/>
      <w:marRight w:val="0"/>
      <w:marTop w:val="0"/>
      <w:marBottom w:val="0"/>
      <w:divBdr>
        <w:top w:val="none" w:sz="0" w:space="0" w:color="auto"/>
        <w:left w:val="none" w:sz="0" w:space="0" w:color="auto"/>
        <w:bottom w:val="none" w:sz="0" w:space="0" w:color="auto"/>
        <w:right w:val="none" w:sz="0" w:space="0" w:color="auto"/>
      </w:divBdr>
    </w:div>
    <w:div w:id="1974676655">
      <w:bodyDiv w:val="1"/>
      <w:marLeft w:val="0"/>
      <w:marRight w:val="0"/>
      <w:marTop w:val="0"/>
      <w:marBottom w:val="0"/>
      <w:divBdr>
        <w:top w:val="none" w:sz="0" w:space="0" w:color="auto"/>
        <w:left w:val="none" w:sz="0" w:space="0" w:color="auto"/>
        <w:bottom w:val="none" w:sz="0" w:space="0" w:color="auto"/>
        <w:right w:val="none" w:sz="0" w:space="0" w:color="auto"/>
      </w:divBdr>
    </w:div>
    <w:div w:id="1979846486">
      <w:bodyDiv w:val="1"/>
      <w:marLeft w:val="0"/>
      <w:marRight w:val="0"/>
      <w:marTop w:val="0"/>
      <w:marBottom w:val="0"/>
      <w:divBdr>
        <w:top w:val="none" w:sz="0" w:space="0" w:color="auto"/>
        <w:left w:val="none" w:sz="0" w:space="0" w:color="auto"/>
        <w:bottom w:val="none" w:sz="0" w:space="0" w:color="auto"/>
        <w:right w:val="none" w:sz="0" w:space="0" w:color="auto"/>
      </w:divBdr>
    </w:div>
    <w:div w:id="1980458284">
      <w:bodyDiv w:val="1"/>
      <w:marLeft w:val="0"/>
      <w:marRight w:val="0"/>
      <w:marTop w:val="0"/>
      <w:marBottom w:val="0"/>
      <w:divBdr>
        <w:top w:val="none" w:sz="0" w:space="0" w:color="auto"/>
        <w:left w:val="none" w:sz="0" w:space="0" w:color="auto"/>
        <w:bottom w:val="none" w:sz="0" w:space="0" w:color="auto"/>
        <w:right w:val="none" w:sz="0" w:space="0" w:color="auto"/>
      </w:divBdr>
    </w:div>
    <w:div w:id="1983390373">
      <w:bodyDiv w:val="1"/>
      <w:marLeft w:val="0"/>
      <w:marRight w:val="0"/>
      <w:marTop w:val="0"/>
      <w:marBottom w:val="0"/>
      <w:divBdr>
        <w:top w:val="none" w:sz="0" w:space="0" w:color="auto"/>
        <w:left w:val="none" w:sz="0" w:space="0" w:color="auto"/>
        <w:bottom w:val="none" w:sz="0" w:space="0" w:color="auto"/>
        <w:right w:val="none" w:sz="0" w:space="0" w:color="auto"/>
      </w:divBdr>
      <w:divsChild>
        <w:div w:id="251474547">
          <w:marLeft w:val="0"/>
          <w:marRight w:val="0"/>
          <w:marTop w:val="0"/>
          <w:marBottom w:val="0"/>
          <w:divBdr>
            <w:top w:val="none" w:sz="0" w:space="0" w:color="auto"/>
            <w:left w:val="none" w:sz="0" w:space="0" w:color="auto"/>
            <w:bottom w:val="none" w:sz="0" w:space="0" w:color="auto"/>
            <w:right w:val="none" w:sz="0" w:space="0" w:color="auto"/>
          </w:divBdr>
        </w:div>
        <w:div w:id="1352031579">
          <w:marLeft w:val="0"/>
          <w:marRight w:val="0"/>
          <w:marTop w:val="0"/>
          <w:marBottom w:val="0"/>
          <w:divBdr>
            <w:top w:val="none" w:sz="0" w:space="0" w:color="auto"/>
            <w:left w:val="none" w:sz="0" w:space="0" w:color="auto"/>
            <w:bottom w:val="none" w:sz="0" w:space="0" w:color="auto"/>
            <w:right w:val="none" w:sz="0" w:space="0" w:color="auto"/>
          </w:divBdr>
        </w:div>
      </w:divsChild>
    </w:div>
    <w:div w:id="2029793683">
      <w:bodyDiv w:val="1"/>
      <w:marLeft w:val="0"/>
      <w:marRight w:val="0"/>
      <w:marTop w:val="0"/>
      <w:marBottom w:val="0"/>
      <w:divBdr>
        <w:top w:val="none" w:sz="0" w:space="0" w:color="auto"/>
        <w:left w:val="none" w:sz="0" w:space="0" w:color="auto"/>
        <w:bottom w:val="none" w:sz="0" w:space="0" w:color="auto"/>
        <w:right w:val="none" w:sz="0" w:space="0" w:color="auto"/>
      </w:divBdr>
    </w:div>
    <w:div w:id="2080250733">
      <w:bodyDiv w:val="1"/>
      <w:marLeft w:val="0"/>
      <w:marRight w:val="0"/>
      <w:marTop w:val="0"/>
      <w:marBottom w:val="0"/>
      <w:divBdr>
        <w:top w:val="none" w:sz="0" w:space="0" w:color="auto"/>
        <w:left w:val="none" w:sz="0" w:space="0" w:color="auto"/>
        <w:bottom w:val="none" w:sz="0" w:space="0" w:color="auto"/>
        <w:right w:val="none" w:sz="0" w:space="0" w:color="auto"/>
      </w:divBdr>
    </w:div>
    <w:div w:id="2143379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footer" Target="footer7.xml"/><Relationship Id="rId10" Type="http://schemas.openxmlformats.org/officeDocument/2006/relationships/endnotes" Target="endnotes.xml"/><Relationship Id="rId19" Type="http://schemas.openxmlformats.org/officeDocument/2006/relationships/hyperlink" Target="https://myintracomm.ec.europa.eu/corp/budget/financial-rules/legal-framework/internal-rules/Documents/2022-5-legislative-financial-statement-annex-en.doc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eader" Target="header4.xml"/></Relationships>
</file>

<file path=word/_rels/footnotes.xml.rels><?xml version="1.0" encoding="UTF-8" standalone="yes"?>
<Relationships xmlns="http://schemas.openxmlformats.org/package/2006/relationships"><Relationship Id="rId1" Type="http://schemas.openxmlformats.org/officeDocument/2006/relationships/hyperlink" Target="https://myintracomm.ec.europa.eu/corp/budget/financial-rules/budget-implementation/Pages/implementation-methods.asp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DA1763E5DCF94383754B6D3E5E6622" ma:contentTypeVersion="4" ma:contentTypeDescription="Create a new document." ma:contentTypeScope="" ma:versionID="beca37eb0ac2e4789d56e03bb45d951a">
  <xs:schema xmlns:xsd="http://www.w3.org/2001/XMLSchema" xmlns:xs="http://www.w3.org/2001/XMLSchema" xmlns:p="http://schemas.microsoft.com/office/2006/metadata/properties" xmlns:ns2="d74c950a-78ac-4838-92ef-a1426a5f274c" targetNamespace="http://schemas.microsoft.com/office/2006/metadata/properties" ma:root="true" ma:fieldsID="3b9c667c491cda3b0cc87a41548c85b5" ns2:_="">
    <xs:import namespace="d74c950a-78ac-4838-92ef-a1426a5f274c"/>
    <xs:element name="properties">
      <xs:complexType>
        <xs:sequence>
          <xs:element name="documentManagement">
            <xs:complexType>
              <xs:all>
                <xs:element ref="ns2:MediaServiceMetadata" minOccurs="0"/>
                <xs:element ref="ns2:MediaServiceFastMetadata" minOccurs="0"/>
                <xs:element ref="ns2:MediaServiceSearchProperties" minOccurs="0"/>
                <xs:element ref="ns2:MediaServiceObjectDetectorVersions" minOccurs="0"/>
              </xs:all>
            </xs:complexType>
          </xs:element>
        </xs:sequence>
      </xs:complexType>
    </xs:element>
  </xs:schema>
  <xs:schema xmlns:xsd="http://www.w3.org/2001/XMLSchema" xmlns:xs="http://www.w3.org/2001/XMLSchema" xmlns:dms="http://schemas.microsoft.com/office/2006/documentManagement/types" xmlns:pc="http://schemas.microsoft.com/office/infopath/2007/PartnerControls" targetNamespace="d74c950a-78ac-4838-92ef-a1426a5f274c" elementFormDefault="qualified">
    <xs:import namespace="http://schemas.microsoft.com/office/2006/documentManagement/types"/>
    <xs:import namespace="http://schemas.microsoft.com/office/infopath/2007/PartnerControls"/>
    <xs:element name="MediaServiceMetadata" ma:index="8" nillable="true" ma:displayName="MediaServiceMetadata" ma:hidden="true" ma:internalName="MediaServiceMetadata" ma:readOnly="true">
      <xs:simpleType>
        <xs:restriction base="dms:Note"/>
      </xs:simpleType>
    </xs:element>
    <xs:element name="MediaServiceFastMetadata" ma:index="9" nillable="true" ma:displayName="MediaServiceFastMetadata" ma:hidden="true" ma:internalName="MediaServiceFastMetadata" ma:readOnly="true">
      <xs:simpleType>
        <xs:restriction base="dms:Note"/>
      </xs:simpleType>
    </xs:element>
    <xs:element name="MediaServiceSearchProperties" ma:index="10" nillable="true" ma:displayName="MediaServiceSearchProperties" ma:hidden="true" ma:internalName="MediaServiceSearchProperties" ma:readOnly="true">
      <xs:simpleType>
        <xs:restriction base="dms:Note"/>
      </xs:simpleType>
    </xs:element>
    <xs:element name="MediaServiceObjectDetectorVersions" ma:index="11" nillable="true" ma:displayName="MediaServiceObjectDetectorVersions" ma:hidden="true" ma:indexed="true" ma:internalName="MediaServiceObjectDetectorVersions" ma:readOnly="true">
      <xs:simpleType>
        <xs:restriction base="dms:Text"/>
      </xs:simpleType>
    </xs:element>
  </xs: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0D1C7F-0D4A-4A3F-95F2-5028AE3EBF0F}">
  <ds:schemaRefs>
    <ds:schemaRef ds:uri="http://schemas.microsoft.com/sharepoint/v3/contenttype/forms"/>
  </ds:schemaRefs>
</ds:datastoreItem>
</file>

<file path=customXml/itemProps2.xml><?xml version="1.0" encoding="utf-8"?>
<ds:datastoreItem xmlns:ds="http://schemas.openxmlformats.org/officeDocument/2006/customXml" ds:itemID="{A5CB2728-06C7-4FA7-BCDD-2AB8A42D8AB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E9E492A-0F01-4492-87FF-B237C4ED77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4c950a-78ac-4838-92ef-a1426a5f27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0CC5C9F-6CE9-463B-B5D1-CA0586FD4F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0</TotalTime>
  <Pages>19</Pages>
  <Words>37163</Words>
  <Characters>211831</Characters>
  <Application>Microsoft Office Word</Application>
  <DocSecurity>0</DocSecurity>
  <Lines>1765</Lines>
  <Paragraphs>496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248498</CharactersWithSpaces>
  <SharedDoc>false</SharedDoc>
  <HLinks>
    <vt:vector size="30" baseType="variant">
      <vt:variant>
        <vt:i4>6815844</vt:i4>
      </vt:variant>
      <vt:variant>
        <vt:i4>9</vt:i4>
      </vt:variant>
      <vt:variant>
        <vt:i4>0</vt:i4>
      </vt:variant>
      <vt:variant>
        <vt:i4>5</vt:i4>
      </vt:variant>
      <vt:variant>
        <vt:lpwstr>https://myintracomm.ec.europa.eu/corp/budget/financial-rules/legal-framework/internal-rules/Documents/2022-5-legislative-financial-statement-annex-en.docx</vt:lpwstr>
      </vt:variant>
      <vt:variant>
        <vt:lpwstr/>
      </vt:variant>
      <vt:variant>
        <vt:i4>6160420</vt:i4>
      </vt:variant>
      <vt:variant>
        <vt:i4>6</vt:i4>
      </vt:variant>
      <vt:variant>
        <vt:i4>0</vt:i4>
      </vt:variant>
      <vt:variant>
        <vt:i4>5</vt:i4>
      </vt:variant>
      <vt:variant>
        <vt:lpwstr>https://eur-lex.europa.eu/eli/reg/2023/1525/oj</vt:lpwstr>
      </vt:variant>
      <vt:variant>
        <vt:lpwstr>ntr27-L_2023185EN.01000701-E0027</vt:lpwstr>
      </vt:variant>
      <vt:variant>
        <vt:i4>6225957</vt:i4>
      </vt:variant>
      <vt:variant>
        <vt:i4>3</vt:i4>
      </vt:variant>
      <vt:variant>
        <vt:i4>0</vt:i4>
      </vt:variant>
      <vt:variant>
        <vt:i4>5</vt:i4>
      </vt:variant>
      <vt:variant>
        <vt:lpwstr>https://eur-lex.europa.eu/eli/reg/2023/1525/oj</vt:lpwstr>
      </vt:variant>
      <vt:variant>
        <vt:lpwstr>ntr26-L_2023185EN.01000701-E0026</vt:lpwstr>
      </vt:variant>
      <vt:variant>
        <vt:i4>6029350</vt:i4>
      </vt:variant>
      <vt:variant>
        <vt:i4>0</vt:i4>
      </vt:variant>
      <vt:variant>
        <vt:i4>0</vt:i4>
      </vt:variant>
      <vt:variant>
        <vt:i4>5</vt:i4>
      </vt:variant>
      <vt:variant>
        <vt:lpwstr>https://eur-lex.europa.eu/eli/reg/2023/1525/oj</vt:lpwstr>
      </vt:variant>
      <vt:variant>
        <vt:lpwstr>ntr25-L_2023185EN.01000701-E0025</vt:lpwstr>
      </vt:variant>
      <vt:variant>
        <vt:i4>262150</vt:i4>
      </vt:variant>
      <vt:variant>
        <vt:i4>0</vt:i4>
      </vt:variant>
      <vt:variant>
        <vt:i4>0</vt:i4>
      </vt:variant>
      <vt:variant>
        <vt:i4>5</vt:i4>
      </vt:variant>
      <vt:variant>
        <vt:lpwstr>https://myintracomm.ec.europa.eu/corp/budget/financial-rules/budget-implementation/Pages/implementation-methods.aspx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2024-03-05T06:37:00Z</dcterms:created>
  <dcterms:modified xsi:type="dcterms:W3CDTF">2024-03-05T07:04:00Z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 edited using">
    <vt:lpwstr>LW 9.0, Build 20230317</vt:lpwstr>
  </property>
  <property fmtid="{D5CDD505-2E9C-101B-9397-08002B2CF9AE}" pid="3" name="Category">
    <vt:lpwstr>COM/PL/ORG</vt:lpwstr>
  </property>
  <property fmtid="{D5CDD505-2E9C-101B-9397-08002B2CF9AE}" pid="4" name="Level of sensitivity">
    <vt:lpwstr>Standard treatment</vt:lpwstr>
  </property>
  <property fmtid="{D5CDD505-2E9C-101B-9397-08002B2CF9AE}" pid="5" name="Part">
    <vt:lpwstr>1</vt:lpwstr>
  </property>
  <property fmtid="{D5CDD505-2E9C-101B-9397-08002B2CF9AE}" pid="6" name="Total parts">
    <vt:lpwstr>1</vt:lpwstr>
  </property>
  <property fmtid="{D5CDD505-2E9C-101B-9397-08002B2CF9AE}" pid="7" name="LWTemplateID">
    <vt:lpwstr>SJ-023</vt:lpwstr>
  </property>
  <property fmtid="{D5CDD505-2E9C-101B-9397-08002B2CF9AE}" pid="8" name="DQCStatus">
    <vt:lpwstr>Yellow (DQC version 03)</vt:lpwstr>
  </property>
  <property fmtid="{D5CDD505-2E9C-101B-9397-08002B2CF9AE}" pid="9" name="ContentTypeId">
    <vt:lpwstr>0x010100F3DA1763E5DCF94383754B6D3E5E6622</vt:lpwstr>
  </property>
  <property fmtid="{D5CDD505-2E9C-101B-9397-08002B2CF9AE}" pid="10" name="EurolookExport_To">
    <vt:lpwstr>SECEM</vt:lpwstr>
  </property>
  <property fmtid="{D5CDD505-2E9C-101B-9397-08002B2CF9AE}" pid="11" name="EurolookExport_Date">
    <vt:lpwstr>2024-03-04T15:33:44.2575431Z</vt:lpwstr>
  </property>
  <property fmtid="{D5CDD505-2E9C-101B-9397-08002B2CF9AE}" pid="12" name="EurolookExport_RemovedLabel">
    <vt:lpwstr>Commission Use</vt:lpwstr>
  </property>
  <property fmtid="{D5CDD505-2E9C-101B-9397-08002B2CF9AE}" pid="13" name="MSIP_Label_6bd9ddd1-4d20-43f6-abfa-fc3c07406f94_Enabled">
    <vt:lpwstr>true</vt:lpwstr>
  </property>
  <property fmtid="{D5CDD505-2E9C-101B-9397-08002B2CF9AE}" pid="14" name="MSIP_Label_6bd9ddd1-4d20-43f6-abfa-fc3c07406f94_SetDate">
    <vt:lpwstr>2024-03-04T16:54:02Z</vt:lpwstr>
  </property>
  <property fmtid="{D5CDD505-2E9C-101B-9397-08002B2CF9AE}" pid="15" name="MSIP_Label_6bd9ddd1-4d20-43f6-abfa-fc3c07406f94_Method">
    <vt:lpwstr>Standard</vt:lpwstr>
  </property>
  <property fmtid="{D5CDD505-2E9C-101B-9397-08002B2CF9AE}" pid="16" name="MSIP_Label_6bd9ddd1-4d20-43f6-abfa-fc3c07406f94_Name">
    <vt:lpwstr>Commission Use</vt:lpwstr>
  </property>
  <property fmtid="{D5CDD505-2E9C-101B-9397-08002B2CF9AE}" pid="17" name="MSIP_Label_6bd9ddd1-4d20-43f6-abfa-fc3c07406f94_SiteId">
    <vt:lpwstr>b24c8b06-522c-46fe-9080-70926f8dddb1</vt:lpwstr>
  </property>
  <property fmtid="{D5CDD505-2E9C-101B-9397-08002B2CF9AE}" pid="18" name="MSIP_Label_6bd9ddd1-4d20-43f6-abfa-fc3c07406f94_ActionId">
    <vt:lpwstr>a50f39dd-cbc9-4f20-aba0-b8a43d1f5b1a</vt:lpwstr>
  </property>
  <property fmtid="{D5CDD505-2E9C-101B-9397-08002B2CF9AE}" pid="19" name="MSIP_Label_6bd9ddd1-4d20-43f6-abfa-fc3c07406f94_ContentBits">
    <vt:lpwstr>0</vt:lpwstr>
  </property>
</Properties>
</file>