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D82C0" w14:textId="54E98337" w:rsidR="00A72AB6" w:rsidRDefault="00D46BAC" w:rsidP="00D46BAC">
      <w:pPr>
        <w:pStyle w:val="Pagedecouverture"/>
        <w:rPr>
          <w:noProof/>
        </w:rPr>
      </w:pPr>
      <w:bookmarkStart w:id="0" w:name="LW_BM_COVERPAGE"/>
      <w:r>
        <w:rPr>
          <w:noProof/>
        </w:rPr>
        <w:pict w14:anchorId="7551B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60273BA-7BBA-4812-A7A7-92D9E3929550" style="width:455.25pt;height:365.25pt">
            <v:imagedata r:id="rId8" o:title=""/>
          </v:shape>
        </w:pict>
      </w:r>
    </w:p>
    <w:bookmarkEnd w:id="0"/>
    <w:p w14:paraId="1748D571" w14:textId="77777777" w:rsidR="00AF17D3" w:rsidRDefault="00AF17D3" w:rsidP="00AF17D3">
      <w:pPr>
        <w:rPr>
          <w:noProof/>
        </w:rPr>
        <w:sectPr w:rsidR="00AF17D3" w:rsidSect="00D46BAC">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B703E73" w14:textId="2CBAD144" w:rsidR="00A72AB6" w:rsidRPr="004F3770" w:rsidRDefault="00A1103D" w:rsidP="00A72AB6">
      <w:pPr>
        <w:pStyle w:val="Heading1"/>
        <w:rPr>
          <w:noProof/>
        </w:rPr>
      </w:pPr>
      <w:bookmarkStart w:id="1" w:name="_Toc148458548"/>
      <w:bookmarkStart w:id="2" w:name="_GoBack"/>
      <w:bookmarkEnd w:id="2"/>
      <w:r>
        <w:rPr>
          <w:noProof/>
        </w:rPr>
        <w:lastRenderedPageBreak/>
        <w:t xml:space="preserve">UVOD </w:t>
      </w:r>
      <w:bookmarkEnd w:id="1"/>
    </w:p>
    <w:p w14:paraId="7E6930B4" w14:textId="6752B1EB" w:rsidR="000C6F69" w:rsidRPr="000C6F69" w:rsidRDefault="00A72AB6" w:rsidP="00B05256">
      <w:pPr>
        <w:pStyle w:val="Text1"/>
        <w:ind w:left="0"/>
        <w:rPr>
          <w:bCs/>
          <w:noProof/>
        </w:rPr>
      </w:pPr>
      <w:r>
        <w:rPr>
          <w:noProof/>
        </w:rPr>
        <w:t xml:space="preserve">Živimo u </w:t>
      </w:r>
      <w:r>
        <w:rPr>
          <w:b/>
          <w:noProof/>
        </w:rPr>
        <w:t>vremenu u kojem se upravljanje rizicima od katastrofa mijenja</w:t>
      </w:r>
      <w:r>
        <w:rPr>
          <w:noProof/>
        </w:rPr>
        <w:t xml:space="preserve">. Posljednjih nekoliko godina u svijetu su zabilježene rekordne temperature i brojne razorne katastrofe. Europski kontinent i njegovo susjedstvo pogodili su katastrofalni toplinski valovi, šumski požari, suše i poplave. Zbog neočekivano brzih </w:t>
      </w:r>
      <w:r>
        <w:rPr>
          <w:b/>
          <w:noProof/>
        </w:rPr>
        <w:t xml:space="preserve">klimatskih promjena </w:t>
      </w:r>
      <w:r>
        <w:rPr>
          <w:noProof/>
        </w:rPr>
        <w:t xml:space="preserve">vrlo je vjerojatno da će u budućnosti ekstremne vremenske prilike sve češće biti prijetnja životima i egzistenciji građana. Osim toga, </w:t>
      </w:r>
      <w:r>
        <w:rPr>
          <w:b/>
          <w:noProof/>
        </w:rPr>
        <w:t>sve gora</w:t>
      </w:r>
      <w:r>
        <w:rPr>
          <w:noProof/>
        </w:rPr>
        <w:t xml:space="preserve"> </w:t>
      </w:r>
      <w:r>
        <w:rPr>
          <w:b/>
          <w:noProof/>
        </w:rPr>
        <w:t>globalna sigurnosna situacija, popraćena drugim prijetnjama i šokovima</w:t>
      </w:r>
      <w:r>
        <w:rPr>
          <w:noProof/>
        </w:rPr>
        <w:t>, što uključuje prijetnje zdravlju i hibridne prijetnje, potrese i poremećaje u kritičnoj infrastrukturi, predstavlja sve veći rizik za europsko društvo.</w:t>
      </w:r>
    </w:p>
    <w:p w14:paraId="22AA58F1" w14:textId="0E7C671F" w:rsidR="00222DBE" w:rsidRDefault="0004642F" w:rsidP="00B05256">
      <w:pPr>
        <w:pStyle w:val="Text1"/>
        <w:ind w:left="0"/>
        <w:rPr>
          <w:noProof/>
        </w:rPr>
      </w:pPr>
      <w:bookmarkStart w:id="3" w:name="_Hlk150509500"/>
      <w:r>
        <w:rPr>
          <w:noProof/>
        </w:rPr>
        <w:t xml:space="preserve">Člankom 196. Ugovora o funkcioniranju Europske unije (EU) utvrđeno je da Unija mora poticati suradnju među državama članicama kako bi poboljšala učinkovitost sustavâ za sprečavanje prirodnih nepogoda i nesreća izazvanih ljudskim djelovanjem i zaštitu od njih. Djelovanjem Unije na taj se način podupiru i dopunjuju djelovanja na nacionalnoj razini u području prevencije, pripravnosti i odgovora. EU je 2001. uspostavio mehanizam Zajednice za civilnu zaštitu, koji je bio usmjeren na suradnju među državama članicama EU-a u odgovoru na katastrofe. Europska komisija otad koordinira uzajamnu potporu među državama članicama. Odluka o </w:t>
      </w:r>
      <w:r>
        <w:rPr>
          <w:b/>
          <w:noProof/>
        </w:rPr>
        <w:t>Mehanizmu Unije za civilnu zaštitu</w:t>
      </w:r>
      <w:r w:rsidR="00423F3D" w:rsidRPr="006F6FD5">
        <w:rPr>
          <w:rStyle w:val="FootnoteReference"/>
          <w:noProof/>
          <w:szCs w:val="24"/>
          <w:lang w:val="en-IE"/>
        </w:rPr>
        <w:footnoteReference w:id="2"/>
      </w:r>
      <w:r>
        <w:rPr>
          <w:noProof/>
        </w:rPr>
        <w:t xml:space="preserve"> donesena je 2013. radi konsolidacije tog djelovanja i jačanja pripravnosti za hitne situacije na svim razinama. Kad su kapaciteti jedne zemlje preopterećeni krizom bilo koje vrste, taj mehanizam funkcionira kao operativna okosnica za zajednički europski odgovor unutar EU-a (uključujući najudaljenije regije) i izvan njega. Koordinacijski centar za odgovor na hitne situacije (ERCC) 24 sata dnevno sedam dana u tjednu omogućuje provedbu velikih i vrlo različitih operacija odgovora na hitne situacije (kao što su šumski požari, poplave, pandemije, raseljavanje stanovništva), ponekad i istodobno. </w:t>
      </w:r>
    </w:p>
    <w:p w14:paraId="2A474106" w14:textId="12AB1021" w:rsidR="001E36FA" w:rsidRPr="000A3DAE" w:rsidRDefault="00533F03" w:rsidP="00B05256">
      <w:pPr>
        <w:pStyle w:val="Text1"/>
        <w:ind w:left="0"/>
        <w:rPr>
          <w:noProof/>
          <w:szCs w:val="24"/>
        </w:rPr>
      </w:pPr>
      <w:r>
        <w:rPr>
          <w:noProof/>
        </w:rPr>
        <w:t>Kako je utvrđeno u Komunikaciji Komisije „Upravljanje klimatskim rizicima – zaštita ljudi i blagostanja”</w:t>
      </w:r>
      <w:r>
        <w:rPr>
          <w:rStyle w:val="FootnoteReference"/>
          <w:noProof/>
          <w:szCs w:val="24"/>
        </w:rPr>
        <w:footnoteReference w:id="3"/>
      </w:r>
      <w:r>
        <w:rPr>
          <w:noProof/>
        </w:rPr>
        <w:t>, rizici od klimatskih promjena i dalje će se povećavati u narednim desetljećima, prosječne globalne temperature već su gotovo 1,5 °C više u odnosu na predindustrijsku razinu, a Europa se zagrijava dvostruko brže od globalne stope. Potreba za daljnjim jačanjem cjelokupnog ciklusa upravljanja rizicima od katastrofa hitnija je nego ikad prije – od procjene rizika i anticipatornih mjera, preko prevencije i pripravnosti, do odgovora i oporavka.</w:t>
      </w:r>
    </w:p>
    <w:p w14:paraId="5FD58D9F" w14:textId="7B98F25A" w:rsidR="00060472" w:rsidRDefault="00A72AB6" w:rsidP="00B05256">
      <w:pPr>
        <w:pStyle w:val="Text1"/>
        <w:ind w:left="0"/>
        <w:rPr>
          <w:noProof/>
        </w:rPr>
      </w:pPr>
      <w:r>
        <w:rPr>
          <w:noProof/>
        </w:rPr>
        <w:t xml:space="preserve">Potražnja za pomoći u okviru Mehanizma Unije za civilnu zaštitu drastično se povećala u proteklom desetljeću. </w:t>
      </w:r>
      <w:bookmarkEnd w:id="3"/>
    </w:p>
    <w:p w14:paraId="723DD064" w14:textId="0EED4B4E" w:rsidR="00060472" w:rsidRPr="00B312F0" w:rsidRDefault="008E0288" w:rsidP="0086220A">
      <w:pPr>
        <w:pStyle w:val="Figurelabel-numbered"/>
        <w:numPr>
          <w:ilvl w:val="0"/>
          <w:numId w:val="0"/>
        </w:numPr>
        <w:tabs>
          <w:tab w:val="left" w:pos="0"/>
        </w:tabs>
        <w:spacing w:line="240" w:lineRule="auto"/>
        <w:rPr>
          <w:noProof/>
          <w:sz w:val="22"/>
          <w:szCs w:val="22"/>
        </w:rPr>
      </w:pPr>
      <w:r w:rsidRPr="008E0288">
        <w:rPr>
          <w:noProof/>
          <w:lang w:val="en-GB" w:eastAsia="en-GB"/>
        </w:rPr>
        <w:lastRenderedPageBreak/>
        <w:drawing>
          <wp:inline distT="0" distB="0" distL="0" distR="0" wp14:anchorId="79CE0799" wp14:editId="3E12335E">
            <wp:extent cx="5616000" cy="269038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6000" cy="2690381"/>
                    </a:xfrm>
                    <a:prstGeom prst="rect">
                      <a:avLst/>
                    </a:prstGeom>
                    <a:noFill/>
                    <a:ln>
                      <a:noFill/>
                    </a:ln>
                  </pic:spPr>
                </pic:pic>
              </a:graphicData>
            </a:graphic>
          </wp:inline>
        </w:drawing>
      </w:r>
      <w:r w:rsidR="009C1F14">
        <w:rPr>
          <w:noProof/>
        </w:rPr>
        <w:t>Slika 1: Broj zahtjeva za pomoć koje su države članice EU-a i države sudionice podnijele Mehanizmu Unije za civilnu zaštitu kad su nacionalni kapaciteti za odgovor bili preopterećeni. *Ukrajina je 2022. ERCC-u podnijela 126, a 2023. dodatnih 50 zahtjeva za pomoć, nakon što je aktivirala Mehanizam Unije za civilnu zaštitu nedugo prije početka ruske invazije. Izvor: ERCC, siječanj 2024.</w:t>
      </w:r>
    </w:p>
    <w:p w14:paraId="1E864E07" w14:textId="542005B1" w:rsidR="00A72AB6" w:rsidRDefault="000210B1" w:rsidP="00B05256">
      <w:pPr>
        <w:pStyle w:val="Text1"/>
        <w:ind w:left="0"/>
        <w:rPr>
          <w:noProof/>
        </w:rPr>
      </w:pPr>
      <w:r>
        <w:rPr>
          <w:noProof/>
        </w:rPr>
        <w:t xml:space="preserve">Mehanizam isto tako već više od dva desetljeća podupire i dopunjuje rad država članica u području prevencije katastrofa i pripravnosti za njih. S obzirom na </w:t>
      </w:r>
      <w:bookmarkStart w:id="4" w:name="_Hlk148103160"/>
      <w:r>
        <w:rPr>
          <w:noProof/>
        </w:rPr>
        <w:t>sve veće rizike i poteškoće u upravljanju katastrofama</w:t>
      </w:r>
      <w:bookmarkEnd w:id="4"/>
      <w:r>
        <w:rPr>
          <w:noProof/>
        </w:rPr>
        <w:t xml:space="preserve">, nužno je da se uspostavi učinkovit i koherentan pristup </w:t>
      </w:r>
      <w:r>
        <w:rPr>
          <w:b/>
          <w:noProof/>
        </w:rPr>
        <w:t>upravljanju rizicima od katastrofa</w:t>
      </w:r>
      <w:r>
        <w:rPr>
          <w:noProof/>
        </w:rPr>
        <w:t xml:space="preserve"> s odgovarajućim naglaskom na </w:t>
      </w:r>
      <w:r>
        <w:rPr>
          <w:b/>
          <w:noProof/>
        </w:rPr>
        <w:t>prevenciji</w:t>
      </w:r>
      <w:r>
        <w:rPr>
          <w:noProof/>
        </w:rPr>
        <w:t>, kako je utvrđeno u članku 6. Odluke o Mehanizmu Unije za civilnu zaštitu. Tim se člankom uvodi opći okvir za prevenciju katastrofa s ciljem postizanja više razine zaštite i otpornosti na katastrofe te poticanja kulture prevencije u kojoj se uzimaju u obzir i vjerojatni učinci klimatskih promjena.</w:t>
      </w:r>
    </w:p>
    <w:p w14:paraId="216C29CD" w14:textId="3CED2576" w:rsidR="00A72AB6" w:rsidRDefault="009514D1" w:rsidP="00B05256">
      <w:pPr>
        <w:spacing w:line="240" w:lineRule="auto"/>
        <w:jc w:val="both"/>
        <w:rPr>
          <w:rFonts w:ascii="Times New Roman" w:hAnsi="Times New Roman" w:cs="Times New Roman"/>
          <w:noProof/>
          <w:sz w:val="24"/>
          <w:szCs w:val="24"/>
        </w:rPr>
      </w:pPr>
      <w:r>
        <w:rPr>
          <w:rFonts w:ascii="Times New Roman" w:hAnsi="Times New Roman"/>
          <w:noProof/>
          <w:sz w:val="24"/>
        </w:rPr>
        <w:t xml:space="preserve">U skladu s člankom 5. stavkom 1. točkom (g) Odluke o Mehanizmu Unije za civilnu zaštitu Komisija mora periodično izvješćivati o napretku u provedbi članka 6. U ovom prvom izvješću Europskom parlamentu i Vijeću predstavlja se </w:t>
      </w:r>
      <w:r>
        <w:rPr>
          <w:rFonts w:ascii="Times New Roman" w:hAnsi="Times New Roman"/>
          <w:b/>
          <w:noProof/>
          <w:sz w:val="24"/>
        </w:rPr>
        <w:t>napredak postignut u provedbi članka 6.</w:t>
      </w:r>
      <w:r w:rsidR="005F7533">
        <w:rPr>
          <w:rStyle w:val="FootnoteReference"/>
          <w:rFonts w:ascii="Times New Roman" w:hAnsi="Times New Roman" w:cs="Times New Roman"/>
          <w:noProof/>
          <w:sz w:val="24"/>
          <w:szCs w:val="24"/>
        </w:rPr>
        <w:footnoteReference w:id="4"/>
      </w:r>
      <w:r>
        <w:rPr>
          <w:rFonts w:ascii="Times New Roman" w:hAnsi="Times New Roman"/>
          <w:noProof/>
          <w:sz w:val="24"/>
        </w:rPr>
        <w:t>, a uključuje i preporuke za upravljanje rizicima od katastrofa koje je „otporno na buduće promjene”. Popratni radni dokument službi Komisije</w:t>
      </w:r>
      <w:r w:rsidR="00F028BB">
        <w:rPr>
          <w:rStyle w:val="FootnoteReference"/>
          <w:rFonts w:ascii="Times New Roman" w:hAnsi="Times New Roman" w:cs="Times New Roman"/>
          <w:noProof/>
          <w:sz w:val="24"/>
          <w:szCs w:val="24"/>
        </w:rPr>
        <w:footnoteReference w:id="5"/>
      </w:r>
      <w:r>
        <w:rPr>
          <w:rFonts w:ascii="Times New Roman" w:hAnsi="Times New Roman"/>
          <w:noProof/>
          <w:sz w:val="24"/>
        </w:rPr>
        <w:t xml:space="preserve"> sadržava detaljnije informacije o provedbi članka 6. i Komisijinu analizu sažetih izvješća o upravljanju rizicima od katastrofa koja su države članice i države sudionice dostavile od kraja 2020. do </w:t>
      </w:r>
      <w:bookmarkStart w:id="5" w:name="_Hlk152142492"/>
      <w:r>
        <w:rPr>
          <w:rFonts w:ascii="Times New Roman" w:hAnsi="Times New Roman"/>
          <w:noProof/>
          <w:sz w:val="24"/>
        </w:rPr>
        <w:t>rujna</w:t>
      </w:r>
      <w:r>
        <w:rPr>
          <w:noProof/>
        </w:rPr>
        <w:t> </w:t>
      </w:r>
      <w:bookmarkEnd w:id="5"/>
      <w:r>
        <w:rPr>
          <w:rFonts w:ascii="Times New Roman" w:hAnsi="Times New Roman"/>
          <w:noProof/>
          <w:sz w:val="24"/>
        </w:rPr>
        <w:t>2022.</w:t>
      </w:r>
    </w:p>
    <w:p w14:paraId="21D04977" w14:textId="73796035" w:rsidR="00AD029E" w:rsidRDefault="00A604E5" w:rsidP="00B05256">
      <w:pPr>
        <w:spacing w:line="240" w:lineRule="auto"/>
        <w:jc w:val="both"/>
        <w:rPr>
          <w:rFonts w:ascii="Times New Roman" w:hAnsi="Times New Roman" w:cs="Times New Roman"/>
          <w:noProof/>
          <w:sz w:val="24"/>
          <w:szCs w:val="24"/>
        </w:rPr>
      </w:pPr>
      <w:bookmarkStart w:id="6" w:name="_Hlk148084537"/>
      <w:r>
        <w:rPr>
          <w:rFonts w:ascii="Times New Roman" w:hAnsi="Times New Roman"/>
          <w:noProof/>
          <w:sz w:val="24"/>
        </w:rPr>
        <w:t xml:space="preserve"> </w:t>
      </w:r>
    </w:p>
    <w:p w14:paraId="3811F6C8" w14:textId="2ADE3059" w:rsidR="00F96EFE" w:rsidRDefault="00CC0A3F" w:rsidP="00B05256">
      <w:pPr>
        <w:pStyle w:val="Heading1"/>
        <w:jc w:val="both"/>
        <w:rPr>
          <w:noProof/>
        </w:rPr>
      </w:pPr>
      <w:r>
        <w:rPr>
          <w:noProof/>
        </w:rPr>
        <w:t>MJERE PODUZETE ZA PROVEDBU ČLANKA 6.</w:t>
      </w:r>
    </w:p>
    <w:p w14:paraId="730A0A67" w14:textId="5F1E8A87" w:rsidR="00E92271" w:rsidRDefault="007D08EE" w:rsidP="00B05256">
      <w:pPr>
        <w:spacing w:line="240" w:lineRule="auto"/>
        <w:jc w:val="both"/>
        <w:rPr>
          <w:rFonts w:ascii="Times New Roman" w:hAnsi="Times New Roman" w:cs="Times New Roman"/>
          <w:noProof/>
          <w:sz w:val="24"/>
          <w:szCs w:val="24"/>
        </w:rPr>
      </w:pPr>
      <w:r>
        <w:rPr>
          <w:rFonts w:ascii="Times New Roman" w:hAnsi="Times New Roman"/>
          <w:noProof/>
          <w:sz w:val="24"/>
        </w:rPr>
        <w:t>Članak 6. usmjeren je na upravljanje rizicima, uz opći cilj promicanja učinkovitog i koherentnog pristupa prevenciji katastrofa i pripravnosti za njih. Taj je članak revidiran dvaput od 2013.</w:t>
      </w:r>
      <w:r>
        <w:rPr>
          <w:rStyle w:val="FootnoteReference"/>
          <w:rFonts w:ascii="Times New Roman" w:hAnsi="Times New Roman" w:cs="Times New Roman"/>
          <w:noProof/>
          <w:sz w:val="24"/>
          <w:szCs w:val="24"/>
        </w:rPr>
        <w:footnoteReference w:id="6"/>
      </w:r>
      <w:r>
        <w:rPr>
          <w:rFonts w:ascii="Times New Roman" w:hAnsi="Times New Roman"/>
          <w:noProof/>
          <w:sz w:val="24"/>
        </w:rPr>
        <w:t xml:space="preserve"> Ovaj odjeljak sadržava pregled odredaba tog članka i mjera koje su Komisija, države </w:t>
      </w:r>
      <w:r>
        <w:rPr>
          <w:rFonts w:ascii="Times New Roman" w:hAnsi="Times New Roman"/>
          <w:noProof/>
          <w:sz w:val="24"/>
        </w:rPr>
        <w:lastRenderedPageBreak/>
        <w:t>članice i države sudionice poduzele za njegovu provedbu. U odjeljku se iznose i preporuke za buduća djelovanja.</w:t>
      </w:r>
    </w:p>
    <w:p w14:paraId="1EF040B7" w14:textId="039BF63E" w:rsidR="00E92271" w:rsidRPr="00C5129B" w:rsidRDefault="00E92271" w:rsidP="00B05256">
      <w:pPr>
        <w:spacing w:line="240" w:lineRule="auto"/>
        <w:jc w:val="both"/>
        <w:rPr>
          <w:rFonts w:ascii="Times New Roman" w:hAnsi="Times New Roman" w:cs="Times New Roman"/>
          <w:b/>
          <w:bCs/>
          <w:i/>
          <w:iCs/>
          <w:noProof/>
          <w:sz w:val="24"/>
          <w:szCs w:val="24"/>
        </w:rPr>
      </w:pPr>
      <w:r>
        <w:rPr>
          <w:rFonts w:ascii="Times New Roman" w:hAnsi="Times New Roman"/>
          <w:b/>
          <w:noProof/>
          <w:sz w:val="24"/>
        </w:rPr>
        <w:t>Daljnji razvoj učinkovitih i koherentnih praksi upravljanja rizicima na nacionalnoj razini</w:t>
      </w:r>
      <w:r>
        <w:rPr>
          <w:rFonts w:ascii="Times New Roman" w:hAnsi="Times New Roman"/>
          <w:b/>
          <w:i/>
          <w:noProof/>
          <w:sz w:val="24"/>
        </w:rPr>
        <w:t xml:space="preserve"> (članak 6. stavak 1. točke od (a) do (d), članak 6. stavak 3.)</w:t>
      </w:r>
    </w:p>
    <w:p w14:paraId="3015C18F" w14:textId="01B8BC19" w:rsidR="000F34FF" w:rsidRDefault="00224F9F" w:rsidP="00B05256">
      <w:pPr>
        <w:spacing w:line="240" w:lineRule="auto"/>
        <w:jc w:val="both"/>
        <w:rPr>
          <w:rFonts w:ascii="Times New Roman" w:hAnsi="Times New Roman" w:cs="Times New Roman"/>
          <w:b/>
          <w:bCs/>
          <w:noProof/>
          <w:sz w:val="24"/>
          <w:szCs w:val="24"/>
        </w:rPr>
      </w:pPr>
      <w:r>
        <w:rPr>
          <w:rFonts w:ascii="Times New Roman" w:hAnsi="Times New Roman"/>
          <w:noProof/>
          <w:sz w:val="24"/>
        </w:rPr>
        <w:t xml:space="preserve">U članku 6. stavku 1. točkama od (a) do (d) navodi se da </w:t>
      </w:r>
      <w:r>
        <w:rPr>
          <w:rFonts w:ascii="Times New Roman" w:hAnsi="Times New Roman"/>
          <w:b/>
          <w:noProof/>
          <w:sz w:val="24"/>
        </w:rPr>
        <w:t>države članice i države sudionice</w:t>
      </w:r>
      <w:r w:rsidRPr="00C559F1">
        <w:rPr>
          <w:rStyle w:val="FootnoteReference"/>
          <w:rFonts w:ascii="Times New Roman" w:hAnsi="Times New Roman" w:cs="Times New Roman"/>
          <w:b/>
          <w:bCs/>
          <w:noProof/>
          <w:sz w:val="24"/>
          <w:szCs w:val="24"/>
        </w:rPr>
        <w:footnoteReference w:id="7"/>
      </w:r>
      <w:r>
        <w:rPr>
          <w:rFonts w:ascii="Times New Roman" w:hAnsi="Times New Roman"/>
          <w:noProof/>
          <w:sz w:val="24"/>
        </w:rPr>
        <w:t xml:space="preserve"> </w:t>
      </w:r>
      <w:r>
        <w:rPr>
          <w:rFonts w:ascii="Times New Roman" w:hAnsi="Times New Roman"/>
          <w:b/>
          <w:noProof/>
          <w:sz w:val="24"/>
        </w:rPr>
        <w:t>moraju razviti</w:t>
      </w:r>
      <w:r>
        <w:rPr>
          <w:rFonts w:ascii="Times New Roman" w:hAnsi="Times New Roman"/>
          <w:noProof/>
          <w:sz w:val="24"/>
        </w:rPr>
        <w:t xml:space="preserve"> </w:t>
      </w:r>
      <w:r>
        <w:rPr>
          <w:rFonts w:ascii="Times New Roman" w:hAnsi="Times New Roman"/>
          <w:b/>
          <w:noProof/>
          <w:sz w:val="24"/>
        </w:rPr>
        <w:t>procjene rizika</w:t>
      </w:r>
      <w:r>
        <w:rPr>
          <w:rFonts w:ascii="Times New Roman" w:hAnsi="Times New Roman"/>
          <w:noProof/>
          <w:sz w:val="24"/>
        </w:rPr>
        <w:t xml:space="preserve"> i </w:t>
      </w:r>
      <w:r>
        <w:rPr>
          <w:rFonts w:ascii="Times New Roman" w:hAnsi="Times New Roman"/>
          <w:b/>
          <w:noProof/>
          <w:sz w:val="24"/>
        </w:rPr>
        <w:t xml:space="preserve">procjene sposobnosti upravljanja rizicima </w:t>
      </w:r>
      <w:r>
        <w:rPr>
          <w:rFonts w:ascii="Times New Roman" w:hAnsi="Times New Roman"/>
          <w:noProof/>
          <w:sz w:val="24"/>
        </w:rPr>
        <w:t xml:space="preserve">na nacionalnoj ili odgovarajućoj podnacionalnoj razini. Zemlje su obvezne svake tri godine podnositi Komisiji sažetak relevantnih elemenata tih procjena. Od zemalja se zahtijeva i daljnja razrada </w:t>
      </w:r>
      <w:r>
        <w:rPr>
          <w:rFonts w:ascii="Times New Roman" w:hAnsi="Times New Roman"/>
          <w:b/>
          <w:noProof/>
          <w:sz w:val="24"/>
        </w:rPr>
        <w:t>planiranja upravljanja rizicima od katastrofa na nacionalnoj razini</w:t>
      </w:r>
      <w:r>
        <w:rPr>
          <w:rFonts w:ascii="Times New Roman" w:hAnsi="Times New Roman"/>
          <w:noProof/>
          <w:sz w:val="24"/>
        </w:rPr>
        <w:t>.</w:t>
      </w:r>
      <w:r>
        <w:rPr>
          <w:rFonts w:ascii="Times New Roman" w:hAnsi="Times New Roman"/>
          <w:b/>
          <w:noProof/>
          <w:sz w:val="24"/>
        </w:rPr>
        <w:t xml:space="preserve"> </w:t>
      </w:r>
    </w:p>
    <w:p w14:paraId="6D44BA9A" w14:textId="7A66F519" w:rsidR="00A622BA" w:rsidRDefault="00C437EB" w:rsidP="00B05256">
      <w:pPr>
        <w:spacing w:line="240" w:lineRule="auto"/>
        <w:jc w:val="both"/>
        <w:rPr>
          <w:rFonts w:ascii="Times New Roman" w:hAnsi="Times New Roman" w:cs="Times New Roman"/>
          <w:noProof/>
          <w:sz w:val="24"/>
          <w:szCs w:val="24"/>
        </w:rPr>
      </w:pPr>
      <w:r>
        <w:rPr>
          <w:rFonts w:ascii="Times New Roman" w:hAnsi="Times New Roman"/>
          <w:noProof/>
          <w:sz w:val="24"/>
        </w:rPr>
        <w:t>Zemlje su Komisiji stavile na raspolaganje izvješća o nacionalnim procjenama rizika za izvještajna razdoblja 2015. i 2018. Osim toga, Komisiji su 2017. dostavile nacionalna izvješća o procjeni sposobnosti upravljanja rizicima. Nalazi iz izvješća podnesenih 2015. i 2018. predstavljeni su u 2. i 3. izvješću pod nazivom „Pregled rizika od prirodnih katastrofa i katastrofa uzrokovanih ljudskim djelovanjem s kojima se EU može suočiti”</w:t>
      </w:r>
      <w:r w:rsidR="00A622BA" w:rsidRPr="00F7722E">
        <w:rPr>
          <w:rStyle w:val="FootnoteReference"/>
          <w:rFonts w:ascii="Times New Roman" w:hAnsi="Times New Roman" w:cs="Times New Roman"/>
          <w:noProof/>
          <w:sz w:val="24"/>
          <w:szCs w:val="24"/>
        </w:rPr>
        <w:footnoteReference w:id="8"/>
      </w:r>
      <w:r>
        <w:rPr>
          <w:rFonts w:ascii="Times New Roman" w:hAnsi="Times New Roman"/>
          <w:noProof/>
          <w:sz w:val="24"/>
        </w:rPr>
        <w:t xml:space="preserve">. </w:t>
      </w:r>
    </w:p>
    <w:p w14:paraId="0593A17E" w14:textId="20E57EB7" w:rsidR="000F34FF" w:rsidRDefault="006F170C" w:rsidP="00F54547">
      <w:pPr>
        <w:spacing w:line="240" w:lineRule="auto"/>
        <w:jc w:val="both"/>
        <w:rPr>
          <w:rFonts w:ascii="Times New Roman" w:hAnsi="Times New Roman" w:cs="Times New Roman"/>
          <w:noProof/>
          <w:sz w:val="24"/>
          <w:szCs w:val="24"/>
        </w:rPr>
      </w:pPr>
      <w:r>
        <w:rPr>
          <w:rFonts w:ascii="Times New Roman" w:hAnsi="Times New Roman"/>
          <w:noProof/>
          <w:sz w:val="24"/>
        </w:rPr>
        <w:t xml:space="preserve">U skladu s člankom 6. stavkom 3. Komisija je zajedno s državama članicama i državama sudionicama morala razviti </w:t>
      </w:r>
      <w:r>
        <w:rPr>
          <w:rFonts w:ascii="Times New Roman" w:hAnsi="Times New Roman"/>
          <w:b/>
          <w:noProof/>
          <w:sz w:val="24"/>
        </w:rPr>
        <w:t>smjernice za lakše podnošenje sažetih izvješća</w:t>
      </w:r>
      <w:r>
        <w:rPr>
          <w:rFonts w:ascii="Times New Roman" w:hAnsi="Times New Roman"/>
          <w:noProof/>
          <w:sz w:val="24"/>
        </w:rPr>
        <w:t xml:space="preserve"> o procjeni rizika i procjeni sposobnosti upravljanja rizicima</w:t>
      </w:r>
      <w:r w:rsidR="007D08EE" w:rsidRPr="00821BB4">
        <w:rPr>
          <w:rStyle w:val="FootnoteReference"/>
          <w:rFonts w:ascii="Times New Roman" w:hAnsi="Times New Roman" w:cs="Times New Roman"/>
          <w:b/>
          <w:bCs/>
          <w:noProof/>
          <w:sz w:val="24"/>
          <w:szCs w:val="24"/>
        </w:rPr>
        <w:footnoteReference w:id="9"/>
      </w:r>
      <w:r>
        <w:rPr>
          <w:rFonts w:ascii="Times New Roman" w:hAnsi="Times New Roman"/>
          <w:noProof/>
          <w:sz w:val="24"/>
        </w:rPr>
        <w:t xml:space="preserve">. Člankom 6. stavkom 1. točkom (d) od zemalja se zahtijeva i da izvješćuju o </w:t>
      </w:r>
      <w:r>
        <w:rPr>
          <w:rFonts w:ascii="Times New Roman" w:hAnsi="Times New Roman"/>
          <w:b/>
          <w:noProof/>
          <w:sz w:val="24"/>
        </w:rPr>
        <w:t>prekograničnim rizicima i rizicima male vjerojatnosti i velikog učinka</w:t>
      </w:r>
      <w:r>
        <w:rPr>
          <w:rFonts w:ascii="Times New Roman" w:hAnsi="Times New Roman"/>
          <w:noProof/>
          <w:sz w:val="24"/>
        </w:rPr>
        <w:t xml:space="preserve">. </w:t>
      </w:r>
    </w:p>
    <w:p w14:paraId="689C40B6" w14:textId="344B5D95" w:rsidR="00F54547" w:rsidRDefault="003C722D" w:rsidP="00F54547">
      <w:pPr>
        <w:spacing w:line="240" w:lineRule="auto"/>
        <w:jc w:val="both"/>
        <w:rPr>
          <w:rFonts w:ascii="Times New Roman" w:hAnsi="Times New Roman" w:cs="Times New Roman"/>
          <w:noProof/>
          <w:sz w:val="24"/>
          <w:szCs w:val="24"/>
        </w:rPr>
      </w:pPr>
      <w:r>
        <w:rPr>
          <w:rFonts w:ascii="Times New Roman" w:hAnsi="Times New Roman"/>
          <w:noProof/>
          <w:sz w:val="24"/>
        </w:rPr>
        <w:t xml:space="preserve">Komisija je zajedno sa zemljama izradila </w:t>
      </w:r>
      <w:r>
        <w:rPr>
          <w:rFonts w:ascii="Times New Roman" w:hAnsi="Times New Roman"/>
          <w:b/>
          <w:noProof/>
          <w:sz w:val="24"/>
        </w:rPr>
        <w:t>Smjernice za izvješćivanje o upravljanju rizicima od katastrofa</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Smjernice su objavljene 2019.</w:t>
      </w:r>
      <w:r w:rsidR="000E680C">
        <w:rPr>
          <w:rStyle w:val="FootnoteReference"/>
          <w:rFonts w:ascii="Times New Roman" w:hAnsi="Times New Roman" w:cs="Times New Roman"/>
          <w:noProof/>
          <w:sz w:val="24"/>
          <w:szCs w:val="24"/>
        </w:rPr>
        <w:footnoteReference w:id="10"/>
      </w:r>
      <w:r>
        <w:rPr>
          <w:rFonts w:ascii="Times New Roman" w:hAnsi="Times New Roman"/>
          <w:noProof/>
          <w:sz w:val="24"/>
        </w:rPr>
        <w:t xml:space="preserve"> U okviru prvog roka za podnošenje izvješća 32 od 33 zemlje dostavile su izvješća u skladu s tim smjernicama (kraj 2020.)</w:t>
      </w:r>
      <w:r w:rsidR="00671FAD">
        <w:rPr>
          <w:rStyle w:val="FootnoteReference"/>
          <w:rFonts w:ascii="Times New Roman" w:hAnsi="Times New Roman" w:cs="Times New Roman"/>
          <w:noProof/>
          <w:sz w:val="24"/>
          <w:szCs w:val="24"/>
        </w:rPr>
        <w:footnoteReference w:id="11"/>
      </w:r>
      <w:r>
        <w:rPr>
          <w:rFonts w:ascii="Times New Roman" w:hAnsi="Times New Roman"/>
          <w:noProof/>
          <w:sz w:val="24"/>
        </w:rPr>
        <w:t xml:space="preserve">. Nalazi tih izvješća navedeni su u odjeljku 3. </w:t>
      </w:r>
    </w:p>
    <w:p w14:paraId="6624D53C" w14:textId="4A51E1EA" w:rsidR="00C676A9" w:rsidRPr="00E07A49" w:rsidRDefault="00E92271" w:rsidP="00C676A9">
      <w:pPr>
        <w:jc w:val="both"/>
        <w:rPr>
          <w:rFonts w:ascii="Times New Roman" w:hAnsi="Times New Roman" w:cs="Times New Roman"/>
          <w:b/>
          <w:bCs/>
          <w:i/>
          <w:iCs/>
          <w:noProof/>
          <w:sz w:val="24"/>
          <w:szCs w:val="24"/>
        </w:rPr>
      </w:pPr>
      <w:r>
        <w:rPr>
          <w:rFonts w:ascii="Times New Roman" w:hAnsi="Times New Roman"/>
          <w:b/>
          <w:noProof/>
          <w:sz w:val="24"/>
        </w:rPr>
        <w:t>Stručne provjere – jačanje nacionalnih sposobnosti upravljanja rizicima</w:t>
      </w:r>
      <w:r>
        <w:rPr>
          <w:rFonts w:ascii="Times New Roman" w:hAnsi="Times New Roman"/>
          <w:b/>
          <w:i/>
          <w:noProof/>
          <w:sz w:val="24"/>
        </w:rPr>
        <w:t xml:space="preserve"> (članak 6. stavak 1. točka (e))</w:t>
      </w:r>
    </w:p>
    <w:p w14:paraId="3F8D8BC7" w14:textId="77777777" w:rsidR="000E680C" w:rsidRDefault="00C559F1" w:rsidP="00150A41">
      <w:pPr>
        <w:spacing w:line="240" w:lineRule="auto"/>
        <w:jc w:val="both"/>
        <w:rPr>
          <w:rFonts w:ascii="Times New Roman" w:hAnsi="Times New Roman" w:cs="Times New Roman"/>
          <w:noProof/>
          <w:sz w:val="24"/>
          <w:szCs w:val="24"/>
        </w:rPr>
      </w:pPr>
      <w:r>
        <w:rPr>
          <w:rFonts w:ascii="Times New Roman" w:hAnsi="Times New Roman"/>
          <w:b/>
          <w:noProof/>
          <w:sz w:val="24"/>
        </w:rPr>
        <w:t xml:space="preserve">Okvir za stručne provjere </w:t>
      </w:r>
      <w:r>
        <w:rPr>
          <w:rFonts w:ascii="Times New Roman" w:hAnsi="Times New Roman"/>
          <w:noProof/>
          <w:sz w:val="24"/>
        </w:rPr>
        <w:t xml:space="preserve">alat je za unaprjeđenje uzajamnog učenja među zemljama radi izgradnje kapaciteta za prevenciju i pripravnost. Stručne provjere dobrovoljne su i u njima sudjeluju nacionalni stručnjaci iz svih država članica i država sudionica koji pažljivo preispituju nacionalne prakse države koja je predmet stručne provjere. </w:t>
      </w:r>
    </w:p>
    <w:p w14:paraId="3A595E9D" w14:textId="3109DF57" w:rsidR="00150A41" w:rsidRDefault="00F54547" w:rsidP="00150A41">
      <w:pPr>
        <w:spacing w:line="240" w:lineRule="auto"/>
        <w:jc w:val="both"/>
        <w:rPr>
          <w:rFonts w:ascii="Times New Roman" w:hAnsi="Times New Roman" w:cs="Times New Roman"/>
          <w:noProof/>
          <w:sz w:val="24"/>
          <w:szCs w:val="24"/>
        </w:rPr>
      </w:pPr>
      <w:r>
        <w:rPr>
          <w:rFonts w:ascii="Times New Roman" w:hAnsi="Times New Roman"/>
          <w:noProof/>
          <w:sz w:val="24"/>
        </w:rPr>
        <w:t>Za stručnu provjeru svojih praksi odlučilo se 16 zemalja, a taj broj uključuje osam država koje su trenutačno članice EU-a, tri države sudionice i nekoliko trećih zemalja</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Komisija je 2020. uvela ojačani i fleksibilniji okvir za stručne provjere. Komisija je 2023. izradila i okvir za </w:t>
      </w:r>
      <w:r>
        <w:rPr>
          <w:rFonts w:ascii="Times New Roman" w:hAnsi="Times New Roman"/>
          <w:noProof/>
          <w:sz w:val="24"/>
        </w:rPr>
        <w:lastRenderedPageBreak/>
        <w:t>stručne provjere usmjeren na prevenciju šumskih požara kao odgovor na sezone razornih šumskih požara posljednjih godina. Ojačanim okvirom za stručne provjere pridonosi se izgradnji kapaciteta za odgovor na razini EU-a u okviru sustava rescEU. Tri stručne provjere usmjerene na šumske požare provest će se 2024. u Grčkoj, Italiji i saveznoj zemlji Brandenburg (Njemačka).</w:t>
      </w:r>
    </w:p>
    <w:p w14:paraId="498D7A51" w14:textId="556E39B5" w:rsidR="006F1B36" w:rsidRPr="003662FE" w:rsidRDefault="006F1B36" w:rsidP="006F1B36">
      <w:pPr>
        <w:pStyle w:val="Heading2"/>
        <w:jc w:val="both"/>
        <w:rPr>
          <w:noProof/>
        </w:rPr>
      </w:pPr>
      <w:r>
        <w:rPr>
          <w:noProof/>
        </w:rPr>
        <w:t xml:space="preserve">Poboljšanje razumijevanja katastrofa unaprjeđenjem znanja o katastrofama </w:t>
      </w:r>
      <w:r>
        <w:rPr>
          <w:i/>
          <w:noProof/>
        </w:rPr>
        <w:t>(članak 6. stavak 1. točka (f))</w:t>
      </w:r>
    </w:p>
    <w:p w14:paraId="539A5EC6" w14:textId="62C9EC70" w:rsidR="006F1B36" w:rsidRDefault="008167FC" w:rsidP="006F1B36">
      <w:pPr>
        <w:spacing w:line="240" w:lineRule="auto"/>
        <w:jc w:val="both"/>
        <w:rPr>
          <w:rFonts w:ascii="Times New Roman" w:hAnsi="Times New Roman" w:cs="Times New Roman"/>
          <w:noProof/>
          <w:sz w:val="24"/>
          <w:szCs w:val="24"/>
        </w:rPr>
      </w:pPr>
      <w:r>
        <w:rPr>
          <w:rFonts w:ascii="Times New Roman" w:hAnsi="Times New Roman"/>
          <w:noProof/>
          <w:sz w:val="24"/>
        </w:rPr>
        <w:t xml:space="preserve">Odluka o Mehanizmu Unije za civilnu zaštitu izmijenjena je i 2021. kako bi se u članku 6. stavku 1. točki (f) navelo da države članice i države sudionice moraju poboljšati </w:t>
      </w:r>
      <w:r>
        <w:rPr>
          <w:rFonts w:ascii="Times New Roman" w:hAnsi="Times New Roman"/>
          <w:b/>
          <w:noProof/>
          <w:sz w:val="24"/>
        </w:rPr>
        <w:t>prikupljanje podataka o gubicima nastalima u katastrofama</w:t>
      </w:r>
      <w:r>
        <w:rPr>
          <w:rFonts w:ascii="Times New Roman" w:hAnsi="Times New Roman"/>
          <w:noProof/>
          <w:sz w:val="24"/>
        </w:rPr>
        <w:t xml:space="preserve"> za potrebe izrade scenarija na temelju dokaza. </w:t>
      </w:r>
    </w:p>
    <w:p w14:paraId="374219B9" w14:textId="392423FA" w:rsidR="00BA42A7" w:rsidRDefault="009801CB" w:rsidP="006F1B36">
      <w:pPr>
        <w:spacing w:line="240" w:lineRule="auto"/>
        <w:jc w:val="both"/>
        <w:rPr>
          <w:rFonts w:ascii="Times New Roman" w:hAnsi="Times New Roman" w:cs="Times New Roman"/>
          <w:noProof/>
          <w:sz w:val="24"/>
          <w:szCs w:val="24"/>
        </w:rPr>
      </w:pPr>
      <w:r>
        <w:rPr>
          <w:rFonts w:ascii="Times New Roman" w:hAnsi="Times New Roman"/>
          <w:noProof/>
          <w:sz w:val="24"/>
        </w:rPr>
        <w:t>Komisija je razvila čvorište podataka o rizicima</w:t>
      </w:r>
      <w:r>
        <w:rPr>
          <w:rStyle w:val="FootnoteReference"/>
          <w:rFonts w:ascii="Times New Roman" w:hAnsi="Times New Roman" w:cs="Times New Roman"/>
          <w:noProof/>
          <w:sz w:val="24"/>
          <w:szCs w:val="24"/>
        </w:rPr>
        <w:footnoteReference w:id="13"/>
      </w:r>
      <w:r>
        <w:rPr>
          <w:rFonts w:ascii="Times New Roman" w:hAnsi="Times New Roman"/>
          <w:noProof/>
          <w:sz w:val="24"/>
        </w:rPr>
        <w:t xml:space="preserve"> radi prikupljanja podataka o rizicima od katastrofa, uključujući podatke o gubicima nastalima u katastrofama od zemalja i drugih dionika. Analiza nacionalnih praksi u području prikupljanja podataka o gubicima nastalima u katastrofama koji se navode u sažetim izvješćima o upravljanju rizicima od katastrofa pokazuje da i dalje postoje brojni nedostaci</w:t>
      </w:r>
      <w:r w:rsidR="00F62C54">
        <w:rPr>
          <w:rStyle w:val="FootnoteReference"/>
          <w:rFonts w:ascii="Times New Roman" w:hAnsi="Times New Roman" w:cs="Times New Roman"/>
          <w:noProof/>
          <w:sz w:val="24"/>
          <w:szCs w:val="24"/>
        </w:rPr>
        <w:footnoteReference w:id="14"/>
      </w:r>
      <w:r>
        <w:rPr>
          <w:rFonts w:ascii="Times New Roman" w:hAnsi="Times New Roman"/>
          <w:noProof/>
          <w:sz w:val="24"/>
        </w:rPr>
        <w:t>.</w:t>
      </w:r>
    </w:p>
    <w:p w14:paraId="0E4D6D34" w14:textId="1ADDA128" w:rsidR="005F5842" w:rsidRDefault="00C55A34" w:rsidP="27EC6612">
      <w:pPr>
        <w:spacing w:line="240" w:lineRule="auto"/>
        <w:jc w:val="both"/>
        <w:rPr>
          <w:rFonts w:ascii="Times New Roman" w:hAnsi="Times New Roman" w:cs="Times New Roman"/>
          <w:b/>
          <w:bCs/>
          <w:i/>
          <w:iCs/>
          <w:noProof/>
          <w:sz w:val="24"/>
          <w:szCs w:val="24"/>
        </w:rPr>
      </w:pPr>
      <w:r>
        <w:rPr>
          <w:rFonts w:ascii="Times New Roman" w:hAnsi="Times New Roman"/>
          <w:b/>
          <w:noProof/>
          <w:sz w:val="24"/>
        </w:rPr>
        <w:t>Mehanizmi za jačanje prevencije i pripravnosti</w:t>
      </w:r>
      <w:r>
        <w:rPr>
          <w:rFonts w:ascii="Times New Roman" w:hAnsi="Times New Roman"/>
          <w:b/>
          <w:i/>
          <w:noProof/>
          <w:sz w:val="24"/>
        </w:rPr>
        <w:t xml:space="preserve"> (članak 6. stavci 2. i 4.)</w:t>
      </w:r>
    </w:p>
    <w:p w14:paraId="1036547D" w14:textId="4CCBEF91" w:rsidR="000E680C" w:rsidRDefault="00C559F1" w:rsidP="27EC6612">
      <w:pPr>
        <w:spacing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Člankom 6. stavkom 2. predviđa se </w:t>
      </w:r>
      <w:r>
        <w:rPr>
          <w:rFonts w:ascii="Times New Roman" w:hAnsi="Times New Roman"/>
          <w:b/>
          <w:noProof/>
          <w:sz w:val="24"/>
        </w:rPr>
        <w:t>poseban mehanizam savjetovanja za jačanje prevencije i pripravnosti</w:t>
      </w:r>
      <w:r>
        <w:rPr>
          <w:rFonts w:ascii="Times New Roman" w:hAnsi="Times New Roman"/>
          <w:noProof/>
          <w:sz w:val="24"/>
        </w:rPr>
        <w:t xml:space="preserve"> među državama članicama i državama sudionicama koje su izložene sličnim vrstama katastrofa. </w:t>
      </w:r>
    </w:p>
    <w:p w14:paraId="19B3A2C5" w14:textId="6FB07FCE" w:rsidR="00B37B7A" w:rsidRDefault="00C559F1" w:rsidP="27EC6612">
      <w:pPr>
        <w:spacing w:line="240" w:lineRule="auto"/>
        <w:jc w:val="both"/>
        <w:rPr>
          <w:rFonts w:ascii="Times New Roman" w:hAnsi="Times New Roman" w:cs="Times New Roman"/>
          <w:noProof/>
          <w:sz w:val="24"/>
          <w:szCs w:val="24"/>
        </w:rPr>
      </w:pPr>
      <w:r>
        <w:rPr>
          <w:rFonts w:ascii="Times New Roman" w:hAnsi="Times New Roman"/>
          <w:noProof/>
          <w:sz w:val="24"/>
        </w:rPr>
        <w:t xml:space="preserve">Taj mehanizam za savjetovanje s nekim zemljama o konkretnim rizicima dosad se nije upotrebljavao, nego su se umjesto toga provodile redovite i uključive razmjene informacija o rizicima od katastrofa sa svim zemljama. Primjeri takvih uključivih savjetovanja o konkretnim rizicima obuhvaćaju sastanke o stečenim iskustvima, pripravnost za sezone šumskih požara, razmjene informacija i iskustava o razvoju sustava ranog upozoravanja i sastanke o prevenciji katastrofa sa stručnjacima iz zemalja. </w:t>
      </w:r>
    </w:p>
    <w:p w14:paraId="503F24AE" w14:textId="3B398E61" w:rsidR="00B56AE5" w:rsidRPr="00ED16D7" w:rsidRDefault="00531F13" w:rsidP="27EC6612">
      <w:pPr>
        <w:spacing w:line="240" w:lineRule="auto"/>
        <w:jc w:val="both"/>
        <w:rPr>
          <w:rFonts w:ascii="Times New Roman" w:hAnsi="Times New Roman" w:cs="Times New Roman"/>
          <w:noProof/>
          <w:sz w:val="24"/>
          <w:szCs w:val="24"/>
        </w:rPr>
      </w:pPr>
      <w:r>
        <w:rPr>
          <w:rFonts w:ascii="Times New Roman" w:hAnsi="Times New Roman"/>
          <w:noProof/>
          <w:sz w:val="24"/>
        </w:rPr>
        <w:t xml:space="preserve">Člankom 6. stavkom 4. predviđa se poseban mehanizam za jačanje razine prevencije i pripravnosti država članica </w:t>
      </w:r>
      <w:r>
        <w:rPr>
          <w:rFonts w:ascii="Times New Roman" w:hAnsi="Times New Roman"/>
          <w:b/>
          <w:noProof/>
          <w:sz w:val="24"/>
        </w:rPr>
        <w:t>koje u okviru Mehanizma Unije za civilnu zaštitu učestalo traže istu vrstu pomoći za istu vrstu katastrofe (članak 6. stavak 4.)</w:t>
      </w:r>
      <w:r>
        <w:rPr>
          <w:rFonts w:ascii="Times New Roman" w:hAnsi="Times New Roman"/>
          <w:noProof/>
          <w:sz w:val="24"/>
        </w:rPr>
        <w:t>. U slučaju tri zahtjeva za istu vrstu pomoći za istu vrstu katastrofe u roku od tri uzastopne godine Komisija mora provesti pažljivu analizu razloga i okolnosti aktivacije. Na temelju nalaza te analize Komisija može predložiti upućivanje stručnjaka na teren te davati savjete ili preporuke. Može odlučiti i da takve mjere nisu potrebne.</w:t>
      </w:r>
    </w:p>
    <w:p w14:paraId="01779D0C" w14:textId="6123ED82" w:rsidR="000E680C" w:rsidRPr="00ED16D7" w:rsidRDefault="00582F14" w:rsidP="00322378">
      <w:pPr>
        <w:spacing w:line="240" w:lineRule="auto"/>
        <w:jc w:val="both"/>
        <w:rPr>
          <w:rFonts w:ascii="Times New Roman" w:hAnsi="Times New Roman" w:cs="Times New Roman"/>
          <w:bCs/>
          <w:noProof/>
          <w:sz w:val="24"/>
          <w:szCs w:val="24"/>
        </w:rPr>
      </w:pPr>
      <w:bookmarkStart w:id="7" w:name="_Hlk152315499"/>
      <w:r>
        <w:rPr>
          <w:rFonts w:ascii="Times New Roman" w:hAnsi="Times New Roman"/>
          <w:noProof/>
          <w:sz w:val="24"/>
        </w:rPr>
        <w:t xml:space="preserve">Taj je prag osmišljen kako bi se osiguralo da zemlje pojačaju svoje djelovanje u području prevencije u skladu s intenzitetom rizika. </w:t>
      </w:r>
    </w:p>
    <w:p w14:paraId="42AFE59E" w14:textId="3BFC492F" w:rsidR="00582F14" w:rsidRPr="00BA4216" w:rsidRDefault="00760953" w:rsidP="00322378">
      <w:pPr>
        <w:spacing w:line="240" w:lineRule="auto"/>
        <w:jc w:val="both"/>
        <w:rPr>
          <w:rFonts w:ascii="Times New Roman" w:hAnsi="Times New Roman" w:cs="Times New Roman"/>
          <w:bCs/>
          <w:noProof/>
          <w:sz w:val="24"/>
          <w:szCs w:val="24"/>
        </w:rPr>
      </w:pPr>
      <w:r>
        <w:rPr>
          <w:rFonts w:ascii="Times New Roman" w:hAnsi="Times New Roman"/>
          <w:noProof/>
          <w:sz w:val="24"/>
        </w:rPr>
        <w:t>Komisija provodi pažljivu analizu razloga i okolnosti podnošenja zahtjeva za pomoć zaprimljenih od 2019. do 2023. za istu vrstu katastrofe kako bi procijenila jesu li ispunjeni uvjeti za primjenu mehanizma iz članka 6. stavka 4.</w:t>
      </w:r>
    </w:p>
    <w:bookmarkEnd w:id="7"/>
    <w:p w14:paraId="1AEE5019" w14:textId="1F5CF695" w:rsidR="00A622BA" w:rsidRPr="00C5129B" w:rsidRDefault="00E92271" w:rsidP="00A622BA">
      <w:pPr>
        <w:jc w:val="both"/>
        <w:rPr>
          <w:rFonts w:ascii="Times New Roman" w:hAnsi="Times New Roman" w:cs="Times New Roman"/>
          <w:b/>
          <w:bCs/>
          <w:i/>
          <w:iCs/>
          <w:noProof/>
          <w:sz w:val="24"/>
          <w:szCs w:val="24"/>
        </w:rPr>
      </w:pPr>
      <w:r>
        <w:rPr>
          <w:rFonts w:ascii="Times New Roman" w:hAnsi="Times New Roman"/>
          <w:b/>
          <w:noProof/>
          <w:sz w:val="24"/>
        </w:rPr>
        <w:t>Ciljevi Unije u pogledu otpornosti na katastrofe</w:t>
      </w:r>
      <w:r>
        <w:rPr>
          <w:rFonts w:ascii="Times New Roman" w:hAnsi="Times New Roman"/>
          <w:b/>
          <w:i/>
          <w:noProof/>
          <w:sz w:val="24"/>
        </w:rPr>
        <w:t xml:space="preserve"> (članak 6. stavak 5.)</w:t>
      </w:r>
    </w:p>
    <w:p w14:paraId="7D368A5C" w14:textId="31B5541B" w:rsidR="00C559F1" w:rsidRDefault="00CA5967" w:rsidP="00C559F1">
      <w:pPr>
        <w:spacing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Ciljevi Unije u pogledu otpornosti na katastrofe uključeni su u članak 6. stavak 5. u reviziji Odluke o Mehanizmu Unije za civilnu zaštitu iz 2021. Riječ je o neobvezujućim ciljevima u područjima civilne zaštite koji su od strateške važnosti za povećanje otpornosti EU-a i njegovih država članica te država sudionica i služe kao zajednička osnova za bolje upravljanje rizicima od katastrofa s višedržavnim prekograničnim učincima. </w:t>
      </w:r>
    </w:p>
    <w:p w14:paraId="746FB271" w14:textId="63B3BFDC" w:rsidR="00E92271" w:rsidRDefault="00B44BCE" w:rsidP="00C676A9">
      <w:pPr>
        <w:spacing w:line="240" w:lineRule="auto"/>
        <w:jc w:val="both"/>
        <w:rPr>
          <w:rFonts w:ascii="Times New Roman" w:hAnsi="Times New Roman" w:cs="Times New Roman"/>
          <w:noProof/>
          <w:sz w:val="24"/>
          <w:szCs w:val="24"/>
        </w:rPr>
      </w:pPr>
      <w:r>
        <w:rPr>
          <w:rFonts w:ascii="Times New Roman" w:hAnsi="Times New Roman"/>
          <w:noProof/>
          <w:sz w:val="24"/>
        </w:rPr>
        <w:t>Prvi ciljevi Unije u pogledu otpornosti na katastrofe razvijeni su u suradnji s državama članicama i državama sudionicama, a Komisija ih je donijela u veljači 2023.</w:t>
      </w:r>
      <w:r w:rsidR="00E92271" w:rsidRPr="00F7722E">
        <w:rPr>
          <w:rStyle w:val="FootnoteReference"/>
          <w:rFonts w:ascii="Times New Roman" w:hAnsi="Times New Roman" w:cs="Times New Roman"/>
          <w:noProof/>
          <w:sz w:val="24"/>
          <w:szCs w:val="24"/>
        </w:rPr>
        <w:footnoteReference w:id="15"/>
      </w:r>
      <w:r>
        <w:rPr>
          <w:rFonts w:ascii="Times New Roman" w:hAnsi="Times New Roman"/>
          <w:noProof/>
          <w:sz w:val="24"/>
        </w:rPr>
        <w:t xml:space="preserve"> Njima se jača ciklus upravljanja katastrofama koji se sastoji od prevencije, pripravnosti, odgovora i oporavka, a Komisija i države članice kontinuirano rade na njihovu ostvarenju. </w:t>
      </w:r>
    </w:p>
    <w:p w14:paraId="048AFAEC" w14:textId="345C28CA" w:rsidR="00E92271" w:rsidRDefault="00C5129B" w:rsidP="00C676A9">
      <w:pPr>
        <w:spacing w:line="240" w:lineRule="auto"/>
        <w:jc w:val="both"/>
        <w:rPr>
          <w:rFonts w:ascii="Times New Roman" w:hAnsi="Times New Roman" w:cs="Times New Roman"/>
          <w:noProof/>
          <w:sz w:val="24"/>
          <w:szCs w:val="24"/>
        </w:rPr>
      </w:pPr>
      <w:r>
        <w:rPr>
          <w:rFonts w:ascii="Times New Roman" w:hAnsi="Times New Roman"/>
          <w:noProof/>
          <w:sz w:val="24"/>
        </w:rPr>
        <w:t xml:space="preserve">S obzirom na prethodno navedeni razvoj događaja, iznose se sljedeće preporuke za daljnju </w:t>
      </w:r>
      <w:r>
        <w:rPr>
          <w:rFonts w:ascii="Times New Roman" w:hAnsi="Times New Roman"/>
          <w:b/>
          <w:noProof/>
          <w:sz w:val="24"/>
        </w:rPr>
        <w:t>provedbu članka 6.</w:t>
      </w:r>
      <w:r>
        <w:rPr>
          <w:rFonts w:ascii="Times New Roman" w:hAnsi="Times New Roman"/>
          <w:noProof/>
          <w:sz w:val="24"/>
        </w:rPr>
        <w:t>:</w:t>
      </w:r>
    </w:p>
    <w:tbl>
      <w:tblPr>
        <w:tblStyle w:val="TableGrid"/>
        <w:tblW w:w="0" w:type="auto"/>
        <w:tblLook w:val="04A0" w:firstRow="1" w:lastRow="0" w:firstColumn="1" w:lastColumn="0" w:noHBand="0" w:noVBand="1"/>
      </w:tblPr>
      <w:tblGrid>
        <w:gridCol w:w="9062"/>
      </w:tblGrid>
      <w:tr w:rsidR="00AD029E" w14:paraId="5EF8AF75" w14:textId="77777777" w:rsidTr="00AD029E">
        <w:tc>
          <w:tcPr>
            <w:tcW w:w="0" w:type="auto"/>
          </w:tcPr>
          <w:p w14:paraId="529A8ECF" w14:textId="413368BB" w:rsidR="00874489" w:rsidRPr="00C5129B" w:rsidRDefault="00874489" w:rsidP="00AD029E">
            <w:pPr>
              <w:jc w:val="both"/>
              <w:rPr>
                <w:rFonts w:ascii="Times New Roman" w:hAnsi="Times New Roman" w:cs="Times New Roman"/>
                <w:b/>
                <w:bCs/>
                <w:i/>
                <w:iCs/>
                <w:noProof/>
                <w:sz w:val="24"/>
                <w:szCs w:val="24"/>
              </w:rPr>
            </w:pPr>
            <w:r>
              <w:rPr>
                <w:rFonts w:ascii="Times New Roman" w:hAnsi="Times New Roman"/>
                <w:b/>
                <w:i/>
                <w:noProof/>
                <w:sz w:val="24"/>
              </w:rPr>
              <w:t>Komisija će:</w:t>
            </w:r>
          </w:p>
          <w:p w14:paraId="786706EA" w14:textId="4C6C65D4" w:rsidR="009362F3" w:rsidRPr="00945B4B" w:rsidRDefault="009362F3" w:rsidP="009362F3">
            <w:pPr>
              <w:pStyle w:val="ListParagraph"/>
              <w:numPr>
                <w:ilvl w:val="0"/>
                <w:numId w:val="11"/>
              </w:numPr>
              <w:spacing w:after="0" w:line="240" w:lineRule="auto"/>
              <w:ind w:left="741"/>
              <w:jc w:val="both"/>
              <w:rPr>
                <w:rFonts w:ascii="Times New Roman" w:hAnsi="Times New Roman" w:cs="Times New Roman"/>
                <w:noProof/>
                <w:sz w:val="24"/>
                <w:szCs w:val="24"/>
              </w:rPr>
            </w:pPr>
            <w:bookmarkStart w:id="8" w:name="_Hlk150509966"/>
            <w:r>
              <w:rPr>
                <w:rFonts w:ascii="Times New Roman" w:hAnsi="Times New Roman"/>
                <w:noProof/>
                <w:sz w:val="24"/>
              </w:rPr>
              <w:t>nastaviti promicati primjenu okvira za stručne provjere kao alata kojim se zemljama omogućuje da procijene svoju sposobnost upravljanja rizicima kako bi osigurale da njihovi pristupi prevenciji katastrofa i pripravnosti za njih budu učinkoviti i koherentni,</w:t>
            </w:r>
          </w:p>
          <w:p w14:paraId="78C95CD2" w14:textId="27D6CD31" w:rsidR="005D1C45" w:rsidRPr="00945B4B" w:rsidRDefault="005D1C45" w:rsidP="005D1C45">
            <w:pPr>
              <w:pStyle w:val="ListParagraph"/>
              <w:numPr>
                <w:ilvl w:val="0"/>
                <w:numId w:val="11"/>
              </w:numPr>
              <w:spacing w:after="0" w:line="240" w:lineRule="auto"/>
              <w:ind w:left="741"/>
              <w:jc w:val="both"/>
              <w:rPr>
                <w:rFonts w:ascii="Times New Roman" w:hAnsi="Times New Roman" w:cs="Times New Roman"/>
                <w:noProof/>
                <w:sz w:val="24"/>
                <w:szCs w:val="24"/>
              </w:rPr>
            </w:pPr>
            <w:r>
              <w:rPr>
                <w:rFonts w:ascii="Times New Roman" w:hAnsi="Times New Roman"/>
                <w:noProof/>
                <w:sz w:val="24"/>
              </w:rPr>
              <w:t xml:space="preserve">pažljivo analizirati razloge i okolnosti aktivacije za istu vrstu katastrofe kako bi se procijenilo jesu li ispunjeni uvjeti za primjenu mehanizma iz članka 6. stavka 4., </w:t>
            </w:r>
          </w:p>
          <w:p w14:paraId="07CE2473" w14:textId="0CF0F078" w:rsidR="00AC1E4D" w:rsidRPr="00ED16D7" w:rsidRDefault="00AC1E4D" w:rsidP="008B72CD">
            <w:pPr>
              <w:pStyle w:val="ListParagraph"/>
              <w:numPr>
                <w:ilvl w:val="0"/>
                <w:numId w:val="11"/>
              </w:numPr>
              <w:spacing w:after="0" w:line="240" w:lineRule="auto"/>
              <w:ind w:left="741"/>
              <w:jc w:val="both"/>
              <w:rPr>
                <w:rFonts w:ascii="Times New Roman" w:hAnsi="Times New Roman" w:cs="Times New Roman"/>
                <w:noProof/>
                <w:sz w:val="24"/>
                <w:szCs w:val="24"/>
              </w:rPr>
            </w:pPr>
            <w:r>
              <w:rPr>
                <w:rFonts w:ascii="Times New Roman" w:hAnsi="Times New Roman"/>
                <w:noProof/>
                <w:sz w:val="24"/>
              </w:rPr>
              <w:t xml:space="preserve">redovito pratiti i analizirati razloge i okolnosti aktivacije za istu vrstu opasnosti kako bi se državama članicama i državama sudionicama pružila potpora u njihovim nastojanjima da ojačaju svoju razinu prevencije i pripravnosti.  </w:t>
            </w:r>
          </w:p>
          <w:bookmarkEnd w:id="8"/>
          <w:p w14:paraId="2C1DB9C2" w14:textId="3E4E8372" w:rsidR="001B7777" w:rsidRPr="00C5129B" w:rsidRDefault="001B7777" w:rsidP="003631B6">
            <w:pPr>
              <w:pStyle w:val="ListParagraph"/>
              <w:tabs>
                <w:tab w:val="left" w:pos="3570"/>
              </w:tabs>
              <w:spacing w:after="0" w:line="240" w:lineRule="auto"/>
              <w:jc w:val="both"/>
              <w:rPr>
                <w:rFonts w:ascii="Times New Roman" w:hAnsi="Times New Roman" w:cs="Times New Roman"/>
                <w:noProof/>
                <w:sz w:val="24"/>
                <w:szCs w:val="24"/>
              </w:rPr>
            </w:pPr>
          </w:p>
          <w:p w14:paraId="309DBDD3" w14:textId="65156F79" w:rsidR="00AD029E" w:rsidRPr="00C5129B" w:rsidRDefault="00AD029E" w:rsidP="00AD029E">
            <w:pPr>
              <w:jc w:val="both"/>
              <w:rPr>
                <w:rFonts w:ascii="Times New Roman" w:hAnsi="Times New Roman" w:cs="Times New Roman"/>
                <w:b/>
                <w:bCs/>
                <w:i/>
                <w:iCs/>
                <w:noProof/>
                <w:sz w:val="24"/>
                <w:szCs w:val="24"/>
              </w:rPr>
            </w:pPr>
            <w:r>
              <w:rPr>
                <w:rFonts w:ascii="Times New Roman" w:hAnsi="Times New Roman"/>
                <w:b/>
                <w:i/>
                <w:noProof/>
                <w:sz w:val="24"/>
              </w:rPr>
              <w:t xml:space="preserve">Komisija bi zajedno s državama članicama i državama sudionicama trebala: </w:t>
            </w:r>
          </w:p>
          <w:p w14:paraId="105E74F8" w14:textId="3E77256C" w:rsidR="00AD029E" w:rsidRPr="00340F36" w:rsidRDefault="00145DE6" w:rsidP="00491169">
            <w:pPr>
              <w:pStyle w:val="ListParagraph"/>
              <w:numPr>
                <w:ilvl w:val="0"/>
                <w:numId w:val="7"/>
              </w:numPr>
              <w:spacing w:after="0" w:line="240" w:lineRule="auto"/>
              <w:jc w:val="both"/>
              <w:rPr>
                <w:rFonts w:ascii="Times New Roman" w:hAnsi="Times New Roman" w:cs="Times New Roman"/>
                <w:noProof/>
                <w:sz w:val="24"/>
                <w:szCs w:val="24"/>
              </w:rPr>
            </w:pPr>
            <w:r>
              <w:rPr>
                <w:rFonts w:ascii="Times New Roman" w:hAnsi="Times New Roman"/>
                <w:noProof/>
                <w:sz w:val="24"/>
              </w:rPr>
              <w:t>revidirati smjernice za podnošenje sažetih izvješća o upravljanju rizicima od katastrofa kako bi se u njih uključilo ostvarenje ciljeva Unije u pogledu otpornosti na katastrofe za sljedeći ciklus izvješćivanja i pronašli načini za pojednostavnjenje i racionalizaciju postupka izvješćivanja,</w:t>
            </w:r>
          </w:p>
          <w:p w14:paraId="6341EF2F" w14:textId="6E6BE23B" w:rsidR="007C4906" w:rsidRDefault="007C4906" w:rsidP="00491169">
            <w:pPr>
              <w:pStyle w:val="ListParagraph"/>
              <w:numPr>
                <w:ilvl w:val="0"/>
                <w:numId w:val="7"/>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poduzeti mjere kako bi se osiguralo postizanje ciljeva Unije u pogledu otpornosti na katastrofe, </w:t>
            </w:r>
          </w:p>
          <w:p w14:paraId="4D005D4E" w14:textId="3407A6BD" w:rsidR="005336FC" w:rsidRDefault="009D60BE" w:rsidP="005336FC">
            <w:pPr>
              <w:pStyle w:val="ListParagraph"/>
              <w:numPr>
                <w:ilvl w:val="0"/>
                <w:numId w:val="7"/>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poduzeti mjere za poboljšanje sustavnog prikupljanja podataka o gubicima nastalima u katastrofama. </w:t>
            </w:r>
          </w:p>
          <w:p w14:paraId="360AFF80" w14:textId="1B554C51" w:rsidR="00AD029E" w:rsidRPr="0034308E" w:rsidRDefault="00AD029E" w:rsidP="00C676A9">
            <w:pPr>
              <w:pStyle w:val="ListParagraph"/>
              <w:spacing w:after="0" w:line="240" w:lineRule="auto"/>
              <w:jc w:val="both"/>
              <w:rPr>
                <w:rFonts w:ascii="Times New Roman" w:hAnsi="Times New Roman" w:cs="Times New Roman"/>
                <w:noProof/>
                <w:sz w:val="24"/>
                <w:szCs w:val="24"/>
              </w:rPr>
            </w:pPr>
          </w:p>
        </w:tc>
      </w:tr>
    </w:tbl>
    <w:p w14:paraId="0D44B6B7" w14:textId="2296A9E9" w:rsidR="00A72AB6" w:rsidRPr="00EA134E" w:rsidRDefault="00A72AB6" w:rsidP="004B4DFE">
      <w:pPr>
        <w:pStyle w:val="Heading1"/>
        <w:jc w:val="both"/>
        <w:rPr>
          <w:noProof/>
        </w:rPr>
      </w:pPr>
      <w:r>
        <w:rPr>
          <w:noProof/>
        </w:rPr>
        <w:t>KLJUČNI NALAZI O UPRAVLJANJU RIZICIMA OD KATASTROFA I NJIHOVOJ PREVENCIJI</w:t>
      </w:r>
    </w:p>
    <w:p w14:paraId="20224C7F" w14:textId="09BCAEA3" w:rsidR="00A72AB6" w:rsidRDefault="002B122C" w:rsidP="004B4DFE">
      <w:pPr>
        <w:spacing w:line="240" w:lineRule="auto"/>
        <w:jc w:val="both"/>
        <w:rPr>
          <w:rFonts w:ascii="Times New Roman" w:hAnsi="Times New Roman" w:cs="Times New Roman"/>
          <w:noProof/>
          <w:sz w:val="24"/>
          <w:szCs w:val="24"/>
        </w:rPr>
      </w:pPr>
      <w:r>
        <w:rPr>
          <w:rFonts w:ascii="Times New Roman" w:hAnsi="Times New Roman"/>
          <w:noProof/>
          <w:sz w:val="24"/>
        </w:rPr>
        <w:t xml:space="preserve">Komisija je utvrdila </w:t>
      </w:r>
      <w:r>
        <w:rPr>
          <w:rFonts w:ascii="Times New Roman" w:hAnsi="Times New Roman"/>
          <w:b/>
          <w:noProof/>
          <w:sz w:val="24"/>
        </w:rPr>
        <w:t>ključne nalaze o</w:t>
      </w:r>
      <w:r>
        <w:rPr>
          <w:rFonts w:ascii="Times New Roman" w:hAnsi="Times New Roman"/>
          <w:noProof/>
          <w:sz w:val="24"/>
        </w:rPr>
        <w:t xml:space="preserve"> upravljanju rizicima od katastrofa i njihovoj prevenciji </w:t>
      </w:r>
      <w:r>
        <w:rPr>
          <w:rFonts w:ascii="Times New Roman" w:hAnsi="Times New Roman"/>
          <w:b/>
          <w:noProof/>
          <w:sz w:val="24"/>
        </w:rPr>
        <w:t xml:space="preserve">na temelju </w:t>
      </w:r>
      <w:r>
        <w:rPr>
          <w:rFonts w:ascii="Times New Roman" w:hAnsi="Times New Roman"/>
          <w:noProof/>
          <w:sz w:val="24"/>
        </w:rPr>
        <w:t xml:space="preserve">analiza sažetih izvješća koja su </w:t>
      </w:r>
      <w:r>
        <w:rPr>
          <w:rFonts w:ascii="Times New Roman" w:hAnsi="Times New Roman"/>
          <w:noProof/>
          <w:color w:val="000000"/>
          <w:sz w:val="24"/>
        </w:rPr>
        <w:t xml:space="preserve">države članice i države sudionice </w:t>
      </w:r>
      <w:r>
        <w:rPr>
          <w:rFonts w:ascii="Times New Roman" w:hAnsi="Times New Roman"/>
          <w:noProof/>
          <w:sz w:val="24"/>
        </w:rPr>
        <w:t>podnijele Komisiji</w:t>
      </w:r>
      <w:r w:rsidR="00A72AB6" w:rsidRPr="0009380E">
        <w:rPr>
          <w:rStyle w:val="FootnoteReference"/>
          <w:rFonts w:ascii="Times New Roman" w:hAnsi="Times New Roman" w:cs="Times New Roman"/>
          <w:noProof/>
          <w:sz w:val="24"/>
          <w:szCs w:val="24"/>
        </w:rPr>
        <w:footnoteReference w:id="16"/>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Ovisno o slučaju, u njima se odražavaju zaključci iz prethodnih nacionalnih </w:t>
      </w:r>
      <w:r>
        <w:rPr>
          <w:rFonts w:ascii="Times New Roman" w:hAnsi="Times New Roman"/>
          <w:noProof/>
          <w:sz w:val="24"/>
        </w:rPr>
        <w:lastRenderedPageBreak/>
        <w:t>procjena rizika koje su zemlje dostavile u skladu s člankom 6. (2015., 2018.)</w:t>
      </w:r>
      <w:r w:rsidR="00A72AB6">
        <w:rPr>
          <w:rStyle w:val="FootnoteReference"/>
          <w:rFonts w:ascii="Times New Roman" w:hAnsi="Times New Roman" w:cs="Times New Roman"/>
          <w:noProof/>
          <w:sz w:val="24"/>
          <w:szCs w:val="24"/>
        </w:rPr>
        <w:footnoteReference w:id="17"/>
      </w:r>
      <w:r>
        <w:rPr>
          <w:rFonts w:ascii="Times New Roman" w:hAnsi="Times New Roman"/>
          <w:noProof/>
          <w:sz w:val="24"/>
        </w:rPr>
        <w:t xml:space="preserve">. Popratni radni </w:t>
      </w:r>
      <w:r w:rsidR="008E0288" w:rsidRPr="008E0288">
        <w:rPr>
          <w:noProof/>
          <w:lang w:val="en-GB" w:eastAsia="en-GB"/>
        </w:rPr>
        <w:drawing>
          <wp:anchor distT="0" distB="0" distL="114300" distR="114300" simplePos="0" relativeHeight="251659265" behindDoc="0" locked="0" layoutInCell="1" allowOverlap="1" wp14:anchorId="156CD593" wp14:editId="240A686C">
            <wp:simplePos x="0" y="0"/>
            <wp:positionH relativeFrom="margin">
              <wp:posOffset>3936365</wp:posOffset>
            </wp:positionH>
            <wp:positionV relativeFrom="margin">
              <wp:posOffset>443230</wp:posOffset>
            </wp:positionV>
            <wp:extent cx="1906905" cy="1219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690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t>dokument službi Komisije</w:t>
      </w:r>
      <w:r w:rsidR="00A72AB6">
        <w:rPr>
          <w:rStyle w:val="FootnoteReference"/>
          <w:rFonts w:ascii="Times New Roman" w:hAnsi="Times New Roman" w:cs="Times New Roman"/>
          <w:noProof/>
          <w:sz w:val="24"/>
          <w:szCs w:val="24"/>
        </w:rPr>
        <w:footnoteReference w:id="18"/>
      </w:r>
      <w:r>
        <w:rPr>
          <w:rFonts w:ascii="Times New Roman" w:hAnsi="Times New Roman"/>
          <w:noProof/>
          <w:sz w:val="24"/>
        </w:rPr>
        <w:t xml:space="preserve"> sadržava dodatne pojedinosti o zaključcima tih izvješća</w:t>
      </w:r>
      <w:r w:rsidR="00727661">
        <w:rPr>
          <w:rStyle w:val="FootnoteReference"/>
          <w:rFonts w:ascii="Times New Roman" w:hAnsi="Times New Roman" w:cs="Times New Roman"/>
          <w:noProof/>
          <w:sz w:val="24"/>
          <w:szCs w:val="24"/>
        </w:rPr>
        <w:footnoteReference w:id="19"/>
      </w:r>
      <w:r>
        <w:rPr>
          <w:rFonts w:ascii="Times New Roman" w:hAnsi="Times New Roman"/>
          <w:noProof/>
          <w:sz w:val="24"/>
        </w:rPr>
        <w:t>.</w:t>
      </w:r>
    </w:p>
    <w:bookmarkEnd w:id="6"/>
    <w:p w14:paraId="5EDD5896" w14:textId="64D2E589" w:rsidR="00A72AB6" w:rsidRPr="00BD639E" w:rsidRDefault="00863F8A" w:rsidP="00BD639E">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b/>
          <w:noProof/>
          <w:sz w:val="24"/>
        </w:rPr>
        <w:t>Nacionalna izvješća o upravljanju rizicima od katastrofa</w:t>
      </w:r>
      <w:r>
        <w:rPr>
          <w:rFonts w:ascii="Times New Roman" w:hAnsi="Times New Roman"/>
          <w:noProof/>
          <w:sz w:val="24"/>
        </w:rPr>
        <w:t xml:space="preserve"> moraju se dostaviti Komisiji svake tri godine u skladu s člankom 6. stavkom 1. točkom (d). </w:t>
      </w:r>
      <w:r>
        <w:rPr>
          <w:rFonts w:ascii="Times New Roman" w:hAnsi="Times New Roman"/>
          <w:noProof/>
          <w:color w:val="000000"/>
          <w:sz w:val="24"/>
        </w:rPr>
        <w:t>Broj zemalja koje podnose izvješća od 2013. je relativno stabilan i visok, iako nije riječ o potpunom broju. Komisija je zaprimila 31 (od 34) izvješća u okviru roka utvrđenog za 2015., 30 (od 34) u okviru roka utvrđenog za 2018. i 32 (od 33) u okviru roka utvrđenog za 2020.</w:t>
      </w:r>
      <w:r w:rsidR="000B7B26" w:rsidRPr="009C1E4F">
        <w:rPr>
          <w:rStyle w:val="FootnoteReference"/>
          <w:rFonts w:ascii="Times New Roman" w:hAnsi="Times New Roman" w:cs="Times New Roman"/>
          <w:noProof/>
          <w:color w:val="000000"/>
          <w:sz w:val="24"/>
          <w:szCs w:val="24"/>
        </w:rPr>
        <w:footnoteReference w:id="20"/>
      </w:r>
      <w:r>
        <w:rPr>
          <w:i/>
          <w:noProof/>
          <w:sz w:val="20"/>
        </w:rPr>
        <w:t xml:space="preserve"> </w:t>
      </w:r>
    </w:p>
    <w:p w14:paraId="6C9C5206" w14:textId="52C44ED2" w:rsidR="00A72AB6" w:rsidRPr="00B76D24" w:rsidRDefault="00A72AB6" w:rsidP="004B4DFE">
      <w:pPr>
        <w:pBdr>
          <w:top w:val="single" w:sz="4" w:space="1" w:color="auto"/>
          <w:left w:val="single" w:sz="4" w:space="4" w:color="auto"/>
          <w:bottom w:val="single" w:sz="4" w:space="1" w:color="auto"/>
          <w:right w:val="single" w:sz="4" w:space="4" w:color="auto"/>
        </w:pBdr>
        <w:spacing w:line="240" w:lineRule="auto"/>
        <w:jc w:val="both"/>
        <w:rPr>
          <w:rFonts w:cstheme="minorHAnsi"/>
          <w:i/>
          <w:noProof/>
          <w:color w:val="000000"/>
          <w:sz w:val="20"/>
          <w:szCs w:val="20"/>
        </w:rPr>
      </w:pPr>
      <w:r>
        <w:rPr>
          <w:i/>
          <w:noProof/>
          <w:sz w:val="20"/>
        </w:rPr>
        <w:t xml:space="preserve">Slika 2: </w:t>
      </w:r>
      <w:r>
        <w:rPr>
          <w:b/>
          <w:i/>
          <w:noProof/>
          <w:sz w:val="20"/>
        </w:rPr>
        <w:t>Pokazatelj</w:t>
      </w:r>
      <w:r>
        <w:rPr>
          <w:i/>
          <w:noProof/>
          <w:sz w:val="20"/>
        </w:rPr>
        <w:t xml:space="preserve"> u okviru Mehanizma Unije za civilnu zaštitu</w:t>
      </w:r>
      <w:r w:rsidRPr="00B76D24">
        <w:rPr>
          <w:rStyle w:val="FootnoteReference"/>
          <w:rFonts w:cstheme="minorHAnsi"/>
          <w:b/>
          <w:i/>
          <w:noProof/>
          <w:sz w:val="20"/>
          <w:szCs w:val="20"/>
        </w:rPr>
        <w:footnoteReference w:id="21"/>
      </w:r>
      <w:r>
        <w:rPr>
          <w:i/>
          <w:noProof/>
          <w:sz w:val="20"/>
        </w:rPr>
        <w:t xml:space="preserve"> za praćenje, evaluaciju i procjenu primjene zakonodavstva o Mehanizmu Unije za civilnu zaštitu odnosi se na članak 6. i njime se prati </w:t>
      </w:r>
      <w:r>
        <w:rPr>
          <w:i/>
          <w:noProof/>
          <w:color w:val="000000"/>
          <w:sz w:val="20"/>
        </w:rPr>
        <w:t xml:space="preserve">„napredak u provedbi okvira za prevenciju katastrofa, koji se mjeri se brojem država članica koje su Komisiji dostavile informacije navedene u članku 6. stavku 1. točki (d)”. </w:t>
      </w:r>
      <w:r>
        <w:rPr>
          <w:noProof/>
          <w:sz w:val="20"/>
        </w:rPr>
        <w:t xml:space="preserve"> </w:t>
      </w:r>
      <w:r>
        <w:rPr>
          <w:i/>
          <w:noProof/>
          <w:sz w:val="20"/>
        </w:rPr>
        <w:t xml:space="preserve"> </w:t>
      </w:r>
    </w:p>
    <w:p w14:paraId="766E7859" w14:textId="4B03904D" w:rsidR="00CF1911" w:rsidRDefault="00C6772D" w:rsidP="00663E37">
      <w:pPr>
        <w:spacing w:line="240" w:lineRule="auto"/>
        <w:jc w:val="both"/>
        <w:rPr>
          <w:rFonts w:ascii="Times New Roman" w:hAnsi="Times New Roman" w:cs="Times New Roman"/>
          <w:noProof/>
          <w:sz w:val="24"/>
          <w:szCs w:val="24"/>
        </w:rPr>
      </w:pPr>
      <w:r>
        <w:rPr>
          <w:rFonts w:ascii="Times New Roman" w:hAnsi="Times New Roman"/>
          <w:noProof/>
          <w:sz w:val="24"/>
        </w:rPr>
        <w:t xml:space="preserve">U sljedećim odjeljcima sažeti su ključni nalazi koji se temelje na Komisijinoj analizi odgovora na 24 pitanja o procjeni rizika (pitanja 1. – 8.), procjeni sposobnosti upravljanja rizicima (pitanja 9. – 20.) i prioritetnim mjerama pripravnosti i prevencije (pitanja 21. – 24.) u smjernicama za izvješćivanje. </w:t>
      </w:r>
    </w:p>
    <w:p w14:paraId="2494AD4D" w14:textId="1049976E" w:rsidR="0050215C" w:rsidRDefault="00460A24" w:rsidP="00663E37">
      <w:pPr>
        <w:spacing w:line="240" w:lineRule="auto"/>
        <w:jc w:val="both"/>
        <w:rPr>
          <w:rFonts w:ascii="Times New Roman" w:hAnsi="Times New Roman" w:cs="Times New Roman"/>
          <w:noProof/>
          <w:sz w:val="24"/>
          <w:szCs w:val="24"/>
        </w:rPr>
      </w:pPr>
      <w:r>
        <w:rPr>
          <w:rFonts w:ascii="Times New Roman" w:hAnsi="Times New Roman"/>
          <w:noProof/>
          <w:sz w:val="24"/>
        </w:rPr>
        <w:t xml:space="preserve">Ti su nalazi sažeti u skladu s </w:t>
      </w:r>
      <w:r>
        <w:rPr>
          <w:rFonts w:ascii="Times New Roman" w:hAnsi="Times New Roman"/>
          <w:b/>
          <w:noProof/>
          <w:sz w:val="24"/>
        </w:rPr>
        <w:t>osam sastavnica upravljanja rizicima od katastrofa</w:t>
      </w:r>
      <w:r>
        <w:rPr>
          <w:rFonts w:ascii="Times New Roman" w:hAnsi="Times New Roman"/>
          <w:noProof/>
          <w:sz w:val="24"/>
        </w:rPr>
        <w:t>, na kojima se temelje ciljevi Unije u pogledu otpornosti na katastrofe. Na temelju tih nalaza u ovom se izvješću iznose preporuke za uklanjanje nedostataka i manjkavosti, poboljšanje upravljanja rizicima od katastrofa i poticanje kulture prevencije.</w:t>
      </w:r>
    </w:p>
    <w:p w14:paraId="5A39AC73" w14:textId="3999D0FC" w:rsidR="00A72AB6" w:rsidRPr="007F0152" w:rsidRDefault="00D058DE" w:rsidP="00446F4C">
      <w:pPr>
        <w:pStyle w:val="Heading2"/>
        <w:rPr>
          <w:noProof/>
        </w:rPr>
      </w:pPr>
      <w:bookmarkStart w:id="10" w:name="_Toc148458551"/>
      <w:r>
        <w:rPr>
          <w:noProof/>
        </w:rPr>
        <w:t>4.1.</w:t>
      </w:r>
      <w:r>
        <w:rPr>
          <w:noProof/>
        </w:rPr>
        <w:tab/>
        <w:t>Razumijevanje i predviđanje rizika</w:t>
      </w:r>
      <w:bookmarkEnd w:id="10"/>
    </w:p>
    <w:p w14:paraId="7199B069" w14:textId="12E1B22B" w:rsidR="00A72AB6" w:rsidRPr="00A91D47" w:rsidRDefault="00A72AB6" w:rsidP="00446F4C">
      <w:pPr>
        <w:pStyle w:val="Heading2"/>
        <w:rPr>
          <w:noProof/>
        </w:rPr>
      </w:pPr>
      <w:bookmarkStart w:id="11" w:name="_Toc148458552"/>
      <w:r>
        <w:rPr>
          <w:noProof/>
        </w:rPr>
        <w:t>A. Utvrđivanje ključnih rizika od katastrofa</w:t>
      </w:r>
      <w:r>
        <w:rPr>
          <w:rStyle w:val="FootnoteReference"/>
          <w:noProof/>
        </w:rPr>
        <w:footnoteReference w:id="22"/>
      </w:r>
      <w:bookmarkEnd w:id="11"/>
    </w:p>
    <w:p w14:paraId="301196EB" w14:textId="3F5DF442" w:rsidR="00A72AB6" w:rsidRDefault="00A72AB6" w:rsidP="00B05256">
      <w:pPr>
        <w:spacing w:line="240" w:lineRule="auto"/>
        <w:jc w:val="both"/>
        <w:rPr>
          <w:rFonts w:ascii="Times New Roman" w:hAnsi="Times New Roman" w:cs="Times New Roman"/>
          <w:iCs/>
          <w:noProof/>
          <w:sz w:val="24"/>
          <w:szCs w:val="24"/>
        </w:rPr>
      </w:pPr>
      <w:r>
        <w:rPr>
          <w:rFonts w:ascii="Times New Roman" w:hAnsi="Times New Roman"/>
          <w:b/>
          <w:i/>
          <w:noProof/>
          <w:sz w:val="24"/>
        </w:rPr>
        <w:t>Potvrđeni su ključni rizici koje zemlje najčešće prijavljuju i koji izazivaju zabrinutost od 2015.</w:t>
      </w:r>
      <w:r>
        <w:rPr>
          <w:rFonts w:ascii="Times New Roman" w:hAnsi="Times New Roman"/>
          <w:b/>
          <w:noProof/>
          <w:sz w:val="24"/>
        </w:rPr>
        <w:t xml:space="preserve"> </w:t>
      </w:r>
      <w:r>
        <w:rPr>
          <w:rFonts w:ascii="Times New Roman" w:hAnsi="Times New Roman"/>
          <w:noProof/>
          <w:sz w:val="24"/>
        </w:rPr>
        <w:t xml:space="preserve">Najmanje dvije trećine </w:t>
      </w:r>
      <w:r>
        <w:rPr>
          <w:rFonts w:ascii="Times New Roman" w:hAnsi="Times New Roman"/>
          <w:noProof/>
          <w:color w:val="000000"/>
          <w:sz w:val="24"/>
        </w:rPr>
        <w:t>država članica i država sudionica</w:t>
      </w:r>
      <w:r>
        <w:rPr>
          <w:rFonts w:ascii="Times New Roman" w:hAnsi="Times New Roman"/>
          <w:noProof/>
          <w:sz w:val="24"/>
        </w:rPr>
        <w:t xml:space="preserve"> ključnim prirodnim rizici i rizicima povezanima sa zdravljem ljudi smatraju poplave, ekstremne vremenske uvjete, zdravlje ljudi / pandemije, suše i šumske požare. Najčešći rizici koje uzrokuje čovjek ili tehnološki rizici jesu nuklearni i radiološki rizici, industrijski rizici i poremećaji u kritičnoj infrastrukturi. </w:t>
      </w:r>
    </w:p>
    <w:p w14:paraId="25A56C59" w14:textId="3D411CD0" w:rsidR="00303529" w:rsidRPr="00D12195" w:rsidRDefault="008E0288" w:rsidP="00303529">
      <w:pPr>
        <w:pStyle w:val="Bodytext21"/>
        <w:spacing w:before="0" w:after="160" w:line="259" w:lineRule="auto"/>
        <w:ind w:firstLine="0"/>
        <w:rPr>
          <w:rFonts w:ascii="Times New Roman" w:hAnsi="Times New Roman" w:cs="Times New Roman"/>
          <w:noProof/>
          <w:sz w:val="24"/>
          <w:szCs w:val="24"/>
        </w:rPr>
      </w:pPr>
      <w:r>
        <w:rPr>
          <w:noProof/>
          <w:lang w:val="en-GB" w:eastAsia="en-GB" w:bidi="ar-SA"/>
        </w:rPr>
        <w:lastRenderedPageBreak/>
        <mc:AlternateContent>
          <mc:Choice Requires="wps">
            <w:drawing>
              <wp:anchor distT="0" distB="0" distL="114300" distR="114300" simplePos="0" relativeHeight="251661313" behindDoc="0" locked="0" layoutInCell="1" allowOverlap="1" wp14:anchorId="05FB2651" wp14:editId="3C16930B">
                <wp:simplePos x="0" y="0"/>
                <wp:positionH relativeFrom="column">
                  <wp:posOffset>-4445</wp:posOffset>
                </wp:positionH>
                <wp:positionV relativeFrom="paragraph">
                  <wp:posOffset>-315595</wp:posOffset>
                </wp:positionV>
                <wp:extent cx="5664200" cy="3111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311150"/>
                        </a:xfrm>
                        <a:prstGeom prst="rect">
                          <a:avLst/>
                        </a:prstGeom>
                        <a:solidFill>
                          <a:srgbClr val="FFFFFF"/>
                        </a:solidFill>
                        <a:ln w="9525">
                          <a:solidFill>
                            <a:srgbClr val="000000"/>
                          </a:solidFill>
                          <a:miter lim="800000"/>
                          <a:headEnd/>
                          <a:tailEnd/>
                        </a:ln>
                      </wps:spPr>
                      <wps:txbx>
                        <w:txbxContent>
                          <w:p w14:paraId="732067F5" w14:textId="77777777" w:rsidR="008E0288" w:rsidRPr="00082665" w:rsidRDefault="008E0288" w:rsidP="008E0288">
                            <w:pPr>
                              <w:rPr>
                                <w:sz w:val="24"/>
                                <w:szCs w:val="24"/>
                              </w:rPr>
                            </w:pPr>
                            <w:r>
                              <w:rPr>
                                <w:sz w:val="24"/>
                              </w:rPr>
                              <w:t>Razvoj rizika koje su zemlje navele 2015., 2018. i 2020.</w:t>
                            </w:r>
                          </w:p>
                        </w:txbxContent>
                      </wps:txbx>
                      <wps:bodyPr rot="0" vert="horz" wrap="square" lIns="91440" tIns="45720" rIns="91440" bIns="45720" anchor="t" anchorCtr="0">
                        <a:noAutofit/>
                      </wps:bodyPr>
                    </wps:wsp>
                  </a:graphicData>
                </a:graphic>
              </wp:anchor>
            </w:drawing>
          </mc:Choice>
          <mc:Fallback>
            <w:pict>
              <v:shapetype w14:anchorId="05FB2651" id="_x0000_t202" coordsize="21600,21600" o:spt="202" path="m,l,21600r21600,l21600,xe">
                <v:stroke joinstyle="miter"/>
                <v:path gradientshapeok="t" o:connecttype="rect"/>
              </v:shapetype>
              <v:shape id="Text Box 2" o:spid="_x0000_s1026" type="#_x0000_t202" style="position:absolute;left:0;text-align:left;margin-left:-.35pt;margin-top:-24.85pt;width:446pt;height:24.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">
                <v:textbox>
                  <w:txbxContent>
                    <w:p w14:paraId="732067F5" w14:textId="77777777" w:rsidR="008E0288" w:rsidRPr="00082665" w:rsidRDefault="008E0288" w:rsidP="008E0288">
                      <w:pPr>
                        <w:rPr>
                          <w:sz w:val="24"/>
                          <w:szCs w:val="24"/>
                        </w:rPr>
                      </w:pPr>
                      <w:r>
                        <w:rPr>
                          <w:sz w:val="24"/>
                        </w:rPr>
                        <w:t>Razvoj rizika koje su zemlje navele 2015., 2018. i 2020.</w:t>
                      </w:r>
                    </w:p>
                  </w:txbxContent>
                </v:textbox>
              </v:shape>
            </w:pict>
          </mc:Fallback>
        </mc:AlternateContent>
      </w:r>
      <w:r w:rsidRPr="008E0288">
        <w:rPr>
          <w:noProof/>
          <w:lang w:val="en-GB" w:eastAsia="en-GB" w:bidi="ar-SA"/>
        </w:rPr>
        <w:drawing>
          <wp:inline distT="0" distB="0" distL="0" distR="0" wp14:anchorId="6516DED8" wp14:editId="3394FF4E">
            <wp:extent cx="5760720" cy="3486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486150"/>
                    </a:xfrm>
                    <a:prstGeom prst="rect">
                      <a:avLst/>
                    </a:prstGeom>
                    <a:noFill/>
                    <a:ln>
                      <a:noFill/>
                    </a:ln>
                  </pic:spPr>
                </pic:pic>
              </a:graphicData>
            </a:graphic>
          </wp:inline>
        </w:drawing>
      </w:r>
    </w:p>
    <w:p w14:paraId="563A6640" w14:textId="1435741E" w:rsidR="00303529" w:rsidRPr="009C1E4F" w:rsidRDefault="00303529" w:rsidP="009C1E4F">
      <w:pPr>
        <w:pStyle w:val="Bodytext21"/>
        <w:spacing w:before="0" w:after="120" w:line="240" w:lineRule="auto"/>
        <w:ind w:firstLine="0"/>
        <w:rPr>
          <w:rFonts w:ascii="Times New Roman" w:hAnsi="Times New Roman" w:cs="Times New Roman"/>
          <w:noProof/>
          <w:sz w:val="10"/>
          <w:szCs w:val="10"/>
        </w:rPr>
      </w:pPr>
    </w:p>
    <w:p w14:paraId="19718FE0" w14:textId="1161E21D" w:rsidR="00303529" w:rsidRDefault="007329EC" w:rsidP="004B4DFE">
      <w:pPr>
        <w:pStyle w:val="Figurelabel-numbered"/>
        <w:numPr>
          <w:ilvl w:val="0"/>
          <w:numId w:val="0"/>
        </w:numPr>
        <w:spacing w:line="240" w:lineRule="auto"/>
        <w:rPr>
          <w:noProof/>
        </w:rPr>
      </w:pPr>
      <w:r>
        <w:rPr>
          <w:noProof/>
        </w:rPr>
        <w:t xml:space="preserve">Slika 3: Broj zemalja koje su u izvješćima za 2015., 2018. i 2020. utvrdile da je određeni rizik od katastrofa relevantan. Izvori: izvješća za 2015. (pregled iz 2017.), izvješća za 2018. (pregled iz 2020.), izvješća za 2020. (sažeta izvješća o upravljanju rizicima od katastrofa, pitanje 3). </w:t>
      </w:r>
    </w:p>
    <w:p w14:paraId="05847383" w14:textId="4D3782E8" w:rsidR="00A72AB6" w:rsidRPr="00D12195" w:rsidRDefault="004E6669" w:rsidP="004B4DFE">
      <w:pPr>
        <w:pStyle w:val="ListParagraph"/>
        <w:spacing w:line="240" w:lineRule="auto"/>
        <w:ind w:left="0"/>
        <w:jc w:val="both"/>
        <w:rPr>
          <w:rFonts w:ascii="Times New Roman" w:hAnsi="Times New Roman" w:cs="Times New Roman"/>
          <w:b/>
          <w:bCs/>
          <w:i/>
          <w:noProof/>
          <w:sz w:val="24"/>
          <w:szCs w:val="24"/>
        </w:rPr>
      </w:pPr>
      <w:r>
        <w:rPr>
          <w:rFonts w:ascii="Times New Roman" w:hAnsi="Times New Roman"/>
          <w:b/>
          <w:i/>
          <w:noProof/>
          <w:sz w:val="24"/>
        </w:rPr>
        <w:t>U cijeloj Europi raste zabrinutost zbog određenih rizika od katastrofa.</w:t>
      </w:r>
      <w:r>
        <w:rPr>
          <w:i/>
          <w:noProof/>
          <w:sz w:val="20"/>
        </w:rPr>
        <w:t xml:space="preserve"> </w:t>
      </w:r>
      <w:r>
        <w:rPr>
          <w:rFonts w:ascii="Times New Roman" w:hAnsi="Times New Roman"/>
          <w:b/>
          <w:i/>
          <w:noProof/>
          <w:sz w:val="24"/>
        </w:rPr>
        <w:t xml:space="preserve">Suša je rizik u pogledu kojeg se zabrinutost najviše povećala. </w:t>
      </w:r>
      <w:r>
        <w:rPr>
          <w:rFonts w:ascii="Times New Roman" w:hAnsi="Times New Roman"/>
          <w:noProof/>
          <w:sz w:val="24"/>
        </w:rPr>
        <w:t xml:space="preserve">Broj država članica EU-a koje su utvrdile suše kao relevantan rizik 2020. je bio dvostruko veći nego 2015. Porasla je i zabrinutost zbog rizika od </w:t>
      </w:r>
      <w:r>
        <w:rPr>
          <w:rFonts w:ascii="Times New Roman" w:hAnsi="Times New Roman"/>
          <w:b/>
          <w:noProof/>
          <w:sz w:val="24"/>
        </w:rPr>
        <w:t>nuklearnih i radioloških nesreća, opasnosti povezanih sa zdravljem ljudi, kibernetičkih prijetnji, cunamija</w:t>
      </w:r>
      <w:r>
        <w:rPr>
          <w:rFonts w:ascii="Times New Roman" w:hAnsi="Times New Roman"/>
          <w:noProof/>
          <w:sz w:val="24"/>
        </w:rPr>
        <w:t xml:space="preserve"> i </w:t>
      </w:r>
      <w:r>
        <w:rPr>
          <w:rFonts w:ascii="Times New Roman" w:hAnsi="Times New Roman"/>
          <w:b/>
          <w:noProof/>
          <w:sz w:val="24"/>
        </w:rPr>
        <w:t xml:space="preserve">kretanja stanovništva, rizika od čvrste mase </w:t>
      </w:r>
      <w:r>
        <w:rPr>
          <w:rFonts w:ascii="Times New Roman" w:hAnsi="Times New Roman"/>
          <w:noProof/>
          <w:sz w:val="24"/>
        </w:rPr>
        <w:t xml:space="preserve">(klizišta, lavine, odron kamenja i slijeganje tla), </w:t>
      </w:r>
      <w:r>
        <w:rPr>
          <w:rFonts w:ascii="Times New Roman" w:hAnsi="Times New Roman"/>
          <w:b/>
          <w:noProof/>
          <w:sz w:val="24"/>
        </w:rPr>
        <w:t>geopolitičkih i društvenih rizika</w:t>
      </w:r>
      <w:r>
        <w:rPr>
          <w:rFonts w:ascii="Times New Roman" w:hAnsi="Times New Roman"/>
          <w:noProof/>
          <w:sz w:val="24"/>
        </w:rPr>
        <w:t xml:space="preserve">, </w:t>
      </w:r>
      <w:r>
        <w:rPr>
          <w:rFonts w:ascii="Times New Roman" w:hAnsi="Times New Roman"/>
          <w:b/>
          <w:noProof/>
          <w:sz w:val="24"/>
        </w:rPr>
        <w:t>rizika povezanih s prometom</w:t>
      </w:r>
      <w:r>
        <w:rPr>
          <w:rFonts w:ascii="Times New Roman" w:hAnsi="Times New Roman"/>
          <w:noProof/>
          <w:sz w:val="24"/>
        </w:rPr>
        <w:t xml:space="preserve"> te</w:t>
      </w:r>
      <w:r>
        <w:rPr>
          <w:rFonts w:ascii="Times New Roman" w:hAnsi="Times New Roman"/>
          <w:b/>
          <w:noProof/>
          <w:sz w:val="24"/>
        </w:rPr>
        <w:t xml:space="preserve"> rizika za okoliš i kemijskih rizika</w:t>
      </w:r>
      <w:r>
        <w:rPr>
          <w:rFonts w:ascii="Times New Roman" w:hAnsi="Times New Roman"/>
          <w:noProof/>
          <w:sz w:val="24"/>
        </w:rPr>
        <w:t>.</w:t>
      </w:r>
      <w:r w:rsidR="00C56375">
        <w:rPr>
          <w:rStyle w:val="FootnoteReference"/>
          <w:rFonts w:ascii="Times New Roman" w:hAnsi="Times New Roman" w:cs="Times New Roman"/>
          <w:noProof/>
          <w:sz w:val="24"/>
          <w:szCs w:val="24"/>
        </w:rPr>
        <w:footnoteReference w:id="23"/>
      </w:r>
    </w:p>
    <w:p w14:paraId="45502163" w14:textId="1F91838E" w:rsidR="00A72AB6" w:rsidRPr="004E53E5" w:rsidRDefault="001D1113" w:rsidP="004B4DFE">
      <w:pPr>
        <w:spacing w:line="240" w:lineRule="auto"/>
        <w:jc w:val="both"/>
        <w:rPr>
          <w:rFonts w:ascii="Times New Roman" w:hAnsi="Times New Roman" w:cs="Times New Roman"/>
          <w:noProof/>
          <w:sz w:val="24"/>
          <w:szCs w:val="24"/>
          <w:highlight w:val="yellow"/>
        </w:rPr>
      </w:pPr>
      <w:r>
        <w:rPr>
          <w:rFonts w:ascii="Times New Roman" w:hAnsi="Times New Roman"/>
          <w:b/>
          <w:i/>
          <w:noProof/>
          <w:sz w:val="24"/>
        </w:rPr>
        <w:t>Većina zemalja sada uz nove rizike utvrđuje i manje vjerojatne, ali vrlo ozbiljne rizike od katastrofa.</w:t>
      </w:r>
      <w:r>
        <w:rPr>
          <w:rFonts w:ascii="Times New Roman" w:hAnsi="Times New Roman"/>
          <w:noProof/>
          <w:sz w:val="24"/>
        </w:rPr>
        <w:t xml:space="preserve"> Zemlje od 2019. moraju utvrditi </w:t>
      </w:r>
      <w:r>
        <w:rPr>
          <w:rFonts w:ascii="Times New Roman" w:hAnsi="Times New Roman"/>
          <w:b/>
          <w:noProof/>
          <w:sz w:val="24"/>
        </w:rPr>
        <w:t xml:space="preserve">rizike male vjerojatnosti i velikog učinka. </w:t>
      </w:r>
      <w:r>
        <w:rPr>
          <w:rFonts w:ascii="Times New Roman" w:hAnsi="Times New Roman"/>
          <w:noProof/>
          <w:sz w:val="24"/>
        </w:rPr>
        <w:t xml:space="preserve">Različite zemlje navode različite rizike male vjerojatnosti i velikog učinka. Rizici male vjerojatnosti i velikog učinka koje zemlje najčešće navode jesu nuklearni/radiološki rizici, industrijski rizici i potresi, zbog učinaka koji potencijalno mogu biti vrlo ozbiljni. Dvije trećine zemalja utvrdile su i </w:t>
      </w:r>
      <w:r>
        <w:rPr>
          <w:rFonts w:ascii="Times New Roman" w:hAnsi="Times New Roman"/>
          <w:b/>
          <w:noProof/>
          <w:sz w:val="24"/>
        </w:rPr>
        <w:t>nove rizike</w:t>
      </w:r>
      <w:r>
        <w:rPr>
          <w:rFonts w:ascii="Times New Roman" w:hAnsi="Times New Roman"/>
          <w:noProof/>
          <w:sz w:val="24"/>
        </w:rPr>
        <w:t xml:space="preserve"> (novoutvrđene prijetnje ili opasnosti ili poznati rizici za koje se očekuje da će se s vremenom povećati). Novi rizici koje zemlje najčešće navode jesu ekstremni vremenski uvjeti, poplave, šumski požari, pandemije, politički i geopolitički rizici, kibernetički rizici i poremećaji u kritičnoj infrastrukturi. Pojava određenog rizika može ukazivati na intenziviranje određenih pokretača, na primjer onih povezanih s klimatskim promjenama ili povećanom ranjivosti. Može biti posljedica i promjena u percepciji rizika i pristupima procjeni rizika. Važno je obratiti pozornost i na </w:t>
      </w:r>
      <w:r>
        <w:rPr>
          <w:rFonts w:ascii="Times New Roman" w:hAnsi="Times New Roman"/>
          <w:b/>
          <w:noProof/>
          <w:sz w:val="24"/>
        </w:rPr>
        <w:t>rizike koje je utvrdilo samo nekoliko zemalja</w:t>
      </w:r>
      <w:r>
        <w:rPr>
          <w:rFonts w:ascii="Times New Roman" w:hAnsi="Times New Roman"/>
          <w:noProof/>
          <w:sz w:val="24"/>
        </w:rPr>
        <w:t xml:space="preserve">. Na primjer, nekoliko zemalja kao rizik je utvrdilo solarne oluje koje mogu </w:t>
      </w:r>
      <w:r>
        <w:rPr>
          <w:rFonts w:ascii="Times New Roman" w:hAnsi="Times New Roman"/>
          <w:noProof/>
          <w:sz w:val="24"/>
        </w:rPr>
        <w:lastRenderedPageBreak/>
        <w:t>uzrokovati velike poremećaje u informacijskim sustavima, kao i određene rizike za okoliš i kemijske rizike, kao što su nove invazivne vrste i gubitak bioraznolikosti.</w:t>
      </w:r>
    </w:p>
    <w:p w14:paraId="2E1DA0AB" w14:textId="1EAD8A9D" w:rsidR="00A72AB6" w:rsidRDefault="006B22DE" w:rsidP="004B4DFE">
      <w:pPr>
        <w:spacing w:line="240" w:lineRule="auto"/>
        <w:jc w:val="both"/>
        <w:rPr>
          <w:rFonts w:ascii="Times New Roman" w:hAnsi="Times New Roman" w:cs="Times New Roman"/>
          <w:iCs/>
          <w:noProof/>
          <w:sz w:val="24"/>
          <w:szCs w:val="24"/>
        </w:rPr>
      </w:pPr>
      <w:r>
        <w:rPr>
          <w:rFonts w:ascii="Times New Roman" w:hAnsi="Times New Roman"/>
          <w:b/>
          <w:i/>
          <w:noProof/>
          <w:sz w:val="24"/>
        </w:rPr>
        <w:t xml:space="preserve">Samo je nekoliko zemalja obuhvatilo složene interakcije između rizika od „prirodnih” katastrofa i rizika od katastrofa „uzrokovanih ljudskim djelovanjem” uzimanjem u obzir složenih, kombiniranih i kaskadnih učinaka u svojoj procjeni rizika. </w:t>
      </w:r>
      <w:r>
        <w:rPr>
          <w:rFonts w:ascii="Times New Roman" w:hAnsi="Times New Roman"/>
          <w:noProof/>
          <w:sz w:val="24"/>
        </w:rPr>
        <w:t xml:space="preserve">Gotovo sve zemlje obuhvatile su niz „prirodnih” katastrofa i katastrofa „uzrokovanih ljudskim djelovanjem”. Mnoge zemlje prepoznaju i utjecaje i kaskadne učinke u cijelom društvu jer su izvijestile o rizicima koji uključuju širok raspon prekida u pružanju ključnih usluga ili poremećaja u opskrbi, na primjer u područjima kao što su energija, opskrba vodom i financijski sustavi. Ne upućuju sve zemlje izričito na analizu međudjelovanja takvih rizika, posebno u smislu složenih, kombiniranih i kaskadnih učinaka. </w:t>
      </w:r>
    </w:p>
    <w:p w14:paraId="41A98175" w14:textId="2A73D67E" w:rsidR="00A72AB6" w:rsidRDefault="00D02066" w:rsidP="004B4DFE">
      <w:pPr>
        <w:spacing w:line="240" w:lineRule="auto"/>
        <w:jc w:val="both"/>
        <w:rPr>
          <w:rFonts w:ascii="Times New Roman" w:hAnsi="Times New Roman" w:cs="Times New Roman"/>
          <w:iCs/>
          <w:noProof/>
          <w:sz w:val="24"/>
          <w:szCs w:val="24"/>
        </w:rPr>
      </w:pPr>
      <w:r>
        <w:rPr>
          <w:rFonts w:ascii="Times New Roman" w:hAnsi="Times New Roman"/>
          <w:b/>
          <w:i/>
          <w:noProof/>
          <w:sz w:val="24"/>
        </w:rPr>
        <w:t>Zemlje se uglavnom usredotočuju na kratkoročne rizike; međutim, opseg i razmjeri klimatskih promjena i uništavanja okoliša koje je uzrokovao čovjek zahtijevaju veću usredotočenost na dugoročne promjene u procjenama rizika.</w:t>
      </w:r>
      <w:r>
        <w:rPr>
          <w:rFonts w:ascii="Times New Roman" w:hAnsi="Times New Roman"/>
          <w:noProof/>
          <w:sz w:val="24"/>
        </w:rPr>
        <w:t xml:space="preserve"> Zemlje uglavnom utvrđuju akutne (kratkoročne) rizike kao što su poplave, šumski požari i ekstremni vremenski uvjeti, a ne kronične (dugoročne) opasnosti</w:t>
      </w:r>
      <w:r w:rsidR="00A72AB6">
        <w:rPr>
          <w:rStyle w:val="FootnoteReference"/>
          <w:rFonts w:ascii="Times New Roman" w:hAnsi="Times New Roman" w:cs="Times New Roman"/>
          <w:iCs/>
          <w:noProof/>
          <w:sz w:val="24"/>
          <w:szCs w:val="24"/>
        </w:rPr>
        <w:footnoteReference w:id="24"/>
      </w:r>
      <w:r>
        <w:rPr>
          <w:rFonts w:ascii="Times New Roman" w:hAnsi="Times New Roman"/>
          <w:noProof/>
          <w:sz w:val="24"/>
        </w:rPr>
        <w:t xml:space="preserve">. Na primjer, samo je nekoliko obalnih zemalja izvijestilo o povećanoj ranjivosti obalnih zajednica ili infrastrukture zbog porasta razine mora ili erozije obale, zbog čega će se u kombinaciji s ekstremnijim olujnim udarima na obalnih područjima povećati rizik od poplava. Akutne opasnosti povezane s vodom (poplave, suše, obilne padaline) najčešće se navode kao rizici povezani s klimom, ali i opasnosti povezane s temperaturom (šumski požari, toplinski valovi), vjetrom (oluje) i čvrstom masom (klizišta). Kad je riječ o sekundarnim učincima klimatskih promjena, otprilike polovina zemalja izvijestila je o rizicima povezanima sa zdravljem ljudi (npr. epidemije i pandemije), a nekoliko njih je utvrdilo veće prijetnje vektorskih bolesti zbog klimatskih promjena. Otprilike trećina zemalja uputila je na različite oblike poremećaja u lancima opskrbe. Nekoliko zemalja navelo je učinke na određene gospodarske sektore kao što su poljoprivreda, energetika, šumarstvo, stočarstvo, opskrba vodom, ribarstvo, zdravstvo i promet. </w:t>
      </w:r>
    </w:p>
    <w:p w14:paraId="1ED84E55" w14:textId="7F54D7A1" w:rsidR="00A72AB6" w:rsidRDefault="00EF17D1" w:rsidP="004B4DFE">
      <w:pPr>
        <w:spacing w:after="0" w:line="240" w:lineRule="auto"/>
        <w:jc w:val="both"/>
        <w:rPr>
          <w:rFonts w:ascii="Times New Roman" w:hAnsi="Times New Roman" w:cs="Times New Roman"/>
          <w:iCs/>
          <w:noProof/>
          <w:sz w:val="24"/>
          <w:szCs w:val="24"/>
        </w:rPr>
      </w:pPr>
      <w:r>
        <w:rPr>
          <w:rFonts w:ascii="Times New Roman" w:hAnsi="Times New Roman"/>
          <w:b/>
          <w:i/>
          <w:noProof/>
          <w:sz w:val="24"/>
        </w:rPr>
        <w:t xml:space="preserve">Za prilagodbu procjena rizika budućim promjenama potrebna je temeljitija analiza osnovnih pokretača rizika od katastrofa i njihovih potencijalnih međudjelovanja, ali samo je nekoliko zemalja izvijestilo o „dinamičkim” pokretačima rizika koji nisu klimatske promjene. </w:t>
      </w:r>
      <w:r>
        <w:rPr>
          <w:rFonts w:ascii="Times New Roman" w:hAnsi="Times New Roman"/>
          <w:noProof/>
          <w:sz w:val="24"/>
        </w:rPr>
        <w:t>Ključni pokretači koje zemlje navode i koji utječu na opasnosti, ranjivost i izloženost rizicima uključuju klimatske promjene čiji su učinci dobro dokumentirani. Samo je nekoliko zemalja navelo druge pokretače kao što su urbanizacija, demografska kretanja i uništavanje okoliša. Zemlje su istaknule i globalizaciju te međunarodna i geopolitička kretanja, uz razvoj informacijske tehnologije i digitalizaciju.</w:t>
      </w:r>
    </w:p>
    <w:p w14:paraId="560CFB19" w14:textId="70605FCF" w:rsidR="00A72AB6" w:rsidRPr="008260A7" w:rsidRDefault="00A72AB6" w:rsidP="00446F4C">
      <w:pPr>
        <w:pStyle w:val="Heading2"/>
        <w:rPr>
          <w:noProof/>
        </w:rPr>
      </w:pPr>
      <w:bookmarkStart w:id="12" w:name="_Toc148458553"/>
      <w:r>
        <w:rPr>
          <w:noProof/>
        </w:rPr>
        <w:t xml:space="preserve">B. </w:t>
      </w:r>
      <w:r>
        <w:rPr>
          <w:noProof/>
        </w:rPr>
        <w:tab/>
        <w:t>Nacionalne metodologije i prakse u području procjene rizika</w:t>
      </w:r>
      <w:r>
        <w:rPr>
          <w:rStyle w:val="FootnoteReference"/>
          <w:noProof/>
        </w:rPr>
        <w:footnoteReference w:id="25"/>
      </w:r>
      <w:bookmarkEnd w:id="12"/>
    </w:p>
    <w:p w14:paraId="4B09E0F2" w14:textId="706E36D1" w:rsidR="00A72AB6" w:rsidRPr="008260A7" w:rsidRDefault="00A72AB6" w:rsidP="008C019D">
      <w:pPr>
        <w:spacing w:line="240" w:lineRule="auto"/>
        <w:jc w:val="both"/>
        <w:rPr>
          <w:rFonts w:ascii="Times New Roman" w:hAnsi="Times New Roman" w:cs="Times New Roman"/>
          <w:noProof/>
          <w:sz w:val="24"/>
          <w:szCs w:val="24"/>
        </w:rPr>
      </w:pPr>
      <w:r>
        <w:rPr>
          <w:rFonts w:ascii="Times New Roman" w:hAnsi="Times New Roman"/>
          <w:b/>
          <w:i/>
          <w:noProof/>
          <w:sz w:val="24"/>
        </w:rPr>
        <w:t>Nacionalne metodologije utvrđivanja i procjene rizika razlikuju se u smislu sveobuhvatnosti</w:t>
      </w:r>
      <w:r>
        <w:rPr>
          <w:rFonts w:ascii="Times New Roman" w:hAnsi="Times New Roman"/>
          <w:noProof/>
          <w:sz w:val="24"/>
        </w:rPr>
        <w:t>. Veća usklađenost i dosljednost olakšale bi usporedbe izvješća među zemljama i procjene rizika na europskoj razini, na temelju čvrstog skupa nacionalnih procjena rizika.</w:t>
      </w:r>
    </w:p>
    <w:p w14:paraId="55078F36" w14:textId="42E3B69B" w:rsidR="00A72AB6" w:rsidRPr="006022D1" w:rsidRDefault="003723F7" w:rsidP="008C019D">
      <w:pPr>
        <w:spacing w:line="240" w:lineRule="auto"/>
        <w:jc w:val="both"/>
        <w:rPr>
          <w:rFonts w:ascii="Times New Roman" w:hAnsi="Times New Roman" w:cs="Times New Roman"/>
          <w:noProof/>
          <w:sz w:val="24"/>
          <w:szCs w:val="24"/>
        </w:rPr>
      </w:pPr>
      <w:r>
        <w:rPr>
          <w:rFonts w:ascii="Times New Roman" w:hAnsi="Times New Roman"/>
          <w:b/>
          <w:i/>
          <w:noProof/>
          <w:sz w:val="24"/>
        </w:rPr>
        <w:t xml:space="preserve">Kako bismo razumjeli budućnost, moramo poznavati prošlost. Međutim, nacionalne prakse za prikupljanje podataka o posljedicama prošlih katastrofa nisu sustavne i vrlo su nepotpune. </w:t>
      </w:r>
      <w:r>
        <w:rPr>
          <w:rFonts w:ascii="Times New Roman" w:hAnsi="Times New Roman"/>
          <w:noProof/>
          <w:sz w:val="24"/>
        </w:rPr>
        <w:t xml:space="preserve">Prikupljanje podataka o gubicima nastalima u katastrofama ključno je kako bi se osigurala izrada scenarija na temelju dokaza i poboljšala kvantitativna analiza rizika. Međutim, </w:t>
      </w:r>
      <w:r>
        <w:rPr>
          <w:rFonts w:ascii="Times New Roman" w:hAnsi="Times New Roman"/>
          <w:noProof/>
          <w:sz w:val="24"/>
        </w:rPr>
        <w:lastRenderedPageBreak/>
        <w:t xml:space="preserve">nacionalna izvješća pokazuju da je </w:t>
      </w:r>
      <w:r>
        <w:rPr>
          <w:rFonts w:ascii="Times New Roman" w:hAnsi="Times New Roman"/>
          <w:b/>
          <w:noProof/>
          <w:sz w:val="24"/>
        </w:rPr>
        <w:t>prikupljanje podataka o gubicima nastalima u katastrofama vrlo fragmentirano i nestrukturirano</w:t>
      </w:r>
      <w:r>
        <w:rPr>
          <w:rFonts w:ascii="Times New Roman" w:hAnsi="Times New Roman"/>
          <w:noProof/>
          <w:sz w:val="24"/>
        </w:rPr>
        <w:t xml:space="preserve"> u gotovo svim zemljama, dok samo jedna zemlja izvješćuje o usklađenom pristupu na nacionalnoj razini. Nijedna zemlja ne upućuje na dostavljanje podataka o rizicima čvorištu podataka o rizicima Europske komisije</w:t>
      </w:r>
      <w:r w:rsidR="00C34F11">
        <w:rPr>
          <w:rStyle w:val="FootnoteReference"/>
          <w:rFonts w:ascii="Times New Roman" w:hAnsi="Times New Roman" w:cs="Times New Roman"/>
          <w:noProof/>
          <w:sz w:val="24"/>
          <w:szCs w:val="24"/>
        </w:rPr>
        <w:footnoteReference w:id="26"/>
      </w:r>
      <w:r>
        <w:rPr>
          <w:rFonts w:ascii="Times New Roman" w:hAnsi="Times New Roman"/>
          <w:noProof/>
          <w:sz w:val="24"/>
        </w:rPr>
        <w:t>, što je potrebno dodatno ispitati.</w:t>
      </w:r>
    </w:p>
    <w:p w14:paraId="68345DD8" w14:textId="62AF253F" w:rsidR="004402AF" w:rsidRDefault="00A72AB6" w:rsidP="008C019D">
      <w:pPr>
        <w:spacing w:line="240" w:lineRule="auto"/>
        <w:jc w:val="both"/>
        <w:rPr>
          <w:rFonts w:ascii="Times New Roman" w:hAnsi="Times New Roman" w:cs="Times New Roman"/>
          <w:noProof/>
          <w:sz w:val="24"/>
          <w:szCs w:val="24"/>
        </w:rPr>
      </w:pPr>
      <w:r>
        <w:rPr>
          <w:rFonts w:ascii="Times New Roman" w:hAnsi="Times New Roman"/>
          <w:b/>
          <w:i/>
          <w:noProof/>
          <w:sz w:val="24"/>
        </w:rPr>
        <w:t>Metodologije za utvrđivanje i analizu rizika</w:t>
      </w:r>
      <w:r>
        <w:rPr>
          <w:rFonts w:ascii="Times New Roman" w:hAnsi="Times New Roman"/>
          <w:i/>
          <w:noProof/>
          <w:sz w:val="24"/>
        </w:rPr>
        <w:t xml:space="preserve"> </w:t>
      </w:r>
      <w:r>
        <w:rPr>
          <w:rFonts w:ascii="Times New Roman" w:hAnsi="Times New Roman"/>
          <w:b/>
          <w:i/>
          <w:noProof/>
          <w:sz w:val="24"/>
        </w:rPr>
        <w:t>razlikuju se među zemljama i prema vrsti rizika.</w:t>
      </w:r>
      <w:r>
        <w:rPr>
          <w:rFonts w:ascii="Times New Roman" w:hAnsi="Times New Roman"/>
          <w:b/>
          <w:noProof/>
          <w:sz w:val="24"/>
        </w:rPr>
        <w:t xml:space="preserve"> </w:t>
      </w:r>
      <w:r>
        <w:rPr>
          <w:rFonts w:ascii="Times New Roman" w:hAnsi="Times New Roman"/>
          <w:noProof/>
          <w:sz w:val="24"/>
        </w:rPr>
        <w:t xml:space="preserve">Otprilike trećina zemalja izvješćuje da za utvrđivanje rizika analiziraju </w:t>
      </w:r>
      <w:r>
        <w:rPr>
          <w:rFonts w:ascii="Times New Roman" w:hAnsi="Times New Roman"/>
          <w:b/>
          <w:noProof/>
          <w:sz w:val="24"/>
        </w:rPr>
        <w:t>scenarij pojedinačne opasnosti</w:t>
      </w:r>
      <w:r>
        <w:rPr>
          <w:rFonts w:ascii="Times New Roman" w:hAnsi="Times New Roman"/>
          <w:noProof/>
          <w:sz w:val="24"/>
        </w:rPr>
        <w:t xml:space="preserve">, dok se scenariji s više opasnosti rjeđe spominju. Samo je nekoliko zemalja dostavilo informacije o kriterijima koje su upotrebljavale za </w:t>
      </w:r>
      <w:r>
        <w:rPr>
          <w:rFonts w:ascii="Times New Roman" w:hAnsi="Times New Roman"/>
          <w:b/>
          <w:noProof/>
          <w:sz w:val="24"/>
        </w:rPr>
        <w:t>utvrđivanje rizika male vjerojatnosti i velikog učinka</w:t>
      </w:r>
      <w:r>
        <w:rPr>
          <w:rFonts w:ascii="Times New Roman" w:hAnsi="Times New Roman"/>
          <w:noProof/>
          <w:sz w:val="24"/>
        </w:rPr>
        <w:t>. Zemlje upotrebljavaju i različite sustave za</w:t>
      </w:r>
      <w:r>
        <w:rPr>
          <w:rFonts w:ascii="Times New Roman" w:hAnsi="Times New Roman"/>
          <w:b/>
          <w:noProof/>
          <w:sz w:val="24"/>
        </w:rPr>
        <w:t xml:space="preserve"> klasifikaciju rizika</w:t>
      </w:r>
      <w:r>
        <w:rPr>
          <w:rFonts w:ascii="Times New Roman" w:hAnsi="Times New Roman"/>
          <w:noProof/>
          <w:sz w:val="24"/>
        </w:rPr>
        <w:t xml:space="preserve">. Dok su rizici od katastrofa uzrokovanih prirodnim opasnostima jasnije klasificirani, označavanje rizika izazvanih ljudskim utjecajem te tehnoloških i društvenih rizika u većoj se mjeri razlikuje. Samo nekoliko zemalja navodi </w:t>
      </w:r>
      <w:r>
        <w:rPr>
          <w:rFonts w:ascii="Times New Roman" w:hAnsi="Times New Roman"/>
          <w:b/>
          <w:noProof/>
          <w:sz w:val="24"/>
        </w:rPr>
        <w:t>vremenski okvir</w:t>
      </w:r>
      <w:r>
        <w:rPr>
          <w:rFonts w:ascii="Times New Roman" w:hAnsi="Times New Roman"/>
          <w:noProof/>
          <w:sz w:val="24"/>
        </w:rPr>
        <w:t xml:space="preserve"> za scenarije. Zbog toga je nejasno kako se i u kojoj mjeri uzimaju u obzir važni pokretači kao što su klimatske promjene.</w:t>
      </w:r>
    </w:p>
    <w:p w14:paraId="1E0DE8A8" w14:textId="2B61DB9F" w:rsidR="00A72AB6" w:rsidRPr="00E66359" w:rsidRDefault="00A72AB6" w:rsidP="008C019D">
      <w:pPr>
        <w:spacing w:line="240" w:lineRule="auto"/>
        <w:jc w:val="both"/>
        <w:rPr>
          <w:rFonts w:ascii="Times New Roman" w:hAnsi="Times New Roman" w:cs="Times New Roman"/>
          <w:noProof/>
          <w:sz w:val="24"/>
          <w:szCs w:val="24"/>
        </w:rPr>
      </w:pPr>
      <w:r>
        <w:rPr>
          <w:rFonts w:ascii="Times New Roman" w:hAnsi="Times New Roman"/>
          <w:noProof/>
          <w:sz w:val="24"/>
        </w:rPr>
        <w:t xml:space="preserve">U nekim su izvješćima navedeni primjeri </w:t>
      </w:r>
      <w:r>
        <w:rPr>
          <w:rFonts w:ascii="Times New Roman" w:hAnsi="Times New Roman"/>
          <w:b/>
          <w:noProof/>
          <w:sz w:val="24"/>
        </w:rPr>
        <w:t>izrada scenarija</w:t>
      </w:r>
      <w:r>
        <w:rPr>
          <w:rFonts w:ascii="Times New Roman" w:hAnsi="Times New Roman"/>
          <w:noProof/>
          <w:sz w:val="24"/>
        </w:rPr>
        <w:t xml:space="preserve">, a u nekima se upućuje na </w:t>
      </w:r>
      <w:r>
        <w:rPr>
          <w:rFonts w:ascii="Times New Roman" w:hAnsi="Times New Roman"/>
          <w:b/>
          <w:noProof/>
          <w:sz w:val="24"/>
        </w:rPr>
        <w:t xml:space="preserve">scenarije klimatskih promjena </w:t>
      </w:r>
      <w:r>
        <w:rPr>
          <w:rFonts w:ascii="Times New Roman" w:hAnsi="Times New Roman"/>
          <w:noProof/>
          <w:sz w:val="24"/>
        </w:rPr>
        <w:t>koje je utvrdio Međuvladin panel o klimatskim promjenama. Međutim,</w:t>
      </w:r>
      <w:r>
        <w:rPr>
          <w:rFonts w:ascii="Times New Roman" w:hAnsi="Times New Roman"/>
          <w:b/>
          <w:noProof/>
          <w:sz w:val="24"/>
        </w:rPr>
        <w:t xml:space="preserve"> zemlje to ne čine dosljedno</w:t>
      </w:r>
      <w:r>
        <w:rPr>
          <w:rFonts w:ascii="Times New Roman" w:hAnsi="Times New Roman"/>
          <w:noProof/>
          <w:sz w:val="24"/>
        </w:rPr>
        <w:t>, što može dovesti do podcjenjivanja rizika.</w:t>
      </w:r>
      <w:r>
        <w:rPr>
          <w:rFonts w:ascii="Times New Roman" w:hAnsi="Times New Roman"/>
          <w:b/>
          <w:noProof/>
          <w:sz w:val="24"/>
        </w:rPr>
        <w:t xml:space="preserve"> </w:t>
      </w:r>
      <w:r>
        <w:rPr>
          <w:rFonts w:ascii="Times New Roman" w:hAnsi="Times New Roman"/>
          <w:noProof/>
          <w:sz w:val="24"/>
        </w:rPr>
        <w:t xml:space="preserve">Važno je objasniti </w:t>
      </w:r>
      <w:r>
        <w:rPr>
          <w:rFonts w:ascii="Times New Roman" w:hAnsi="Times New Roman"/>
          <w:b/>
          <w:noProof/>
          <w:sz w:val="24"/>
        </w:rPr>
        <w:t>nesigurnosti</w:t>
      </w:r>
      <w:r>
        <w:rPr>
          <w:rFonts w:ascii="Times New Roman" w:hAnsi="Times New Roman"/>
          <w:noProof/>
          <w:sz w:val="24"/>
        </w:rPr>
        <w:t xml:space="preserve"> kako bi nesigurnosti povezane s analizom rizika, na primjer u pogledu ograničenja podataka i upotrebljavanih modela, bile transparentnije.</w:t>
      </w:r>
      <w:r>
        <w:rPr>
          <w:rFonts w:ascii="Times New Roman" w:hAnsi="Times New Roman"/>
          <w:b/>
          <w:noProof/>
          <w:sz w:val="24"/>
        </w:rPr>
        <w:t xml:space="preserve"> </w:t>
      </w:r>
      <w:r>
        <w:rPr>
          <w:rFonts w:ascii="Times New Roman" w:hAnsi="Times New Roman"/>
          <w:noProof/>
          <w:sz w:val="24"/>
        </w:rPr>
        <w:t>Nešto više od četvrtine zemalja navodi da uzimaju u obzir nesigurnosti. Primjena</w:t>
      </w:r>
      <w:r>
        <w:rPr>
          <w:rFonts w:ascii="Times New Roman" w:hAnsi="Times New Roman"/>
          <w:b/>
          <w:noProof/>
          <w:sz w:val="24"/>
        </w:rPr>
        <w:t xml:space="preserve"> načela predostrožnosti </w:t>
      </w:r>
      <w:r>
        <w:rPr>
          <w:rFonts w:ascii="Times New Roman" w:hAnsi="Times New Roman"/>
          <w:noProof/>
          <w:sz w:val="24"/>
        </w:rPr>
        <w:t xml:space="preserve">može pomoći u obrazloženju procjene rizika od potencijalno ozbiljne katastrofe, čija se vjerojatnost ne može točno procijeniti; međutim, manje od četvrtine zemalja navelo je da su primijenile takav pristup. </w:t>
      </w:r>
    </w:p>
    <w:p w14:paraId="16A326F0" w14:textId="7046E0B2" w:rsidR="00A72AB6" w:rsidRPr="003361B5" w:rsidRDefault="00A72AB6" w:rsidP="008C019D">
      <w:pPr>
        <w:spacing w:line="240" w:lineRule="auto"/>
        <w:jc w:val="both"/>
        <w:rPr>
          <w:rFonts w:ascii="Times New Roman" w:hAnsi="Times New Roman" w:cs="Times New Roman"/>
          <w:noProof/>
          <w:sz w:val="24"/>
          <w:szCs w:val="24"/>
        </w:rPr>
      </w:pPr>
      <w:r>
        <w:rPr>
          <w:rFonts w:ascii="Times New Roman" w:hAnsi="Times New Roman"/>
          <w:b/>
          <w:i/>
          <w:noProof/>
          <w:sz w:val="24"/>
        </w:rPr>
        <w:t>Metodologije koje se upotrebljavaju za određivanje razine rizika razlikuju se.</w:t>
      </w:r>
      <w:r>
        <w:rPr>
          <w:rFonts w:ascii="Times New Roman" w:hAnsi="Times New Roman"/>
          <w:noProof/>
          <w:sz w:val="24"/>
        </w:rPr>
        <w:t xml:space="preserve"> Ako se rizik ne može procijeniti probabilističkim i kvantitativnim sredstvima, primjenjuju se drugi kvalitativni pristupi. Otprilike polovina zemalja primijenila je polukvantitativne ili kvalitativne pristupe u svrhu određivanja razine učinaka. Kad je riječ o učincima, manje od polovine zemalja pokazuje da uzimaju u obzir </w:t>
      </w:r>
      <w:r>
        <w:rPr>
          <w:rFonts w:ascii="Times New Roman" w:hAnsi="Times New Roman"/>
          <w:b/>
          <w:noProof/>
          <w:sz w:val="24"/>
        </w:rPr>
        <w:t>ljudske, gospodarske, ekološke i političke/društveni učinke</w:t>
      </w:r>
      <w:r>
        <w:rPr>
          <w:rFonts w:ascii="Times New Roman" w:hAnsi="Times New Roman"/>
          <w:noProof/>
          <w:sz w:val="24"/>
        </w:rPr>
        <w:t xml:space="preserve">. Međutim, neke su zemlje izvijestile o dobrim primjerima šireg raspona učinaka, kao što su društveni učinci, financijski učinci ili učinci na kritičnu infrastrukturu. Više od dvije trećine zemalja prikazalo je važnost svakog rizika primjenom </w:t>
      </w:r>
      <w:r>
        <w:rPr>
          <w:rFonts w:ascii="Times New Roman" w:hAnsi="Times New Roman"/>
          <w:b/>
          <w:noProof/>
          <w:sz w:val="24"/>
        </w:rPr>
        <w:t>matrica rizika</w:t>
      </w:r>
      <w:r>
        <w:rPr>
          <w:rStyle w:val="FootnoteReference"/>
          <w:rFonts w:ascii="Times New Roman" w:hAnsi="Times New Roman" w:cs="Times New Roman"/>
          <w:b/>
          <w:bCs/>
          <w:noProof/>
          <w:sz w:val="24"/>
          <w:szCs w:val="24"/>
        </w:rPr>
        <w:footnoteReference w:id="27"/>
      </w:r>
      <w:r>
        <w:rPr>
          <w:rFonts w:ascii="Times New Roman" w:hAnsi="Times New Roman"/>
          <w:noProof/>
          <w:sz w:val="24"/>
        </w:rPr>
        <w:t>.</w:t>
      </w:r>
    </w:p>
    <w:p w14:paraId="0C19779E" w14:textId="635F11CC" w:rsidR="00A72AB6" w:rsidRPr="00FA0F98" w:rsidRDefault="0070252A" w:rsidP="008C019D">
      <w:pPr>
        <w:spacing w:line="240" w:lineRule="auto"/>
        <w:jc w:val="both"/>
        <w:rPr>
          <w:rFonts w:ascii="Times New Roman" w:hAnsi="Times New Roman" w:cs="Times New Roman"/>
          <w:noProof/>
          <w:sz w:val="24"/>
          <w:szCs w:val="24"/>
        </w:rPr>
      </w:pPr>
      <w:r>
        <w:rPr>
          <w:rFonts w:ascii="Times New Roman" w:hAnsi="Times New Roman"/>
          <w:b/>
          <w:i/>
          <w:noProof/>
          <w:sz w:val="24"/>
        </w:rPr>
        <w:t xml:space="preserve">Ne izvješćuju sve zemlje o mehanizmima redovitog preispitivanja, iako su redovita preispitivanja procjena rizika potrebna kako bi se obuhvatile promjene u rizicima. </w:t>
      </w:r>
      <w:r>
        <w:rPr>
          <w:rFonts w:ascii="Times New Roman" w:hAnsi="Times New Roman"/>
          <w:noProof/>
          <w:sz w:val="24"/>
        </w:rPr>
        <w:t>Neke zemlje navode da redovito preispituju procjene rizika, a najčešće je to svake tri godine. U nekim se zemljama preispitivanja pokreću zbog određenih katastrofa ili ažuriranja procjena konkretnih rizika</w:t>
      </w:r>
      <w:r w:rsidR="00C97875">
        <w:rPr>
          <w:rStyle w:val="FootnoteReference"/>
          <w:rFonts w:ascii="Times New Roman" w:hAnsi="Times New Roman" w:cs="Times New Roman"/>
          <w:noProof/>
          <w:sz w:val="24"/>
          <w:szCs w:val="24"/>
        </w:rPr>
        <w:footnoteReference w:id="28"/>
      </w:r>
      <w:r>
        <w:rPr>
          <w:rFonts w:ascii="Times New Roman" w:hAnsi="Times New Roman"/>
          <w:noProof/>
          <w:sz w:val="24"/>
        </w:rPr>
        <w:t>; u drugima zbog kontinuiranog praćenja kretanja povezanih s rizicima. U nekim je zemljama učestalost preispitivanja procjena rizika propisana zakonom.</w:t>
      </w:r>
    </w:p>
    <w:p w14:paraId="480EA53D" w14:textId="7434C7B6" w:rsidR="00A72AB6" w:rsidRPr="00FA0F98" w:rsidRDefault="006C6CA8" w:rsidP="008C019D">
      <w:pPr>
        <w:spacing w:line="240" w:lineRule="auto"/>
        <w:jc w:val="both"/>
        <w:rPr>
          <w:rFonts w:ascii="Times New Roman" w:hAnsi="Times New Roman" w:cs="Times New Roman"/>
          <w:noProof/>
          <w:sz w:val="24"/>
          <w:szCs w:val="24"/>
        </w:rPr>
      </w:pPr>
      <w:r>
        <w:rPr>
          <w:rFonts w:ascii="Times New Roman" w:hAnsi="Times New Roman"/>
          <w:b/>
          <w:i/>
          <w:noProof/>
          <w:sz w:val="24"/>
        </w:rPr>
        <w:t xml:space="preserve">Javna dostupnost nalaza procjena rizika fragmentirana je. </w:t>
      </w:r>
      <w:r>
        <w:rPr>
          <w:rFonts w:ascii="Times New Roman" w:hAnsi="Times New Roman"/>
          <w:noProof/>
          <w:sz w:val="24"/>
        </w:rPr>
        <w:t>Javna transparentnost pomaže u informiranju građana o rizicima i potiče poduzimanje mjera za osiguravanje otpornosti na katastrofe.</w:t>
      </w:r>
      <w:r>
        <w:rPr>
          <w:rFonts w:ascii="Times New Roman" w:hAnsi="Times New Roman"/>
          <w:b/>
          <w:i/>
          <w:noProof/>
          <w:sz w:val="24"/>
        </w:rPr>
        <w:t xml:space="preserve"> </w:t>
      </w:r>
      <w:r>
        <w:rPr>
          <w:rFonts w:ascii="Times New Roman" w:hAnsi="Times New Roman"/>
          <w:noProof/>
          <w:sz w:val="24"/>
        </w:rPr>
        <w:t xml:space="preserve">Međutim, samo polovina zemalja stavlja procjene rizika na raspolaganje javnosti, a </w:t>
      </w:r>
      <w:r>
        <w:rPr>
          <w:rFonts w:ascii="Times New Roman" w:hAnsi="Times New Roman"/>
          <w:noProof/>
          <w:sz w:val="24"/>
        </w:rPr>
        <w:lastRenderedPageBreak/>
        <w:t xml:space="preserve">četvrtina daje primjer poveznica na javno dostupne karte rizika. Većina zemalja dostavila je informacije o praksama </w:t>
      </w:r>
      <w:r>
        <w:rPr>
          <w:rFonts w:ascii="Times New Roman" w:hAnsi="Times New Roman"/>
          <w:b/>
          <w:noProof/>
          <w:sz w:val="24"/>
        </w:rPr>
        <w:t>izrade karata rizika</w:t>
      </w:r>
      <w:r>
        <w:rPr>
          <w:rFonts w:ascii="Times New Roman" w:hAnsi="Times New Roman"/>
          <w:noProof/>
          <w:sz w:val="24"/>
        </w:rPr>
        <w:t>. Karte rizika koje zemlje najčešće navode obuhvaćaju one koje prikazuju rizike od poplava</w:t>
      </w:r>
      <w:r w:rsidR="00A72AB6">
        <w:rPr>
          <w:rStyle w:val="FootnoteReference"/>
          <w:rFonts w:ascii="Times New Roman" w:hAnsi="Times New Roman" w:cs="Times New Roman"/>
          <w:noProof/>
          <w:sz w:val="24"/>
          <w:szCs w:val="24"/>
        </w:rPr>
        <w:footnoteReference w:id="29"/>
      </w:r>
      <w:r>
        <w:rPr>
          <w:rFonts w:ascii="Times New Roman" w:hAnsi="Times New Roman"/>
          <w:noProof/>
          <w:sz w:val="24"/>
        </w:rPr>
        <w:t>, nakon čega slijede one koje se odnose na šumske požare, potrese i nuklearne/radiološke rizike. Zemlje nisu pružile informacije o kartama koje prikazuju prekogranične rizike.</w:t>
      </w:r>
    </w:p>
    <w:p w14:paraId="74E601E1" w14:textId="19C46821" w:rsidR="00A72AB6" w:rsidRDefault="00924E53" w:rsidP="008C019D">
      <w:pPr>
        <w:spacing w:line="240" w:lineRule="auto"/>
        <w:jc w:val="both"/>
        <w:rPr>
          <w:rFonts w:ascii="Times New Roman" w:hAnsi="Times New Roman" w:cs="Times New Roman"/>
          <w:noProof/>
          <w:sz w:val="24"/>
          <w:szCs w:val="24"/>
        </w:rPr>
      </w:pPr>
      <w:r>
        <w:rPr>
          <w:rFonts w:ascii="Times New Roman" w:hAnsi="Times New Roman"/>
          <w:b/>
          <w:i/>
          <w:noProof/>
          <w:sz w:val="24"/>
        </w:rPr>
        <w:t xml:space="preserve">Postoje neki dobri primjeri sudjelovanja ključnih dionika u postupku izrade procjena rizika. </w:t>
      </w:r>
      <w:r>
        <w:rPr>
          <w:rFonts w:ascii="Times New Roman" w:hAnsi="Times New Roman"/>
          <w:noProof/>
          <w:sz w:val="24"/>
        </w:rPr>
        <w:t xml:space="preserve">Okviri za </w:t>
      </w:r>
      <w:r>
        <w:rPr>
          <w:rFonts w:ascii="Times New Roman" w:hAnsi="Times New Roman"/>
          <w:b/>
          <w:noProof/>
          <w:sz w:val="24"/>
        </w:rPr>
        <w:t>upravljanje</w:t>
      </w:r>
      <w:r>
        <w:rPr>
          <w:rFonts w:ascii="Times New Roman" w:hAnsi="Times New Roman"/>
          <w:noProof/>
          <w:sz w:val="24"/>
        </w:rPr>
        <w:t xml:space="preserve"> procjenom rizika utvrđeni su nacionalnim zakonodavstvom u većini zemalja. Najčešće ih vode ministarstva ili agencije nadležne za civilnu zaštitu. Dionicima se smatraju brojna tijela na nacionalnoj i podnacionalnoj razini iz različitih specijaliziranih sektora (kao što su kritična infrastruktura i promet), akademska zajednica, tijela privatnog sektora (kao što su operatori kritične infrastrukture) i civilno društvo. Sam postupak procjene rizika ima ključnu ulogu u informiranju ključnih društvenih aktera o rizicima, no u nekim se slučajevima čini da postupak procjene rizika u području civilne zaštite povezan s obvezama na temelju Mehanizma Unije za civilnu zaštitu funkcionira izolirano. </w:t>
      </w:r>
    </w:p>
    <w:p w14:paraId="30D92236" w14:textId="27DE8B8D" w:rsidR="00797C83" w:rsidRDefault="00797C83" w:rsidP="008C019D">
      <w:pPr>
        <w:spacing w:line="240" w:lineRule="auto"/>
        <w:jc w:val="both"/>
        <w:rPr>
          <w:rFonts w:ascii="Times New Roman" w:hAnsi="Times New Roman" w:cs="Times New Roman"/>
          <w:noProof/>
          <w:sz w:val="24"/>
          <w:szCs w:val="24"/>
        </w:rPr>
      </w:pPr>
      <w:r>
        <w:rPr>
          <w:rFonts w:ascii="Times New Roman" w:hAnsi="Times New Roman"/>
          <w:noProof/>
          <w:sz w:val="24"/>
        </w:rPr>
        <w:t xml:space="preserve">S obzirom na prethodno navedeno, iznose se sljedeće preporuke o </w:t>
      </w:r>
      <w:r>
        <w:rPr>
          <w:rFonts w:ascii="Times New Roman" w:hAnsi="Times New Roman"/>
          <w:b/>
          <w:noProof/>
          <w:sz w:val="24"/>
        </w:rPr>
        <w:t>razumijevanju i predviđanju rizika</w:t>
      </w:r>
      <w:r>
        <w:rPr>
          <w:rFonts w:ascii="Times New Roman" w:hAnsi="Times New Roman"/>
          <w:noProof/>
          <w:sz w:val="24"/>
        </w:rPr>
        <w:t>.</w:t>
      </w:r>
    </w:p>
    <w:tbl>
      <w:tblPr>
        <w:tblStyle w:val="TableGrid"/>
        <w:tblW w:w="0" w:type="auto"/>
        <w:tblLook w:val="04A0" w:firstRow="1" w:lastRow="0" w:firstColumn="1" w:lastColumn="0" w:noHBand="0" w:noVBand="1"/>
      </w:tblPr>
      <w:tblGrid>
        <w:gridCol w:w="9062"/>
      </w:tblGrid>
      <w:tr w:rsidR="00AD029E" w14:paraId="7918253E" w14:textId="77777777" w:rsidTr="00262FF1">
        <w:tc>
          <w:tcPr>
            <w:tcW w:w="0" w:type="auto"/>
          </w:tcPr>
          <w:p w14:paraId="45E80B94" w14:textId="559DB2BE" w:rsidR="00AD029E" w:rsidRPr="00776D13" w:rsidRDefault="00AD029E" w:rsidP="00D07A89">
            <w:pPr>
              <w:jc w:val="both"/>
              <w:rPr>
                <w:rFonts w:ascii="Times New Roman" w:hAnsi="Times New Roman" w:cs="Times New Roman"/>
                <w:b/>
                <w:bCs/>
                <w:i/>
                <w:iCs/>
                <w:noProof/>
                <w:sz w:val="24"/>
                <w:szCs w:val="24"/>
              </w:rPr>
            </w:pPr>
            <w:r>
              <w:rPr>
                <w:rFonts w:ascii="Times New Roman" w:hAnsi="Times New Roman"/>
                <w:b/>
                <w:i/>
                <w:noProof/>
                <w:sz w:val="24"/>
              </w:rPr>
              <w:t xml:space="preserve">Komisija bi zajedno s državama članicama i državama sudionicama trebala: </w:t>
            </w:r>
          </w:p>
          <w:p w14:paraId="77618204" w14:textId="41DA2A95" w:rsidR="00AD029E" w:rsidRPr="00776D13" w:rsidRDefault="00AD029E" w:rsidP="00D07A89">
            <w:pPr>
              <w:pStyle w:val="ListParagraph"/>
              <w:numPr>
                <w:ilvl w:val="0"/>
                <w:numId w:val="4"/>
              </w:numPr>
              <w:spacing w:after="0" w:line="240" w:lineRule="auto"/>
              <w:ind w:left="447"/>
              <w:jc w:val="both"/>
              <w:rPr>
                <w:rFonts w:ascii="Times New Roman" w:hAnsi="Times New Roman" w:cs="Times New Roman"/>
                <w:noProof/>
                <w:sz w:val="24"/>
                <w:szCs w:val="24"/>
              </w:rPr>
            </w:pPr>
            <w:r>
              <w:rPr>
                <w:rFonts w:ascii="Times New Roman" w:hAnsi="Times New Roman"/>
                <w:noProof/>
                <w:sz w:val="24"/>
              </w:rPr>
              <w:t>revidirati radni dokument službi Komisije iz 2010. „Smjernice za procjenu i mapiranje rizika u svrhu upravljanja katastrofama”</w:t>
            </w:r>
            <w:r w:rsidR="00103AA8" w:rsidRPr="00776D13">
              <w:rPr>
                <w:rStyle w:val="FootnoteReference"/>
                <w:rFonts w:ascii="Times New Roman" w:hAnsi="Times New Roman" w:cs="Times New Roman"/>
                <w:noProof/>
                <w:sz w:val="24"/>
                <w:szCs w:val="24"/>
              </w:rPr>
              <w:footnoteReference w:id="30"/>
            </w:r>
            <w:r>
              <w:rPr>
                <w:rFonts w:ascii="Times New Roman" w:hAnsi="Times New Roman"/>
                <w:noProof/>
                <w:sz w:val="24"/>
              </w:rPr>
              <w:t xml:space="preserve"> s ciljem daljnjeg razvoja anticipatorne procjene rizika na nacionalnoj razini i ostvarivanja najveće moguće sinergije s postupcima procjene rizika koji se zahtijevaju drugim sastavnicama zakonodavstva EU-a (npr. upravljanje rizicima u području kritične infrastrukture, rizicima od klimatskih promjena, zdravstvenim rizicima ili rizicima od poplava),</w:t>
            </w:r>
          </w:p>
          <w:p w14:paraId="3F3FDE6E" w14:textId="1B2AD4BF" w:rsidR="00AD029E" w:rsidRPr="00776D13" w:rsidRDefault="000646B2" w:rsidP="00D07A89">
            <w:pPr>
              <w:pStyle w:val="ListParagraph"/>
              <w:numPr>
                <w:ilvl w:val="0"/>
                <w:numId w:val="4"/>
              </w:numPr>
              <w:spacing w:after="0" w:line="240" w:lineRule="auto"/>
              <w:ind w:left="447"/>
              <w:jc w:val="both"/>
              <w:rPr>
                <w:rFonts w:ascii="Times New Roman" w:hAnsi="Times New Roman" w:cs="Times New Roman"/>
                <w:noProof/>
                <w:sz w:val="24"/>
                <w:szCs w:val="24"/>
              </w:rPr>
            </w:pPr>
            <w:r>
              <w:rPr>
                <w:rFonts w:ascii="Times New Roman" w:hAnsi="Times New Roman"/>
                <w:noProof/>
                <w:sz w:val="24"/>
              </w:rPr>
              <w:t xml:space="preserve">povećati razmjenu znanja među zemljama i stručnjacima o tome kako dodatno poboljšati prakse procjene rizika, među ostalim putem mreže znanja. </w:t>
            </w:r>
          </w:p>
          <w:p w14:paraId="130EE749" w14:textId="77777777" w:rsidR="00AD029E" w:rsidRPr="00082385" w:rsidRDefault="00AD029E" w:rsidP="00D07A89">
            <w:pPr>
              <w:jc w:val="both"/>
              <w:rPr>
                <w:rFonts w:ascii="Times New Roman" w:hAnsi="Times New Roman" w:cs="Times New Roman"/>
                <w:noProof/>
                <w:sz w:val="24"/>
                <w:szCs w:val="24"/>
              </w:rPr>
            </w:pPr>
          </w:p>
          <w:p w14:paraId="3DCBA9AC" w14:textId="16BA30CD" w:rsidR="00AD029E" w:rsidRPr="00082385" w:rsidRDefault="00AD029E" w:rsidP="00D07A89">
            <w:pPr>
              <w:jc w:val="both"/>
              <w:rPr>
                <w:rFonts w:ascii="Times New Roman" w:hAnsi="Times New Roman" w:cs="Times New Roman"/>
                <w:b/>
                <w:bCs/>
                <w:i/>
                <w:iCs/>
                <w:noProof/>
                <w:sz w:val="24"/>
                <w:szCs w:val="24"/>
              </w:rPr>
            </w:pPr>
            <w:r>
              <w:rPr>
                <w:rFonts w:ascii="Times New Roman" w:hAnsi="Times New Roman"/>
                <w:b/>
                <w:i/>
                <w:noProof/>
                <w:sz w:val="24"/>
              </w:rPr>
              <w:t>Države članice i države sudionice pozivaju se na:</w:t>
            </w:r>
          </w:p>
          <w:p w14:paraId="07522B30" w14:textId="024EACB5" w:rsidR="00AD029E" w:rsidRPr="00082385" w:rsidRDefault="00D55B1E" w:rsidP="00D07A89">
            <w:pPr>
              <w:pStyle w:val="ListParagraph"/>
              <w:numPr>
                <w:ilvl w:val="0"/>
                <w:numId w:val="5"/>
              </w:numPr>
              <w:spacing w:after="0" w:line="240" w:lineRule="auto"/>
              <w:ind w:left="447"/>
              <w:jc w:val="both"/>
              <w:rPr>
                <w:rFonts w:ascii="Times New Roman" w:hAnsi="Times New Roman" w:cs="Times New Roman"/>
                <w:noProof/>
                <w:sz w:val="24"/>
                <w:szCs w:val="24"/>
              </w:rPr>
            </w:pPr>
            <w:r>
              <w:rPr>
                <w:rFonts w:ascii="Times New Roman" w:hAnsi="Times New Roman"/>
                <w:noProof/>
                <w:sz w:val="24"/>
              </w:rPr>
              <w:t xml:space="preserve">intenziviranje razmjene i suradnju među državama članicama i državama sudionicama u utvrđivanju i predviđanju rizika, među ostalim u pogledu rizika niske vjerojatnosti i velikog učinka te novih rizika, </w:t>
            </w:r>
          </w:p>
          <w:p w14:paraId="4BB71C4E" w14:textId="17985606" w:rsidR="000646B2" w:rsidRDefault="00082385" w:rsidP="00D07A89">
            <w:pPr>
              <w:pStyle w:val="ListParagraph"/>
              <w:numPr>
                <w:ilvl w:val="0"/>
                <w:numId w:val="5"/>
              </w:numPr>
              <w:spacing w:after="0" w:line="240" w:lineRule="auto"/>
              <w:ind w:left="447"/>
              <w:jc w:val="both"/>
              <w:rPr>
                <w:rFonts w:ascii="Times New Roman" w:hAnsi="Times New Roman" w:cs="Times New Roman"/>
                <w:noProof/>
                <w:sz w:val="24"/>
                <w:szCs w:val="24"/>
              </w:rPr>
            </w:pPr>
            <w:r>
              <w:rPr>
                <w:rFonts w:ascii="Times New Roman" w:hAnsi="Times New Roman"/>
                <w:noProof/>
                <w:sz w:val="24"/>
              </w:rPr>
              <w:t xml:space="preserve">jačanje postupaka procjene rizika od katastrofa kako bi se bolje predvidjeli i ublažili učinci kroničnih (dugoročnih) rizika, npr. rizika od klimatskih promjena i geopolitičkih rizika, a ne samo učinci akutnih (kratkoročnih) rizika, </w:t>
            </w:r>
          </w:p>
          <w:p w14:paraId="5CB60D61" w14:textId="69A05FEE" w:rsidR="00AD029E" w:rsidRDefault="000646B2" w:rsidP="00D07A89">
            <w:pPr>
              <w:pStyle w:val="ListParagraph"/>
              <w:numPr>
                <w:ilvl w:val="0"/>
                <w:numId w:val="5"/>
              </w:numPr>
              <w:spacing w:after="0" w:line="240" w:lineRule="auto"/>
              <w:ind w:left="447"/>
              <w:jc w:val="both"/>
              <w:rPr>
                <w:rFonts w:ascii="Times New Roman" w:hAnsi="Times New Roman" w:cs="Times New Roman"/>
                <w:noProof/>
                <w:sz w:val="24"/>
                <w:szCs w:val="24"/>
              </w:rPr>
            </w:pPr>
            <w:r>
              <w:rPr>
                <w:rFonts w:ascii="Times New Roman" w:hAnsi="Times New Roman"/>
                <w:noProof/>
                <w:sz w:val="24"/>
              </w:rPr>
              <w:t>ostvarivanje najveće moguće sinergije s postupcima procjene rizika koji se zahtijevaju zakonodavstvom EU-a u drugim područjima politike (npr. kritična infrastruktura, zdravlje, rizik od poplava, klimatske politike),</w:t>
            </w:r>
          </w:p>
          <w:p w14:paraId="792AC6C3" w14:textId="564A3945" w:rsidR="00013EA4" w:rsidRPr="003662FE" w:rsidRDefault="00013EA4" w:rsidP="00013EA4">
            <w:pPr>
              <w:pStyle w:val="ListParagraph"/>
              <w:numPr>
                <w:ilvl w:val="0"/>
                <w:numId w:val="5"/>
              </w:numPr>
              <w:spacing w:line="240" w:lineRule="auto"/>
              <w:ind w:left="457"/>
              <w:jc w:val="both"/>
              <w:rPr>
                <w:rFonts w:ascii="Times New Roman" w:hAnsi="Times New Roman" w:cs="Times New Roman"/>
                <w:noProof/>
                <w:sz w:val="24"/>
                <w:szCs w:val="24"/>
              </w:rPr>
            </w:pPr>
            <w:r>
              <w:rPr>
                <w:rFonts w:ascii="Times New Roman" w:hAnsi="Times New Roman"/>
                <w:noProof/>
                <w:sz w:val="24"/>
              </w:rPr>
              <w:t xml:space="preserve">poboljšanje sustavnog prikupljanja podataka o gubicima i šteti nastalima zbog prošlih katastrofa kako bi se poboljšalo razumijevanje budućih rizika te kako bi ti podaci bili dostupni putem </w:t>
            </w:r>
            <w:bookmarkStart w:id="13" w:name="_Hlk153296214"/>
            <w:bookmarkEnd w:id="13"/>
            <w:r>
              <w:rPr>
                <w:rFonts w:ascii="Times New Roman" w:hAnsi="Times New Roman"/>
                <w:noProof/>
                <w:sz w:val="24"/>
              </w:rPr>
              <w:t xml:space="preserve">čvorišta podataka o rizicima. </w:t>
            </w:r>
          </w:p>
        </w:tc>
      </w:tr>
    </w:tbl>
    <w:p w14:paraId="34FD88C5" w14:textId="77777777" w:rsidR="005B3BB9" w:rsidRDefault="005B3BB9">
      <w:pPr>
        <w:rPr>
          <w:noProof/>
          <w:highlight w:val="lightGray"/>
        </w:rPr>
      </w:pPr>
      <w:bookmarkStart w:id="14" w:name="_Toc148458554"/>
    </w:p>
    <w:p w14:paraId="003618FE" w14:textId="03E09B2B" w:rsidR="00A72AB6" w:rsidRPr="000D4393" w:rsidRDefault="00D058DE" w:rsidP="00446F4C">
      <w:pPr>
        <w:pStyle w:val="Heading2"/>
        <w:rPr>
          <w:noProof/>
        </w:rPr>
      </w:pPr>
      <w:r>
        <w:rPr>
          <w:noProof/>
        </w:rPr>
        <w:lastRenderedPageBreak/>
        <w:t>4.2.</w:t>
      </w:r>
      <w:r>
        <w:rPr>
          <w:noProof/>
        </w:rPr>
        <w:tab/>
        <w:t xml:space="preserve">Poboljšanje upravljanja rizicima od katastrofa </w:t>
      </w:r>
      <w:bookmarkEnd w:id="14"/>
    </w:p>
    <w:p w14:paraId="366980B2" w14:textId="7BC0FFD9" w:rsidR="00A72AB6" w:rsidRPr="00E66359" w:rsidRDefault="00A72AB6" w:rsidP="00446F4C">
      <w:pPr>
        <w:pStyle w:val="Heading2"/>
        <w:rPr>
          <w:noProof/>
        </w:rPr>
      </w:pPr>
      <w:bookmarkStart w:id="15" w:name="_Toc148458555"/>
      <w:r>
        <w:rPr>
          <w:noProof/>
        </w:rPr>
        <w:t xml:space="preserve">C. </w:t>
      </w:r>
      <w:r>
        <w:rPr>
          <w:noProof/>
        </w:rPr>
        <w:tab/>
        <w:t>Planiranje upravljanja rizicima od katastrofa</w:t>
      </w:r>
      <w:r>
        <w:rPr>
          <w:rStyle w:val="FootnoteReference"/>
          <w:rFonts w:eastAsia="Times New Roman"/>
          <w:noProof/>
        </w:rPr>
        <w:footnoteReference w:id="31"/>
      </w:r>
      <w:bookmarkEnd w:id="15"/>
      <w:r>
        <w:rPr>
          <w:noProof/>
        </w:rPr>
        <w:t xml:space="preserve"> </w:t>
      </w:r>
    </w:p>
    <w:p w14:paraId="087AFDE4" w14:textId="7323CB87" w:rsidR="00A72AB6" w:rsidRPr="00F7722E" w:rsidRDefault="00A72AB6" w:rsidP="00D07A89">
      <w:pPr>
        <w:spacing w:line="240" w:lineRule="auto"/>
        <w:jc w:val="both"/>
        <w:rPr>
          <w:rFonts w:ascii="Times New Roman" w:hAnsi="Times New Roman" w:cs="Times New Roman"/>
          <w:noProof/>
          <w:sz w:val="24"/>
          <w:szCs w:val="24"/>
        </w:rPr>
      </w:pPr>
      <w:r>
        <w:rPr>
          <w:rFonts w:ascii="Times New Roman" w:hAnsi="Times New Roman"/>
          <w:b/>
          <w:i/>
          <w:noProof/>
          <w:color w:val="000000"/>
          <w:sz w:val="24"/>
        </w:rPr>
        <w:t>Tri četvrtine država članica i država sudionica izvijestile su da imaju uspostavljene sveobuhvatne pravne okvire za upravljanje rizicima od katastrofa. Okviri se često dopunjuju zakonodavstvom kojim se utvrđuju odgovornosti na podnacionalnim razinama i razinama sektora.</w:t>
      </w:r>
      <w:r>
        <w:rPr>
          <w:rFonts w:ascii="Times New Roman" w:hAnsi="Times New Roman"/>
          <w:noProof/>
          <w:color w:val="000000"/>
          <w:sz w:val="24"/>
        </w:rPr>
        <w:t xml:space="preserve"> Izvješća pokazuju da su posebni okviri za upravljanje rizicima od katastrofa (npr. propisi o civilnoj zaštiti) dopunjeni drugim zakonima, kao što je sektorsko ili podnacionalno zakonodavstvo. Nešto manje od polovine zemalja izvijestilo je i o uvođenju neobvezujućih pravnih mjera i politika kojima se dopunjuju pravni okviri. </w:t>
      </w:r>
      <w:r>
        <w:rPr>
          <w:rFonts w:ascii="Times New Roman" w:hAnsi="Times New Roman"/>
          <w:noProof/>
          <w:sz w:val="24"/>
        </w:rPr>
        <w:t xml:space="preserve">U većini zemalja glavni propisi o civilnoj zaštiti obuhvaćaju i procjenu sposobnosti upravljanja rizicima te uključuju i druge faze upravljanja rizicima od katastrofa. </w:t>
      </w:r>
    </w:p>
    <w:p w14:paraId="42B09B89" w14:textId="7919AC87" w:rsidR="005A7AA4" w:rsidRDefault="00A72AB6" w:rsidP="00D07A89">
      <w:pPr>
        <w:spacing w:line="240" w:lineRule="auto"/>
        <w:jc w:val="both"/>
        <w:rPr>
          <w:rFonts w:ascii="Times New Roman" w:hAnsi="Times New Roman" w:cs="Times New Roman"/>
          <w:noProof/>
          <w:color w:val="000000"/>
          <w:sz w:val="24"/>
          <w:szCs w:val="19"/>
        </w:rPr>
      </w:pPr>
      <w:r>
        <w:rPr>
          <w:rFonts w:ascii="Times New Roman" w:hAnsi="Times New Roman"/>
          <w:b/>
          <w:i/>
          <w:noProof/>
          <w:color w:val="000000"/>
          <w:sz w:val="24"/>
        </w:rPr>
        <w:t>Rizicima od katastrofa u svim se zemljama upravlja na nacionalnoj razini, uz sudjelovanje regionalnih i lokalnih vlasti u različitoj mjeri.</w:t>
      </w:r>
      <w:r>
        <w:rPr>
          <w:rFonts w:ascii="Times New Roman" w:hAnsi="Times New Roman"/>
          <w:noProof/>
          <w:color w:val="000000"/>
          <w:sz w:val="24"/>
        </w:rPr>
        <w:t xml:space="preserve"> Većina zemalja izvijestila je o tome da primjenjuju različite mehanizme</w:t>
      </w:r>
      <w:r>
        <w:rPr>
          <w:rFonts w:ascii="Times New Roman" w:hAnsi="Times New Roman"/>
          <w:b/>
          <w:noProof/>
          <w:color w:val="000000"/>
          <w:sz w:val="24"/>
        </w:rPr>
        <w:t xml:space="preserve"> vertikalne suradnje</w:t>
      </w:r>
      <w:r>
        <w:rPr>
          <w:rFonts w:ascii="Times New Roman" w:hAnsi="Times New Roman"/>
          <w:noProof/>
          <w:color w:val="000000"/>
          <w:sz w:val="24"/>
        </w:rPr>
        <w:t xml:space="preserve"> između dionika na nacionalnoj i podnacionalnoj razini te mehanizme </w:t>
      </w:r>
      <w:r>
        <w:rPr>
          <w:rFonts w:ascii="Times New Roman" w:hAnsi="Times New Roman"/>
          <w:b/>
          <w:noProof/>
          <w:color w:val="000000"/>
          <w:sz w:val="24"/>
        </w:rPr>
        <w:t>horizontalne koordinacije</w:t>
      </w:r>
      <w:r>
        <w:rPr>
          <w:rFonts w:ascii="Times New Roman" w:hAnsi="Times New Roman"/>
          <w:noProof/>
          <w:color w:val="000000"/>
          <w:sz w:val="24"/>
        </w:rPr>
        <w:t xml:space="preserve"> kojima se širok raspon dionika u praksi uključuje u upravljanje rizicima od katastrofa. Iako ministarstva i tijela nadležna za civilnu zaštitu imaju primarnu odgovornost za provedbu procjena rizika, samo trećina zemalja izvješćuje o sudjelovanju velikog broja drugih tijela nadležnih za druge politike ili dionika iz privatnog sektora. Međutim, širokim sektorskim sudjelovanjem u tom postupku može se povećati informiranost o rizicima i poboljšati taj postupak. </w:t>
      </w:r>
    </w:p>
    <w:p w14:paraId="716AD1CB" w14:textId="03F1193A" w:rsidR="00A72AB6" w:rsidRPr="00513B88" w:rsidRDefault="005A7AA4" w:rsidP="00D07A89">
      <w:pPr>
        <w:spacing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U dvije trećine zemalja javna tijela nadležna za civilnu zaštitu koordiniraju postupak procjene rizika, pripravnosti i odgovora. Otprilike trećina zemalja izvijestila je o tome da su druga sektorska tijela i privatni sektor akteri koji su odgovorni za različite oblike prevencije (kao što </w:t>
      </w:r>
      <w:r>
        <w:rPr>
          <w:rFonts w:ascii="Times New Roman" w:hAnsi="Times New Roman"/>
          <w:noProof/>
          <w:sz w:val="24"/>
        </w:rPr>
        <w:t>su ministarstva okoliša, energetike, gospodarstva, zdravstva, poljoprivrede i šumarstva)</w:t>
      </w:r>
      <w:r>
        <w:rPr>
          <w:rFonts w:ascii="Times New Roman" w:hAnsi="Times New Roman"/>
          <w:noProof/>
          <w:color w:val="000000"/>
          <w:sz w:val="24"/>
        </w:rPr>
        <w:t xml:space="preserve">. Primjeri tijela privatnog sektora odgovornih za konkretne oblike prevencije jesu tijela koja su odgovorna za upravljanje rizicima od industrijskih nesreća i nuklearnu sigurnost. </w:t>
      </w:r>
    </w:p>
    <w:p w14:paraId="28F465AB" w14:textId="0A93B6B0" w:rsidR="00DD4AD3" w:rsidRPr="0086220A" w:rsidRDefault="0036589A" w:rsidP="0086220A">
      <w:pPr>
        <w:jc w:val="both"/>
        <w:rPr>
          <w:noProof/>
          <w:sz w:val="24"/>
          <w:szCs w:val="24"/>
        </w:rPr>
      </w:pPr>
      <w:r>
        <w:rPr>
          <w:rFonts w:ascii="Times New Roman" w:hAnsi="Times New Roman"/>
          <w:b/>
          <w:i/>
          <w:noProof/>
          <w:sz w:val="24"/>
        </w:rPr>
        <w:t>Više od trećine zemalja navelo je da upotrebljavaju neki oblik dokumenta za planiranje upravljanja rizikom</w:t>
      </w:r>
      <w:r>
        <w:rPr>
          <w:rFonts w:ascii="Times New Roman" w:hAnsi="Times New Roman"/>
          <w:noProof/>
          <w:sz w:val="24"/>
        </w:rPr>
        <w:t>.</w:t>
      </w:r>
      <w:r>
        <w:rPr>
          <w:rFonts w:ascii="Times New Roman" w:hAnsi="Times New Roman"/>
          <w:b/>
          <w:i/>
          <w:noProof/>
          <w:color w:val="000000"/>
          <w:sz w:val="24"/>
        </w:rPr>
        <w:t xml:space="preserve"> </w:t>
      </w:r>
      <w:r>
        <w:rPr>
          <w:rFonts w:ascii="Times New Roman" w:hAnsi="Times New Roman"/>
          <w:noProof/>
          <w:color w:val="000000"/>
          <w:sz w:val="24"/>
        </w:rPr>
        <w:t>Otprilike četvrtina zemalja navodi neki oblik sveobuhvatne nacionalne strategije za katastrofe ili sigurnosne strategije</w:t>
      </w:r>
      <w:r w:rsidR="00A72AB6" w:rsidRPr="00DD4AD3">
        <w:rPr>
          <w:rStyle w:val="FootnoteReference"/>
          <w:rFonts w:ascii="Times New Roman" w:hAnsi="Times New Roman" w:cs="Times New Roman"/>
          <w:noProof/>
          <w:color w:val="000000"/>
          <w:sz w:val="24"/>
          <w:szCs w:val="24"/>
        </w:rPr>
        <w:footnoteReference w:id="32"/>
      </w:r>
      <w:r>
        <w:rPr>
          <w:rFonts w:ascii="Times New Roman" w:hAnsi="Times New Roman"/>
          <w:noProof/>
          <w:color w:val="000000"/>
          <w:sz w:val="24"/>
        </w:rPr>
        <w:t xml:space="preserve">. Većina izvješćuje i o </w:t>
      </w:r>
      <w:r>
        <w:rPr>
          <w:rFonts w:ascii="Times New Roman" w:hAnsi="Times New Roman"/>
          <w:b/>
          <w:noProof/>
          <w:sz w:val="24"/>
        </w:rPr>
        <w:t>mjerama prevencije i pripravnosti</w:t>
      </w:r>
      <w:r>
        <w:rPr>
          <w:rFonts w:ascii="Times New Roman" w:hAnsi="Times New Roman"/>
          <w:noProof/>
          <w:sz w:val="24"/>
        </w:rPr>
        <w:t xml:space="preserve"> za prekogranične rizike i rizike male vjerojatnosti i velikog učinka koje su utvrdile, međutim, nijedna od njih nije navela mjere za otklanjanje svih rizika male vjerojatnosti i velikog učinka koji su utvrđeni.</w:t>
      </w:r>
      <w:r>
        <w:rPr>
          <w:rFonts w:ascii="Times New Roman" w:hAnsi="Times New Roman"/>
          <w:noProof/>
          <w:color w:val="000000"/>
          <w:sz w:val="24"/>
        </w:rPr>
        <w:t xml:space="preserve"> Mjere koje zemlje navode prije svega se odnose na pripravnost, na primjer sustavi za rano upozoravanje, uz manji broj mjera prevencije. Na primjer, </w:t>
      </w:r>
      <w:r>
        <w:rPr>
          <w:rFonts w:ascii="Times New Roman" w:hAnsi="Times New Roman"/>
          <w:noProof/>
          <w:sz w:val="24"/>
        </w:rPr>
        <w:t>samo nekoliko zemalja izvijestilo je o mjerama prevencije povezanima s upotrebom zemljišta i prostornim planiranjem za upravljanje poplavama, industrijskim rizicima te rizicima od potresa i erupcije vulkana.</w:t>
      </w:r>
    </w:p>
    <w:p w14:paraId="3F8387F6" w14:textId="1FD8A8D8" w:rsidR="00A72AB6" w:rsidRPr="001E5BBE" w:rsidRDefault="00826CA3" w:rsidP="00D07A89">
      <w:pPr>
        <w:spacing w:line="240" w:lineRule="auto"/>
        <w:jc w:val="both"/>
        <w:rPr>
          <w:rFonts w:ascii="Times New Roman" w:hAnsi="Times New Roman" w:cs="Times New Roman"/>
          <w:noProof/>
          <w:color w:val="000000"/>
          <w:sz w:val="24"/>
          <w:szCs w:val="19"/>
        </w:rPr>
      </w:pPr>
      <w:r>
        <w:rPr>
          <w:rFonts w:ascii="Times New Roman" w:hAnsi="Times New Roman"/>
          <w:b/>
          <w:i/>
          <w:noProof/>
          <w:sz w:val="24"/>
        </w:rPr>
        <w:t>Iako većina zemalja izvješćuje o nekim mjerama prevencije i pripravnosti, navode ograničene informacije o prioritetima među tim mjerama i o tome kad će se one provoditi.</w:t>
      </w:r>
      <w:r>
        <w:rPr>
          <w:rFonts w:ascii="Times New Roman" w:hAnsi="Times New Roman"/>
          <w:noProof/>
          <w:sz w:val="24"/>
        </w:rPr>
        <w:t xml:space="preserve"> Nacionalna izvješća imaju ključnu ulogu u stavljanju na raspolaganje informacija o utvrđivanju rizika i stoga čine osnovu za odluke o ulaganju u prevenciju. Upravljanje rizicima podrazumijeva i određivanje prioriteta, planiranje i financiranje mjera pripravnosti i prevencije te utvrđivanje </w:t>
      </w:r>
      <w:r>
        <w:rPr>
          <w:rFonts w:ascii="Times New Roman" w:hAnsi="Times New Roman"/>
          <w:noProof/>
          <w:sz w:val="24"/>
        </w:rPr>
        <w:lastRenderedPageBreak/>
        <w:t>vodećih tijela. Iako zemlje izvješćuju o mjerama za prekogranične rizike i rizike male vjerojatnosti i velikog učinka, vrlo malo ih je izvijestilo o vremenskom okviru za provedbu mjera i povezanim mehanizmima financiranja.</w:t>
      </w:r>
    </w:p>
    <w:p w14:paraId="2B1CF786" w14:textId="2BCFBEF1" w:rsidR="00A72AB6" w:rsidRPr="00A91D47" w:rsidRDefault="00A72AB6" w:rsidP="00446F4C">
      <w:pPr>
        <w:pStyle w:val="Heading2"/>
        <w:rPr>
          <w:rFonts w:eastAsia="Times New Roman" w:cs="Times New Roman"/>
          <w:bCs/>
          <w:i/>
          <w:iCs/>
          <w:noProof/>
        </w:rPr>
      </w:pPr>
      <w:bookmarkStart w:id="16" w:name="_Toc148458556"/>
      <w:r>
        <w:rPr>
          <w:noProof/>
        </w:rPr>
        <w:t>D. Upravljanje prekograničnim rizicima</w:t>
      </w:r>
      <w:r>
        <w:rPr>
          <w:rStyle w:val="FootnoteReference"/>
          <w:rFonts w:eastAsia="Times New Roman"/>
          <w:noProof/>
        </w:rPr>
        <w:footnoteReference w:id="33"/>
      </w:r>
      <w:bookmarkEnd w:id="16"/>
      <w:r>
        <w:rPr>
          <w:noProof/>
        </w:rPr>
        <w:t xml:space="preserve"> </w:t>
      </w:r>
    </w:p>
    <w:p w14:paraId="1150A33A" w14:textId="6DD3B575" w:rsidR="00A72AB6" w:rsidRDefault="009232F8" w:rsidP="00D07A89">
      <w:pPr>
        <w:spacing w:line="240" w:lineRule="auto"/>
        <w:jc w:val="both"/>
        <w:rPr>
          <w:rFonts w:ascii="Times New Roman" w:hAnsi="Times New Roman" w:cs="Times New Roman"/>
          <w:noProof/>
          <w:sz w:val="24"/>
          <w:szCs w:val="24"/>
        </w:rPr>
      </w:pPr>
      <w:r>
        <w:rPr>
          <w:rFonts w:ascii="Times New Roman" w:hAnsi="Times New Roman"/>
          <w:b/>
          <w:i/>
          <w:noProof/>
          <w:sz w:val="24"/>
        </w:rPr>
        <w:t xml:space="preserve">Sve države članice i države sudionice sustavno utvrđuju ključne rizike s prekograničnim elementom. To je ključno za upravljanje rizicima u svim europskim zemljama, koje su međusobno vrlo povezane. </w:t>
      </w:r>
      <w:r>
        <w:rPr>
          <w:rFonts w:ascii="Times New Roman" w:hAnsi="Times New Roman"/>
          <w:noProof/>
          <w:sz w:val="24"/>
        </w:rPr>
        <w:t xml:space="preserve">Najčešće utvrđeni prekogranični rizici jesu nuklearne i radiološke nesreće, poplave, šumski požari i pandemija/epidemija. Od zemalja je prvi put zatraženo da utvrde </w:t>
      </w:r>
      <w:r>
        <w:rPr>
          <w:rFonts w:ascii="Times New Roman" w:hAnsi="Times New Roman"/>
          <w:b/>
          <w:noProof/>
          <w:sz w:val="24"/>
        </w:rPr>
        <w:t xml:space="preserve">postupke i mjere na prekograničnoj, međuregionalnoj i međunarodnoj razini </w:t>
      </w:r>
      <w:r>
        <w:rPr>
          <w:rFonts w:ascii="Times New Roman" w:hAnsi="Times New Roman"/>
          <w:noProof/>
          <w:sz w:val="24"/>
        </w:rPr>
        <w:t>te</w:t>
      </w:r>
      <w:r>
        <w:rPr>
          <w:rFonts w:ascii="Times New Roman" w:hAnsi="Times New Roman"/>
          <w:b/>
          <w:noProof/>
          <w:sz w:val="24"/>
        </w:rPr>
        <w:t xml:space="preserve"> mjere za otklanjanje prekograničnih rizika</w:t>
      </w:r>
      <w:r>
        <w:rPr>
          <w:rFonts w:ascii="Times New Roman" w:hAnsi="Times New Roman"/>
          <w:noProof/>
          <w:sz w:val="24"/>
        </w:rPr>
        <w:t xml:space="preserve">. Izvješća pružaju uvid u upravljanje rizicima, među ostalim u kontekstu prekogranične suradnje radi upravljanja prekograničnim rizicima i rizicima s prekograničnim učincima. </w:t>
      </w:r>
    </w:p>
    <w:p w14:paraId="5D92AFDA" w14:textId="357BF5B4" w:rsidR="00A72AB6" w:rsidRDefault="0086658D" w:rsidP="00D07A89">
      <w:pPr>
        <w:spacing w:line="240" w:lineRule="auto"/>
        <w:jc w:val="both"/>
        <w:rPr>
          <w:rFonts w:ascii="Times New Roman" w:hAnsi="Times New Roman" w:cs="Times New Roman"/>
          <w:noProof/>
          <w:sz w:val="24"/>
          <w:szCs w:val="24"/>
        </w:rPr>
      </w:pPr>
      <w:r>
        <w:rPr>
          <w:rFonts w:ascii="Times New Roman" w:hAnsi="Times New Roman"/>
          <w:b/>
          <w:i/>
          <w:noProof/>
          <w:sz w:val="24"/>
        </w:rPr>
        <w:t xml:space="preserve">Iako iz izvješća koja su podnijele zemlje proizlazi da se određuju prioriteti u postupcima i mjerama za upravljanje utvrđenim rizicima, čini se da postoje nedostaci u provedbi ili izvješćivanju o tim postupcima i mjerama. </w:t>
      </w:r>
      <w:r>
        <w:rPr>
          <w:rFonts w:ascii="Times New Roman" w:hAnsi="Times New Roman"/>
          <w:noProof/>
          <w:sz w:val="24"/>
        </w:rPr>
        <w:t xml:space="preserve">Najveći broj </w:t>
      </w:r>
      <w:r>
        <w:rPr>
          <w:rFonts w:ascii="Times New Roman" w:hAnsi="Times New Roman"/>
          <w:b/>
          <w:noProof/>
          <w:sz w:val="24"/>
        </w:rPr>
        <w:t>prekograničnih mjera</w:t>
      </w:r>
      <w:r>
        <w:rPr>
          <w:rFonts w:ascii="Times New Roman" w:hAnsi="Times New Roman"/>
          <w:noProof/>
          <w:sz w:val="24"/>
        </w:rPr>
        <w:t xml:space="preserve"> koje zemlje navode odnosi se na nuklearne i radiološke rizike, poplave, industrijske nesreće, šumske požare i poremećaje u infrastrukturi. Oko 70 % zemalja u kojima su utvrđeni određeni prekogranični rizici pruža i informacije o mjerama za upravljanje tim rizicima. Nijedna zemlja ne izvješćuje o mjerama za upravljanje svim prekograničnim rizicima koje su utvrdile. Prekogranična suradnja uglavnom je usmjerena na pripravnost, a u manjoj mjeri na prevenciju i prekogranične procjene rizika. Većina mjera koje zemlje navode i koje se odnose na prekogranične rizike je „nestrukturna”, a riječ je o osposobljavanju i obrazovanju, sustavima ranog upozoravanja i informiranju javnosti. </w:t>
      </w:r>
    </w:p>
    <w:p w14:paraId="5F71187B" w14:textId="0C27B72E" w:rsidR="00A72AB6" w:rsidRDefault="00A72AB6" w:rsidP="00D07A89">
      <w:pPr>
        <w:spacing w:line="240" w:lineRule="auto"/>
        <w:jc w:val="both"/>
        <w:rPr>
          <w:rFonts w:ascii="Times New Roman" w:hAnsi="Times New Roman" w:cs="Times New Roman"/>
          <w:noProof/>
          <w:sz w:val="24"/>
          <w:szCs w:val="24"/>
        </w:rPr>
      </w:pPr>
      <w:r>
        <w:rPr>
          <w:rFonts w:ascii="Times New Roman" w:hAnsi="Times New Roman"/>
          <w:b/>
          <w:i/>
          <w:noProof/>
          <w:sz w:val="24"/>
        </w:rPr>
        <w:t>Često se poziva na međunarodne i europske okvire</w:t>
      </w:r>
      <w:r>
        <w:rPr>
          <w:rFonts w:ascii="Times New Roman" w:hAnsi="Times New Roman"/>
          <w:noProof/>
          <w:sz w:val="24"/>
        </w:rPr>
        <w:t xml:space="preserve">. Neke zemlje upućuju na važno sektorsko </w:t>
      </w:r>
      <w:r>
        <w:rPr>
          <w:rFonts w:ascii="Times New Roman" w:hAnsi="Times New Roman"/>
          <w:b/>
          <w:noProof/>
          <w:sz w:val="24"/>
        </w:rPr>
        <w:t>zakonodavstvo EU-a</w:t>
      </w:r>
      <w:r>
        <w:rPr>
          <w:rFonts w:ascii="Times New Roman" w:hAnsi="Times New Roman"/>
          <w:noProof/>
          <w:sz w:val="24"/>
        </w:rPr>
        <w:t xml:space="preserve"> kojim se jača prekogranična suradnja za upravljanje određenim rizicima, posebno onima povezanima s poplavama</w:t>
      </w:r>
      <w:r>
        <w:rPr>
          <w:rStyle w:val="FootnoteReference"/>
          <w:rFonts w:ascii="Times New Roman" w:hAnsi="Times New Roman" w:cs="Times New Roman"/>
          <w:noProof/>
          <w:sz w:val="24"/>
          <w:szCs w:val="24"/>
        </w:rPr>
        <w:footnoteReference w:id="34"/>
      </w:r>
      <w:r>
        <w:rPr>
          <w:rFonts w:ascii="Times New Roman" w:hAnsi="Times New Roman"/>
          <w:noProof/>
          <w:sz w:val="24"/>
        </w:rPr>
        <w:t>, velikim industrijskim nesrećama</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i kritičnom infrastrukturom</w:t>
      </w:r>
      <w:r>
        <w:rPr>
          <w:rStyle w:val="FootnoteReference"/>
          <w:rFonts w:ascii="Times New Roman" w:hAnsi="Times New Roman" w:cs="Times New Roman"/>
          <w:noProof/>
          <w:sz w:val="24"/>
          <w:szCs w:val="24"/>
        </w:rPr>
        <w:footnoteReference w:id="36"/>
      </w:r>
      <w:r>
        <w:rPr>
          <w:rFonts w:ascii="Times New Roman" w:hAnsi="Times New Roman"/>
          <w:noProof/>
          <w:sz w:val="24"/>
        </w:rPr>
        <w:t>. Zemlje izvješćuju i o različitim primjerima prekogranične suradnje u</w:t>
      </w:r>
      <w:r>
        <w:rPr>
          <w:rFonts w:ascii="Times New Roman" w:hAnsi="Times New Roman"/>
          <w:b/>
          <w:noProof/>
          <w:sz w:val="24"/>
        </w:rPr>
        <w:t xml:space="preserve"> međunarodnim procesima ili organizacijama </w:t>
      </w:r>
      <w:r>
        <w:rPr>
          <w:rFonts w:ascii="Times New Roman" w:hAnsi="Times New Roman"/>
          <w:noProof/>
          <w:sz w:val="24"/>
        </w:rPr>
        <w:t>kao što su Okvir iz Sendaija za smanjenje rizika od katastrofa Ujedinjenih naroda (UNDRR), Svjetska zdravstvena organizacija (SZO) i Organizacija sjevernoatlantskog ugovora (NATO), na koje upućuje otprilike trećina zemalja. Samo nekoliko njih upućuje na O</w:t>
      </w:r>
      <w:r>
        <w:rPr>
          <w:rFonts w:ascii="Times New Roman" w:hAnsi="Times New Roman"/>
          <w:noProof/>
          <w:color w:val="0B1E2D"/>
          <w:sz w:val="24"/>
        </w:rPr>
        <w:t>rganizaciju za gospodarsku suradnju i razvoj</w:t>
      </w:r>
      <w:r>
        <w:rPr>
          <w:rFonts w:ascii="Times New Roman" w:hAnsi="Times New Roman"/>
          <w:noProof/>
          <w:sz w:val="24"/>
        </w:rPr>
        <w:t xml:space="preserve"> (OECD) ili na makroregionalne</w:t>
      </w:r>
      <w:r>
        <w:rPr>
          <w:rFonts w:ascii="Times New Roman" w:hAnsi="Times New Roman"/>
          <w:b/>
          <w:noProof/>
          <w:sz w:val="24"/>
        </w:rPr>
        <w:t xml:space="preserve"> </w:t>
      </w:r>
      <w:r>
        <w:rPr>
          <w:rFonts w:ascii="Times New Roman" w:hAnsi="Times New Roman"/>
          <w:noProof/>
          <w:sz w:val="24"/>
        </w:rPr>
        <w:t>(npr. dunavske i baltičke)</w:t>
      </w:r>
      <w:r>
        <w:rPr>
          <w:rFonts w:ascii="Times New Roman" w:hAnsi="Times New Roman"/>
          <w:b/>
          <w:noProof/>
          <w:sz w:val="24"/>
        </w:rPr>
        <w:t xml:space="preserve"> </w:t>
      </w:r>
      <w:r>
        <w:rPr>
          <w:rFonts w:ascii="Times New Roman" w:hAnsi="Times New Roman"/>
          <w:noProof/>
          <w:sz w:val="24"/>
        </w:rPr>
        <w:t xml:space="preserve">okvire ili organizacije. Trećina zemalja napominje da sam Mehanizam Unije za civilnu zaštitu poboljšava prekogranično djelovanje. Zemlje navode nekoliko primjera bilateralnih sporazuma o suradnji u pograničnim regijama, na primjer u pogledu ranog upozoravanja i obavješćivanja o rizicima, suradnje na procjenama rizika i protokolima za pripravnost, razmjene informacija o ranom upozoravanju i naknadnog odgovora. </w:t>
      </w:r>
    </w:p>
    <w:p w14:paraId="75BC8C48" w14:textId="61F2CB73" w:rsidR="00A72AB6" w:rsidRPr="00826759" w:rsidRDefault="00A72AB6" w:rsidP="00446F4C">
      <w:pPr>
        <w:pStyle w:val="Heading2"/>
        <w:rPr>
          <w:rFonts w:eastAsia="Times New Roman"/>
          <w:noProof/>
        </w:rPr>
      </w:pPr>
      <w:bookmarkStart w:id="17" w:name="_Toc148458557"/>
      <w:r>
        <w:rPr>
          <w:noProof/>
        </w:rPr>
        <w:t xml:space="preserve">E. </w:t>
      </w:r>
      <w:r>
        <w:rPr>
          <w:noProof/>
        </w:rPr>
        <w:tab/>
        <w:t>Sustavi za informiranje o rizicima i uzbunjivanje</w:t>
      </w:r>
      <w:r>
        <w:rPr>
          <w:rStyle w:val="FootnoteReference"/>
          <w:rFonts w:eastAsia="Times New Roman"/>
          <w:noProof/>
        </w:rPr>
        <w:footnoteReference w:id="37"/>
      </w:r>
      <w:bookmarkEnd w:id="17"/>
    </w:p>
    <w:p w14:paraId="5D5E9CFE" w14:textId="4A8640EA" w:rsidR="00A72AB6" w:rsidRDefault="000E5295" w:rsidP="00D07A89">
      <w:pPr>
        <w:spacing w:line="240" w:lineRule="auto"/>
        <w:jc w:val="both"/>
        <w:rPr>
          <w:rFonts w:ascii="Times New Roman" w:hAnsi="Times New Roman" w:cs="Times New Roman"/>
          <w:noProof/>
          <w:sz w:val="24"/>
          <w:szCs w:val="24"/>
        </w:rPr>
      </w:pPr>
      <w:r>
        <w:rPr>
          <w:rFonts w:ascii="Times New Roman" w:hAnsi="Times New Roman"/>
          <w:b/>
          <w:i/>
          <w:noProof/>
          <w:sz w:val="24"/>
        </w:rPr>
        <w:t xml:space="preserve">Iako se štetne posljedice katastrofa mogu smanjiti pripravnošću stanovništva za postupanje u hitnim situacijama, nisu sve države članice i države sudionice dostavile detaljne podatke o </w:t>
      </w:r>
      <w:r>
        <w:rPr>
          <w:rFonts w:ascii="Times New Roman" w:hAnsi="Times New Roman"/>
          <w:b/>
          <w:i/>
          <w:noProof/>
          <w:sz w:val="24"/>
        </w:rPr>
        <w:lastRenderedPageBreak/>
        <w:t xml:space="preserve">informiranju o rizicima. </w:t>
      </w:r>
      <w:r>
        <w:rPr>
          <w:rFonts w:ascii="Times New Roman" w:hAnsi="Times New Roman"/>
          <w:noProof/>
          <w:sz w:val="24"/>
        </w:rPr>
        <w:t xml:space="preserve">Otprilike tri četvrtine zemalja izvijestilo je o aktivnostima koje provode tijela civilne zaštite i druga ključna tijela kako bi se stanovništvu pružile </w:t>
      </w:r>
      <w:r>
        <w:rPr>
          <w:rFonts w:ascii="Times New Roman" w:hAnsi="Times New Roman"/>
          <w:b/>
          <w:noProof/>
          <w:sz w:val="24"/>
        </w:rPr>
        <w:t>informacije o rizicima od katastrofa i kako bi se stanovništvo upoznalo s rizicima</w:t>
      </w:r>
      <w:r>
        <w:rPr>
          <w:rFonts w:ascii="Times New Roman" w:hAnsi="Times New Roman"/>
          <w:noProof/>
          <w:sz w:val="24"/>
        </w:rPr>
        <w:t xml:space="preserve">, no nisu dostavile konkretne informacije. U informativnim kampanjama upotrebljavaju se različiti komunikacijski alati (televizijsko i radijsko oglašavanje, društveni mediji, kratki animirani filmovi, letci i brošure) i internetske stranice s informacijama o rizicima. Postoje dobri primjeri obrazovnih kampanja. </w:t>
      </w:r>
    </w:p>
    <w:p w14:paraId="11B9996A" w14:textId="65B099A0" w:rsidR="00A72AB6" w:rsidRPr="00D15498" w:rsidRDefault="00B8153B" w:rsidP="00D07A89">
      <w:pPr>
        <w:spacing w:line="240" w:lineRule="auto"/>
        <w:jc w:val="both"/>
        <w:rPr>
          <w:rFonts w:ascii="Times New Roman" w:hAnsi="Times New Roman" w:cs="Times New Roman"/>
          <w:noProof/>
          <w:sz w:val="24"/>
          <w:szCs w:val="24"/>
        </w:rPr>
      </w:pPr>
      <w:r>
        <w:rPr>
          <w:rFonts w:ascii="Times New Roman" w:hAnsi="Times New Roman"/>
          <w:b/>
          <w:i/>
          <w:noProof/>
          <w:sz w:val="24"/>
        </w:rPr>
        <w:t>Države informiraju javnost o rizicima kako bi skrenule pozornost na rizike, ali samo polovina zemalja navela je da su njihove procjene rizika javno dostupne.</w:t>
      </w:r>
      <w:r>
        <w:rPr>
          <w:rFonts w:ascii="Times New Roman" w:hAnsi="Times New Roman"/>
          <w:noProof/>
          <w:sz w:val="24"/>
        </w:rPr>
        <w:t xml:space="preserve"> Kontinuirane </w:t>
      </w:r>
      <w:r>
        <w:rPr>
          <w:rFonts w:ascii="Times New Roman" w:hAnsi="Times New Roman"/>
          <w:noProof/>
          <w:color w:val="000000" w:themeColor="text1"/>
          <w:sz w:val="24"/>
        </w:rPr>
        <w:t xml:space="preserve">kampanje za informiranje o rizicima često su usmjerene na sve aspekte otpornosti i samozaštite povezane s rizicima i hitnim situacijama, ali samo nekoliko zemalja podijelilo je pojedinosti o tim strategijama. Zemlje najčešće navode kampanje za informiranje o poplavama i šumskim požarima kao primjere kampanja usmjerenih na konkretan rizik. Trećina zemalja navela je da su </w:t>
      </w:r>
      <w:r>
        <w:rPr>
          <w:rFonts w:ascii="Times New Roman" w:hAnsi="Times New Roman"/>
          <w:noProof/>
          <w:sz w:val="24"/>
        </w:rPr>
        <w:t xml:space="preserve">obrazovni sustavi važni kanali za informiranje o rizicima. </w:t>
      </w:r>
    </w:p>
    <w:p w14:paraId="183F2285" w14:textId="1021E8CA" w:rsidR="00A72AB6" w:rsidRPr="00FE020C" w:rsidRDefault="00A72AB6" w:rsidP="00D07A89">
      <w:pPr>
        <w:spacing w:line="240" w:lineRule="auto"/>
        <w:jc w:val="both"/>
        <w:rPr>
          <w:rFonts w:ascii="Times New Roman" w:hAnsi="Times New Roman" w:cs="Times New Roman"/>
          <w:noProof/>
          <w:sz w:val="24"/>
          <w:szCs w:val="24"/>
        </w:rPr>
      </w:pPr>
      <w:r>
        <w:rPr>
          <w:rFonts w:ascii="Times New Roman" w:hAnsi="Times New Roman"/>
          <w:b/>
          <w:i/>
          <w:noProof/>
          <w:sz w:val="24"/>
        </w:rPr>
        <w:t>Uzbunjivanje i upozoravanje stanovništva ključno je za komunikaciju u hitnim i kriznim situacijama, ali tek nešto više od polovine zemalja izvijestilo je o upotrebi različitih načina za uzbunjivanje stanovništva u hitnim situacijama.</w:t>
      </w:r>
      <w:r>
        <w:rPr>
          <w:rFonts w:ascii="Times New Roman" w:hAnsi="Times New Roman"/>
          <w:noProof/>
          <w:sz w:val="24"/>
        </w:rPr>
        <w:t xml:space="preserve"> Primjeri navedenih alata jesu sirene, poruke putem mobilnih telefona, posebne aplikacije za pametne telefone i upotreba tradicionalnih medija (radio/televizija). Opseg pružanja mjera ranog upozorenja i vrijeme koje se može osigurati stanovništvu i nadležnim tijelima za djelovanje ovisi o vrsti rizika od katastrofa. Neke zemlje upućuju na provedbu zakonodavstva EU-a kojim se zahtijevaju uvođenje javnih upozorenja putem mobilnih telefona do 2022</w:t>
      </w:r>
      <w:r>
        <w:rPr>
          <w:rStyle w:val="FootnoteReference"/>
          <w:rFonts w:ascii="Times New Roman" w:hAnsi="Times New Roman" w:cs="Times New Roman"/>
          <w:noProof/>
          <w:sz w:val="24"/>
          <w:szCs w:val="24"/>
        </w:rPr>
        <w:footnoteReference w:id="38"/>
      </w:r>
      <w:r>
        <w:rPr>
          <w:rFonts w:ascii="Times New Roman" w:hAnsi="Times New Roman"/>
          <w:noProof/>
          <w:sz w:val="24"/>
        </w:rPr>
        <w:t xml:space="preserve">. </w:t>
      </w:r>
    </w:p>
    <w:p w14:paraId="491C05D5" w14:textId="70020DE4" w:rsidR="00A72AB6" w:rsidRDefault="00277715" w:rsidP="00D07A89">
      <w:pPr>
        <w:spacing w:line="240" w:lineRule="auto"/>
        <w:jc w:val="both"/>
        <w:rPr>
          <w:rFonts w:ascii="Times New Roman" w:hAnsi="Times New Roman" w:cs="Times New Roman"/>
          <w:noProof/>
          <w:sz w:val="24"/>
          <w:szCs w:val="24"/>
        </w:rPr>
      </w:pPr>
      <w:r>
        <w:rPr>
          <w:rFonts w:ascii="Times New Roman" w:hAnsi="Times New Roman"/>
          <w:b/>
          <w:i/>
          <w:noProof/>
          <w:sz w:val="24"/>
        </w:rPr>
        <w:t xml:space="preserve">Ključno je pri upravljanju rizicima odgovoriti na potrebe najranjivijih skupina, ali mali broj zemalja izvijestio je o takvim aktivnostima. </w:t>
      </w:r>
      <w:r>
        <w:rPr>
          <w:rFonts w:ascii="Times New Roman" w:hAnsi="Times New Roman"/>
          <w:noProof/>
          <w:sz w:val="24"/>
        </w:rPr>
        <w:t>Nekoliko zemalja izvijestilo je o smjernicama o tome kako u hitnim situacijama uzeti u obzir potrebe osoba s invaliditetom i drugih ranjivih skupina. Nekoliko zemalja izvijestilo je o posebnim inicijativama za informiranje o rizicima kojima se pruža potpora ranjivim skupinama.</w:t>
      </w:r>
    </w:p>
    <w:p w14:paraId="72028B9B" w14:textId="1F0DC02F" w:rsidR="00A72AB6" w:rsidRPr="00170E21" w:rsidRDefault="00A72AB6" w:rsidP="00D07A89">
      <w:pPr>
        <w:pStyle w:val="Heading2"/>
        <w:spacing w:line="240" w:lineRule="auto"/>
        <w:rPr>
          <w:noProof/>
        </w:rPr>
      </w:pPr>
      <w:bookmarkStart w:id="18" w:name="_Toc148458558"/>
      <w:r>
        <w:rPr>
          <w:noProof/>
        </w:rPr>
        <w:t xml:space="preserve">F. Sustavi za rano upozoravanje i kapaciteti za odgovor </w:t>
      </w:r>
      <w:bookmarkEnd w:id="18"/>
    </w:p>
    <w:p w14:paraId="66B2B9BC" w14:textId="0EFA043E" w:rsidR="00A72AB6" w:rsidRPr="00F7722E" w:rsidRDefault="00A72AB6" w:rsidP="00D07A89">
      <w:pPr>
        <w:spacing w:line="240" w:lineRule="auto"/>
        <w:jc w:val="both"/>
        <w:rPr>
          <w:rFonts w:ascii="Times New Roman" w:hAnsi="Times New Roman" w:cs="Times New Roman"/>
          <w:b/>
          <w:bCs/>
          <w:i/>
          <w:iCs/>
          <w:noProof/>
          <w:sz w:val="24"/>
          <w:szCs w:val="24"/>
        </w:rPr>
      </w:pPr>
      <w:r>
        <w:rPr>
          <w:rFonts w:ascii="Times New Roman" w:hAnsi="Times New Roman"/>
          <w:b/>
          <w:i/>
          <w:noProof/>
          <w:sz w:val="24"/>
        </w:rPr>
        <w:t>Rano prepoznavanje predstojećih katastrofa ključno je za smanjenje štetnih posljedica. Većina država članica i država sudionica izvijestila je o tome da imaju uspostavljene sustave. Međutim, samo oko polovine zemalja u kojima su određeni rizici utvrđeni kao relevantni navela je da su uspostavljeni sustavi za rano upozoravanje na te rizike.</w:t>
      </w:r>
      <w:r>
        <w:rPr>
          <w:rFonts w:ascii="Times New Roman" w:hAnsi="Times New Roman"/>
          <w:b/>
          <w:noProof/>
          <w:sz w:val="24"/>
        </w:rPr>
        <w:t xml:space="preserve"> </w:t>
      </w:r>
      <w:r>
        <w:rPr>
          <w:rFonts w:ascii="Times New Roman" w:hAnsi="Times New Roman"/>
          <w:noProof/>
          <w:sz w:val="24"/>
        </w:rPr>
        <w:t>Sustavi za rano upozoravanje</w:t>
      </w:r>
      <w:r>
        <w:rPr>
          <w:rFonts w:ascii="Times New Roman" w:hAnsi="Times New Roman"/>
          <w:b/>
          <w:noProof/>
          <w:sz w:val="24"/>
        </w:rPr>
        <w:t xml:space="preserve"> </w:t>
      </w:r>
      <w:r>
        <w:rPr>
          <w:rFonts w:ascii="Times New Roman" w:hAnsi="Times New Roman"/>
          <w:noProof/>
          <w:sz w:val="24"/>
        </w:rPr>
        <w:t xml:space="preserve">postoje za širok raspon katastrofa, prvenstveno onih povezanih s prirodnim opasnostima, pri čemu su najčešće obuhvaćeni ekstremni vremenski uvjeti i poplave, nakon čega slijede potresi i šumski požari. Kad je riječ o tehnološkim rizicima, najčešće se navode sustavi za rano upozoravanje za nuklearne i radiološke nesreće, nakon čega slijede sustavi za rano upozoravanje na kibernetičke rizike, poremećaje u kritičnoj infrastrukturi i industrijske nesreće. Stoga je važno uspostaviti praćenje u stvarnom vremenu čimbenika koji tome pridonose (npr. suha vegetacija koja povećava rizik od šumskih požara, zasićenje tla koje dovodi do povećanog rizika od poplava, seizmičko kretanje, širenje virusa). </w:t>
      </w:r>
    </w:p>
    <w:p w14:paraId="718C4805" w14:textId="0EDEBC2F" w:rsidR="00A72AB6" w:rsidRPr="00FE020C" w:rsidRDefault="00A72AB6" w:rsidP="00D07A89">
      <w:pPr>
        <w:spacing w:line="240" w:lineRule="auto"/>
        <w:jc w:val="both"/>
        <w:rPr>
          <w:rFonts w:ascii="Times New Roman" w:hAnsi="Times New Roman" w:cs="Times New Roman"/>
          <w:noProof/>
          <w:sz w:val="24"/>
          <w:szCs w:val="24"/>
        </w:rPr>
      </w:pPr>
      <w:r>
        <w:rPr>
          <w:rFonts w:ascii="Times New Roman" w:hAnsi="Times New Roman"/>
          <w:b/>
          <w:i/>
          <w:noProof/>
          <w:sz w:val="24"/>
        </w:rPr>
        <w:t>Brojne zemlje koriste se međunarodnim ili europskim sustavima za rano upozoravanje, posebno kad je riječ o seizmičkom riziku, praćenju nuklearnih i radioloških rizika te praćenju zdravstvenih prijetnji, ali samo nekoliko njih upućuje na usluge programa Copernicus.</w:t>
      </w:r>
      <w:r>
        <w:rPr>
          <w:rFonts w:ascii="Times New Roman" w:hAnsi="Times New Roman"/>
          <w:noProof/>
          <w:sz w:val="24"/>
        </w:rPr>
        <w:t xml:space="preserve"> Zemlje su navele primjere ciljanih prekograničnih sustava za rano upozoravanje s obavijestima </w:t>
      </w:r>
      <w:r>
        <w:rPr>
          <w:rFonts w:ascii="Times New Roman" w:hAnsi="Times New Roman"/>
          <w:noProof/>
          <w:sz w:val="24"/>
        </w:rPr>
        <w:lastRenderedPageBreak/>
        <w:t xml:space="preserve">o katastrofama. Akteri iz privatnog sektora odgovorni su za praćenje, otkrivanje i predviđanje rizika povezanih sa svojim gospodarskim aktivnostima. </w:t>
      </w:r>
    </w:p>
    <w:p w14:paraId="2DB3E925" w14:textId="194F0737" w:rsidR="00A72AB6" w:rsidRDefault="00C16E5B" w:rsidP="00D07A89">
      <w:pPr>
        <w:spacing w:line="240" w:lineRule="auto"/>
        <w:jc w:val="both"/>
        <w:rPr>
          <w:rFonts w:ascii="Times New Roman" w:hAnsi="Times New Roman" w:cs="Times New Roman"/>
          <w:noProof/>
          <w:sz w:val="24"/>
          <w:szCs w:val="24"/>
        </w:rPr>
      </w:pPr>
      <w:r>
        <w:rPr>
          <w:rFonts w:ascii="Times New Roman" w:hAnsi="Times New Roman"/>
          <w:b/>
          <w:i/>
          <w:noProof/>
          <w:sz w:val="24"/>
        </w:rPr>
        <w:t>Ključno je imati dobro pripremljene i opremljene javne i privatne dionike koji su zaduženi za odgovor na hitne situacije. Međutim, samo je nekoliko zemalja izvijestilo o uspostavi kritične infrastrukture za odgovor na hitne situacije.</w:t>
      </w:r>
      <w:r>
        <w:rPr>
          <w:rFonts w:ascii="Times New Roman" w:hAnsi="Times New Roman"/>
          <w:i/>
          <w:noProof/>
          <w:sz w:val="24"/>
        </w:rPr>
        <w:t xml:space="preserve"> </w:t>
      </w:r>
      <w:r>
        <w:rPr>
          <w:rFonts w:ascii="Times New Roman" w:hAnsi="Times New Roman"/>
          <w:noProof/>
          <w:sz w:val="24"/>
        </w:rPr>
        <w:t xml:space="preserve">Kako bi upravljale rizicima koji se stalno mijenjaju i koje obilježavaju pojačane opasnosti povezane s klimatskim promjenama, kao što su poplave i šumski požari, zemlje moraju poboljšati svoje nacionalne </w:t>
      </w:r>
      <w:r>
        <w:rPr>
          <w:rFonts w:ascii="Times New Roman" w:hAnsi="Times New Roman"/>
          <w:b/>
          <w:noProof/>
          <w:sz w:val="24"/>
        </w:rPr>
        <w:t>kapacitete za odgovor</w:t>
      </w:r>
      <w:r>
        <w:rPr>
          <w:rFonts w:ascii="Times New Roman" w:hAnsi="Times New Roman"/>
          <w:noProof/>
          <w:sz w:val="24"/>
        </w:rPr>
        <w:t>. Otprilike polovina zemalja izvijestila je o sustavima kojima se osigurava primjereno održavanje imovine. Dostavljene su ograničene informacije o posebnim kapacitetima za odgovor na šumske požare, odgovor na poplave, intervencije u području KBRN-a</w:t>
      </w:r>
      <w:r w:rsidR="00206F29">
        <w:rPr>
          <w:rStyle w:val="FootnoteReference"/>
          <w:rFonts w:ascii="Times New Roman" w:hAnsi="Times New Roman" w:cs="Times New Roman"/>
          <w:noProof/>
          <w:sz w:val="24"/>
          <w:szCs w:val="24"/>
        </w:rPr>
        <w:footnoteReference w:id="39"/>
      </w:r>
      <w:r>
        <w:rPr>
          <w:rFonts w:ascii="Times New Roman" w:hAnsi="Times New Roman"/>
          <w:noProof/>
          <w:sz w:val="24"/>
        </w:rPr>
        <w:t xml:space="preserve"> i hitne zdravstvene intervencije. </w:t>
      </w:r>
    </w:p>
    <w:p w14:paraId="2FB40E03" w14:textId="1D44F401" w:rsidR="00D07A89" w:rsidRDefault="00D07A89" w:rsidP="00D07A89">
      <w:pPr>
        <w:spacing w:line="240" w:lineRule="auto"/>
        <w:jc w:val="both"/>
        <w:rPr>
          <w:rFonts w:ascii="Times New Roman" w:hAnsi="Times New Roman" w:cs="Times New Roman"/>
          <w:noProof/>
          <w:sz w:val="24"/>
          <w:szCs w:val="24"/>
        </w:rPr>
      </w:pPr>
      <w:r>
        <w:rPr>
          <w:rFonts w:ascii="Times New Roman" w:hAnsi="Times New Roman"/>
          <w:noProof/>
          <w:sz w:val="24"/>
        </w:rPr>
        <w:t xml:space="preserve">S obzirom na prethodno navedeno, iznose se sljedeće preporuke za </w:t>
      </w:r>
      <w:r>
        <w:rPr>
          <w:rFonts w:ascii="Times New Roman" w:hAnsi="Times New Roman"/>
          <w:b/>
          <w:noProof/>
          <w:sz w:val="24"/>
        </w:rPr>
        <w:t>poboljšanje upravljanja rizicima od katastrofa</w:t>
      </w:r>
      <w:r>
        <w:rPr>
          <w:rFonts w:ascii="Times New Roman" w:hAnsi="Times New Roman"/>
          <w:noProof/>
          <w:sz w:val="24"/>
        </w:rPr>
        <w:t>.</w:t>
      </w:r>
    </w:p>
    <w:tbl>
      <w:tblPr>
        <w:tblStyle w:val="TableGrid"/>
        <w:tblW w:w="0" w:type="auto"/>
        <w:tblLook w:val="04A0" w:firstRow="1" w:lastRow="0" w:firstColumn="1" w:lastColumn="0" w:noHBand="0" w:noVBand="1"/>
      </w:tblPr>
      <w:tblGrid>
        <w:gridCol w:w="9062"/>
      </w:tblGrid>
      <w:tr w:rsidR="00AD029E" w14:paraId="2D1B03D7" w14:textId="77777777" w:rsidTr="00AD029E">
        <w:tc>
          <w:tcPr>
            <w:tcW w:w="0" w:type="auto"/>
          </w:tcPr>
          <w:p w14:paraId="68A619D8" w14:textId="021B539D" w:rsidR="00AD029E" w:rsidRPr="00013EA4" w:rsidRDefault="00AD029E" w:rsidP="00D07A89">
            <w:pPr>
              <w:jc w:val="both"/>
              <w:rPr>
                <w:rFonts w:ascii="Times New Roman" w:hAnsi="Times New Roman" w:cs="Times New Roman"/>
                <w:b/>
                <w:bCs/>
                <w:i/>
                <w:iCs/>
                <w:noProof/>
                <w:sz w:val="24"/>
                <w:szCs w:val="24"/>
              </w:rPr>
            </w:pPr>
            <w:r>
              <w:rPr>
                <w:rFonts w:ascii="Times New Roman" w:hAnsi="Times New Roman"/>
                <w:b/>
                <w:i/>
                <w:noProof/>
                <w:sz w:val="24"/>
              </w:rPr>
              <w:t xml:space="preserve">Komisija bi zajedno s državama članicama i državama sudionicama trebala: </w:t>
            </w:r>
          </w:p>
          <w:p w14:paraId="1F519B33" w14:textId="0CA1C20A" w:rsidR="00AD029E" w:rsidRDefault="00397426" w:rsidP="00013EA4">
            <w:pPr>
              <w:pStyle w:val="ListParagraph"/>
              <w:numPr>
                <w:ilvl w:val="0"/>
                <w:numId w:val="5"/>
              </w:num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noProof/>
                <w:sz w:val="24"/>
              </w:rPr>
              <w:t>dalje razvijati razmjene dobre prakse među zemljama i stručnjacima, među ostalim u okviru mreže znanja, u svrhu poboljšanja alata za planiranje i struktura za donošenje odluka kako bi se poduprlo djelotvorno upravljanje rizicima</w:t>
            </w:r>
            <w:r w:rsidR="007012E0" w:rsidRPr="00B2203D">
              <w:rPr>
                <w:rStyle w:val="FootnoteReference"/>
                <w:rFonts w:ascii="Times New Roman" w:hAnsi="Times New Roman" w:cs="Times New Roman"/>
                <w:noProof/>
                <w:sz w:val="24"/>
                <w:szCs w:val="24"/>
              </w:rPr>
              <w:footnoteReference w:id="40"/>
            </w:r>
            <w:r>
              <w:rPr>
                <w:rFonts w:ascii="Times New Roman" w:hAnsi="Times New Roman"/>
                <w:noProof/>
                <w:sz w:val="24"/>
              </w:rPr>
              <w:t xml:space="preserve">, </w:t>
            </w:r>
          </w:p>
          <w:p w14:paraId="0DEE9A55" w14:textId="3FC0A754" w:rsidR="00D07F2B" w:rsidRDefault="00D07F2B" w:rsidP="00D07F2B">
            <w:pPr>
              <w:pStyle w:val="ListParagraph"/>
              <w:numPr>
                <w:ilvl w:val="0"/>
                <w:numId w:val="5"/>
              </w:numPr>
              <w:shd w:val="clear" w:color="auto" w:fill="FFFFFF" w:themeFill="background1"/>
              <w:spacing w:line="240" w:lineRule="auto"/>
              <w:jc w:val="both"/>
              <w:rPr>
                <w:rFonts w:ascii="Times New Roman" w:hAnsi="Times New Roman" w:cs="Times New Roman"/>
                <w:noProof/>
                <w:sz w:val="24"/>
                <w:szCs w:val="24"/>
              </w:rPr>
            </w:pPr>
            <w:bookmarkStart w:id="19" w:name="_Hlk153458612"/>
            <w:r>
              <w:rPr>
                <w:rFonts w:ascii="Times New Roman" w:hAnsi="Times New Roman"/>
                <w:noProof/>
                <w:sz w:val="24"/>
              </w:rPr>
              <w:t>dodatno poboljšati paneuropske alate i usluge ranog upozoravanja. Prema potrebi, povećati upotrebu alata kao što su „usluge upravljanja kriznim situacijama u okviru programa Copernicus” i usluge neprestanog znanstvenog izvješćivanja o hitnim situacijama koju omogućuje Instrument za znanstveno i tehničko savjetovanje, a koja obuhvaća prirodne te nuklearne i radiološke opasnosti.</w:t>
            </w:r>
          </w:p>
          <w:bookmarkEnd w:id="19"/>
          <w:p w14:paraId="2C16B437" w14:textId="4279D6E1" w:rsidR="00AD029E" w:rsidRPr="00013EA4" w:rsidRDefault="00AD029E" w:rsidP="00D07A89">
            <w:pPr>
              <w:jc w:val="both"/>
              <w:rPr>
                <w:rFonts w:ascii="Times New Roman" w:hAnsi="Times New Roman" w:cs="Times New Roman"/>
                <w:b/>
                <w:bCs/>
                <w:i/>
                <w:iCs/>
                <w:noProof/>
                <w:sz w:val="24"/>
                <w:szCs w:val="24"/>
              </w:rPr>
            </w:pPr>
            <w:r>
              <w:rPr>
                <w:rFonts w:ascii="Times New Roman" w:hAnsi="Times New Roman"/>
                <w:b/>
                <w:i/>
                <w:noProof/>
                <w:sz w:val="24"/>
              </w:rPr>
              <w:t>Države članice i države sudionice pozivaju se na:</w:t>
            </w:r>
          </w:p>
          <w:p w14:paraId="02A25E2D" w14:textId="052B7146" w:rsidR="00F12246" w:rsidRPr="00F12246" w:rsidRDefault="00F12246" w:rsidP="00F12246">
            <w:pPr>
              <w:pStyle w:val="ListParagraph"/>
              <w:numPr>
                <w:ilvl w:val="0"/>
                <w:numId w:val="5"/>
              </w:num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noProof/>
                <w:sz w:val="24"/>
              </w:rPr>
              <w:t>poticanje pristupa koji obuhvaća cijelo društvo u svim fazama postupka upravljanja rizicima od katastrofa, uz uključivanje svih dionika: javnih ustanova, akademskih i istraživačkih tijela, privatnog sektora, civilno društva i zajednica</w:t>
            </w:r>
            <w:r w:rsidR="007012E0">
              <w:rPr>
                <w:rStyle w:val="FootnoteReference"/>
                <w:rFonts w:ascii="Times New Roman" w:hAnsi="Times New Roman" w:cs="Times New Roman"/>
                <w:noProof/>
                <w:sz w:val="24"/>
                <w:szCs w:val="24"/>
              </w:rPr>
              <w:footnoteReference w:id="41"/>
            </w:r>
            <w:r>
              <w:rPr>
                <w:rFonts w:ascii="Times New Roman" w:hAnsi="Times New Roman"/>
                <w:noProof/>
                <w:sz w:val="24"/>
              </w:rPr>
              <w:t>,</w:t>
            </w:r>
          </w:p>
          <w:p w14:paraId="7BAF5AEE" w14:textId="566F85FE" w:rsidR="00A655D6" w:rsidRPr="00987014" w:rsidRDefault="00397426" w:rsidP="00D07A89">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noProof/>
                <w:sz w:val="24"/>
              </w:rPr>
              <w:t>jačanje upravljanja rizicima od katastrofa, uključujući mjere za upravljanje ključnim rizicima s prekograničnim učincima i rizicima povezanima s katastrofama koje uzrokuju ili mogu uzrokovati prekogranične učinke u više zemalja,</w:t>
            </w:r>
          </w:p>
          <w:p w14:paraId="270B1414" w14:textId="0F744502" w:rsidR="00A655D6" w:rsidRPr="00987014" w:rsidRDefault="00013EA4" w:rsidP="00D07A89">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noProof/>
                <w:sz w:val="24"/>
              </w:rPr>
              <w:t xml:space="preserve">dodatno razvijanje sustava za rano upozoravanje na relevantne rizike i, ako je moguće, iskorištavanje prekograničnih sustava koje je razvio EU, kao što su Europski sustav za upozoravanje na opasnost od poplava, Europski informacijski sustav za šumske požare i Europski centar za predviđanje i promatranje sušnih razdoblja programa Copernicus, </w:t>
            </w:r>
          </w:p>
          <w:p w14:paraId="4322E794" w14:textId="42470529" w:rsidR="007B7770" w:rsidRPr="00AD029E" w:rsidRDefault="00AD029E" w:rsidP="00FF494F">
            <w:pPr>
              <w:pStyle w:val="ListParagraph"/>
              <w:numPr>
                <w:ilvl w:val="0"/>
                <w:numId w:val="5"/>
              </w:numPr>
              <w:shd w:val="clear" w:color="auto" w:fill="FFFFFF" w:themeFill="background1"/>
              <w:spacing w:line="259" w:lineRule="auto"/>
              <w:jc w:val="both"/>
              <w:rPr>
                <w:rFonts w:ascii="Times New Roman" w:hAnsi="Times New Roman" w:cs="Times New Roman"/>
                <w:noProof/>
                <w:sz w:val="24"/>
                <w:szCs w:val="24"/>
              </w:rPr>
            </w:pPr>
            <w:r>
              <w:rPr>
                <w:rFonts w:ascii="Times New Roman" w:hAnsi="Times New Roman"/>
                <w:noProof/>
                <w:sz w:val="24"/>
              </w:rPr>
              <w:t xml:space="preserve">promicanje snažnijih mjera na nacionalnoj razini kako bi pri upravljanju rizicima odgovorile na potrebe ranjivih osoba. </w:t>
            </w:r>
          </w:p>
        </w:tc>
      </w:tr>
    </w:tbl>
    <w:p w14:paraId="7974A56B" w14:textId="623AA3C6" w:rsidR="005C3588" w:rsidRDefault="005C3588">
      <w:pPr>
        <w:rPr>
          <w:rFonts w:cs="Times New Roman"/>
          <w:bCs/>
          <w:i/>
          <w:iCs/>
          <w:noProof/>
          <w:szCs w:val="24"/>
        </w:rPr>
      </w:pPr>
    </w:p>
    <w:p w14:paraId="1C8588DE" w14:textId="7395091C" w:rsidR="00A72AB6" w:rsidRPr="009C1E4F" w:rsidRDefault="00D058DE" w:rsidP="00446F4C">
      <w:pPr>
        <w:pStyle w:val="Heading2"/>
        <w:rPr>
          <w:noProof/>
        </w:rPr>
      </w:pPr>
      <w:bookmarkStart w:id="20" w:name="_Toc148458559"/>
      <w:r>
        <w:rPr>
          <w:noProof/>
        </w:rPr>
        <w:lastRenderedPageBreak/>
        <w:t>4.3.</w:t>
      </w:r>
      <w:r>
        <w:rPr>
          <w:noProof/>
        </w:rPr>
        <w:tab/>
        <w:t>Integriranje upravljanja rizicima od katastrofa i ulaganje u takvo upravljanje</w:t>
      </w:r>
      <w:bookmarkEnd w:id="20"/>
    </w:p>
    <w:p w14:paraId="49E062F9" w14:textId="7FA28676" w:rsidR="00A72AB6" w:rsidRPr="006C1516" w:rsidRDefault="00A72AB6" w:rsidP="00446F4C">
      <w:pPr>
        <w:pStyle w:val="Heading2"/>
        <w:rPr>
          <w:rFonts w:eastAsia="Times New Roman"/>
          <w:noProof/>
        </w:rPr>
      </w:pPr>
      <w:bookmarkStart w:id="21" w:name="_Toc148458560"/>
      <w:r>
        <w:rPr>
          <w:noProof/>
        </w:rPr>
        <w:t xml:space="preserve">G. </w:t>
      </w:r>
      <w:r>
        <w:rPr>
          <w:noProof/>
        </w:rPr>
        <w:tab/>
        <w:t>Međusektorsko upravljanje rizicima od katastrofa</w:t>
      </w:r>
      <w:r>
        <w:rPr>
          <w:rStyle w:val="FootnoteReference"/>
          <w:rFonts w:eastAsia="Times New Roman"/>
          <w:noProof/>
        </w:rPr>
        <w:footnoteReference w:id="42"/>
      </w:r>
      <w:bookmarkEnd w:id="21"/>
    </w:p>
    <w:p w14:paraId="4041B862" w14:textId="278A2322" w:rsidR="00A72AB6" w:rsidRPr="003361B5" w:rsidRDefault="002B0445" w:rsidP="008C019D">
      <w:pPr>
        <w:spacing w:line="240" w:lineRule="auto"/>
        <w:jc w:val="both"/>
        <w:rPr>
          <w:rFonts w:ascii="Times New Roman" w:hAnsi="Times New Roman" w:cs="Times New Roman"/>
          <w:noProof/>
          <w:sz w:val="24"/>
          <w:szCs w:val="24"/>
          <w:highlight w:val="yellow"/>
        </w:rPr>
      </w:pPr>
      <w:r>
        <w:rPr>
          <w:rFonts w:ascii="Times New Roman" w:hAnsi="Times New Roman"/>
          <w:b/>
          <w:i/>
          <w:noProof/>
          <w:sz w:val="24"/>
        </w:rPr>
        <w:t>Zemlje su navele dobre primjere načina na koji se upravljanje rizicima od katastrofa provodi u okviru drugih politika osim civilne zaštite i drugih relevantnih vladinih odjela i tijela. Međutim, i dalje su potrebna poboljšanja u međusektorskom upravljanju rizicima kako bi se postigla otpornost cijelog društva.</w:t>
      </w:r>
      <w:r>
        <w:rPr>
          <w:rFonts w:ascii="Times New Roman" w:hAnsi="Times New Roman"/>
          <w:i/>
          <w:noProof/>
          <w:sz w:val="24"/>
        </w:rPr>
        <w:t xml:space="preserve"> </w:t>
      </w:r>
      <w:r>
        <w:rPr>
          <w:rFonts w:ascii="Times New Roman" w:hAnsi="Times New Roman"/>
          <w:noProof/>
          <w:sz w:val="24"/>
        </w:rPr>
        <w:t xml:space="preserve">Nacionalna izvješća pružaju dobre primjere mehanizama horizontalne koordinacije kojima nacionalne upravljačke strukture u cijeli ciklus upravljanja rizicima od katastrofa uključuju tijela iz različitih sektora, konkretno javna tijela, privatni sektor, lokalna tijela, civilno društvo, akademske i istraživačke institucije. S obzirom na određene nedostatke u izvješćivanju o horizontalnoj koordinaciji i međusektorskoj koordinaciji te na vrlo mali broj prijavljenih sveobuhvatnih strategija za upravljanje rizicima, može se učiniti više kako bi se povećala vidljivost alata za upravljanje rizicima od katastrofa, na primjer na način da se osigura da su procjene rizika relevantne za druge sektore. </w:t>
      </w:r>
    </w:p>
    <w:p w14:paraId="344B5DD8" w14:textId="1E5BC638" w:rsidR="00A72AB6" w:rsidRPr="00D12195" w:rsidRDefault="00CF6AD6" w:rsidP="008C019D">
      <w:pPr>
        <w:spacing w:line="240" w:lineRule="auto"/>
        <w:jc w:val="both"/>
        <w:rPr>
          <w:rFonts w:ascii="Times New Roman" w:hAnsi="Times New Roman" w:cs="Times New Roman"/>
          <w:b/>
          <w:bCs/>
          <w:i/>
          <w:iCs/>
          <w:noProof/>
          <w:sz w:val="24"/>
          <w:szCs w:val="24"/>
        </w:rPr>
      </w:pPr>
      <w:r>
        <w:rPr>
          <w:rFonts w:ascii="Times New Roman" w:hAnsi="Times New Roman"/>
          <w:b/>
          <w:i/>
          <w:noProof/>
          <w:sz w:val="24"/>
        </w:rPr>
        <w:t>I druge politike EU-a pridonose otpornosti na katastrofe. U upravljanje rizicima od katastrofa potrebno je redovito uključiti nove instrumente politike razvijene na razini EU-a, uključujući one razvijene u okviru europskog zelenog plana</w:t>
      </w:r>
      <w:r>
        <w:rPr>
          <w:rFonts w:ascii="Times New Roman" w:hAnsi="Times New Roman"/>
          <w:i/>
          <w:noProof/>
          <w:sz w:val="24"/>
        </w:rPr>
        <w:t>.</w:t>
      </w:r>
      <w:r w:rsidR="00A72AB6" w:rsidRPr="00F7722E">
        <w:rPr>
          <w:rStyle w:val="FootnoteReference"/>
          <w:rFonts w:ascii="Times New Roman" w:hAnsi="Times New Roman" w:cs="Times New Roman"/>
          <w:b/>
          <w:bCs/>
          <w:i/>
          <w:iCs/>
          <w:noProof/>
          <w:sz w:val="24"/>
          <w:szCs w:val="24"/>
        </w:rPr>
        <w:footnoteReference w:id="43"/>
      </w:r>
      <w:r>
        <w:rPr>
          <w:rFonts w:ascii="Times New Roman" w:hAnsi="Times New Roman"/>
          <w:noProof/>
          <w:sz w:val="24"/>
        </w:rPr>
        <w:t xml:space="preserve"> Neke zemlje izvijestile su o </w:t>
      </w:r>
      <w:r>
        <w:rPr>
          <w:rFonts w:ascii="Times New Roman" w:hAnsi="Times New Roman"/>
          <w:b/>
          <w:noProof/>
          <w:sz w:val="24"/>
        </w:rPr>
        <w:t>drugim politikama i propisima EU-a</w:t>
      </w:r>
      <w:r>
        <w:rPr>
          <w:rFonts w:ascii="Times New Roman" w:hAnsi="Times New Roman"/>
          <w:noProof/>
          <w:sz w:val="24"/>
        </w:rPr>
        <w:t xml:space="preserve"> kojima se poboljšava otpornost na katastrofe i prekogranična suradnja, kao što su kritična infrastruktura, kibernetička sigurnost, prilagodba klimatskim promjenama, upravljanje rizicima od suše i poplava, industrijske nesreće i suradnja u području nuklearne sigurnosti. Ti primjeri pokazuju da upravljanje rizicima od katastrofa mora biti usklađeno te da je potrebno ostvariti sinergije s drugim politikama, posebno politikama u području klimatskih promjena, zaštite kritične infrastrukture i održivog financiranja. </w:t>
      </w:r>
    </w:p>
    <w:p w14:paraId="4A5C03EE" w14:textId="509306F9" w:rsidR="00A72AB6" w:rsidRPr="00376B87" w:rsidRDefault="00B54D9D" w:rsidP="008C019D">
      <w:pPr>
        <w:spacing w:line="240" w:lineRule="auto"/>
        <w:jc w:val="both"/>
        <w:rPr>
          <w:rFonts w:ascii="Times New Roman" w:hAnsi="Times New Roman" w:cs="Times New Roman"/>
          <w:noProof/>
          <w:sz w:val="24"/>
          <w:szCs w:val="24"/>
        </w:rPr>
      </w:pPr>
      <w:r>
        <w:rPr>
          <w:rFonts w:ascii="Times New Roman" w:hAnsi="Times New Roman"/>
          <w:b/>
          <w:i/>
          <w:noProof/>
          <w:sz w:val="24"/>
        </w:rPr>
        <w:t>Iako rizici od katastrofa nadilaze opasnosti povezane s klimatskim promjenama, a mjere za prilagodbu klimatskim promjenama obuhvaćaju mnoga područja koja nadilaze upravljanje rizicima od katastrofa, sinergije između tih dvaju postupaka su znatne.</w:t>
      </w:r>
      <w:r>
        <w:rPr>
          <w:rFonts w:ascii="Times New Roman" w:hAnsi="Times New Roman"/>
          <w:noProof/>
          <w:sz w:val="24"/>
        </w:rPr>
        <w:t xml:space="preserve"> Dvije trećine zemalja izvijestile su o tome da su planovi prilagodbe dostupni na nacionalnoj razini. Primjeri područja koja su zajednička upravljanju rizicima od katastrofa i mjerama prilagodbe klimatskim promjenama jesu praćenje, prikupljanje i obrada informacija i podataka o rizicima od katastrofa povezanih s klimom. Kako bi se omogućile sinergije i izbjeglo podcjenjivanje rizika od katastrofa, ključno je i da procjene rizika od katastrofa uključuju predviđanja o klimatskim promjenama i scenarije klimatskih promjena.</w:t>
      </w:r>
      <w:r>
        <w:rPr>
          <w:noProof/>
        </w:rPr>
        <w:t xml:space="preserve"> </w:t>
      </w:r>
    </w:p>
    <w:p w14:paraId="470FA0D8" w14:textId="160705CD" w:rsidR="00A72AB6" w:rsidRPr="0086220A" w:rsidRDefault="00A72AB6" w:rsidP="008C019D">
      <w:pPr>
        <w:spacing w:after="0" w:line="240" w:lineRule="auto"/>
        <w:jc w:val="both"/>
        <w:rPr>
          <w:rFonts w:ascii="Times New Roman" w:hAnsi="Times New Roman" w:cs="Times New Roman"/>
          <w:noProof/>
          <w:sz w:val="24"/>
          <w:szCs w:val="24"/>
        </w:rPr>
      </w:pPr>
      <w:r>
        <w:rPr>
          <w:rFonts w:ascii="Times New Roman" w:hAnsi="Times New Roman"/>
          <w:b/>
          <w:i/>
          <w:noProof/>
          <w:sz w:val="24"/>
        </w:rPr>
        <w:t>Poremećaji u kritičnoj infrastrukturi zauzimaju značajno mjesto među glavnim rizicima od katastrofa, posebno poremećaji u području energetskih mreža, vodnih usluga, telekomunikacija, prometnih mreža, financijskih struktura, opskrbe hranom i zdravstvene skrbi</w:t>
      </w:r>
      <w:r>
        <w:rPr>
          <w:rFonts w:ascii="Times New Roman" w:hAnsi="Times New Roman"/>
          <w:noProof/>
          <w:sz w:val="24"/>
        </w:rPr>
        <w:t xml:space="preserve">. Oni imaju velik potencijal za širenje na druge sektore. Određena kritična pomorska infrastruktura, kao što su luke, mogla bi postati osjetljivija zbog učinaka klimatskih promjena, posebno podizanja razine mora. Nešto više od polovine zemalja navodi da su uspostavljene politike za zaštitu kritične infrastrukture. Trećina zemalja izvijestila je o tome da su uspostavljene posebne mjere, kao što su planiranje civilne zaštite, procjene i analize rizika i prijetnji, suradnja nadležnih tijela i operatora, postupovni i tehnički aspekti te mjere specifične za taj rizik. </w:t>
      </w:r>
    </w:p>
    <w:p w14:paraId="3D9A6113" w14:textId="77777777" w:rsidR="00A72AB6" w:rsidRPr="00544F07" w:rsidRDefault="00A72AB6" w:rsidP="008C019D">
      <w:pPr>
        <w:spacing w:after="0" w:line="240" w:lineRule="auto"/>
        <w:jc w:val="both"/>
        <w:rPr>
          <w:rFonts w:ascii="Times New Roman" w:hAnsi="Times New Roman" w:cs="Times New Roman"/>
          <w:b/>
          <w:noProof/>
          <w:sz w:val="24"/>
          <w:szCs w:val="24"/>
          <w:highlight w:val="yellow"/>
        </w:rPr>
      </w:pPr>
    </w:p>
    <w:p w14:paraId="668AF13D" w14:textId="5E0696C1" w:rsidR="00A72AB6" w:rsidRDefault="00A72AB6" w:rsidP="008C019D">
      <w:pPr>
        <w:spacing w:after="0" w:line="240" w:lineRule="auto"/>
        <w:jc w:val="both"/>
        <w:rPr>
          <w:rFonts w:ascii="Times New Roman" w:hAnsi="Times New Roman" w:cs="Times New Roman"/>
          <w:noProof/>
          <w:sz w:val="24"/>
          <w:szCs w:val="24"/>
        </w:rPr>
      </w:pPr>
      <w:r>
        <w:rPr>
          <w:rFonts w:ascii="Times New Roman" w:hAnsi="Times New Roman"/>
          <w:b/>
          <w:i/>
          <w:noProof/>
          <w:sz w:val="24"/>
        </w:rPr>
        <w:lastRenderedPageBreak/>
        <w:t>Politike u području održivog financiranja pružaju mogućnosti za mjere prilagodbe klimatskim promjenama i prevencije rizika.</w:t>
      </w:r>
      <w:r>
        <w:rPr>
          <w:rFonts w:ascii="Times New Roman" w:hAnsi="Times New Roman"/>
          <w:noProof/>
          <w:sz w:val="24"/>
        </w:rPr>
        <w:t xml:space="preserve"> </w:t>
      </w:r>
      <w:r>
        <w:rPr>
          <w:rFonts w:ascii="Times New Roman" w:hAnsi="Times New Roman"/>
          <w:b/>
          <w:noProof/>
          <w:sz w:val="24"/>
        </w:rPr>
        <w:t>Osiguranje</w:t>
      </w:r>
      <w:r>
        <w:rPr>
          <w:rFonts w:ascii="Times New Roman" w:hAnsi="Times New Roman"/>
          <w:noProof/>
          <w:sz w:val="24"/>
        </w:rPr>
        <w:t xml:space="preserve"> od katastrofe koje olakšava oporavak od katastrofe isto tako može imati ulogu u poticanju prevencije i „pametnije ponovne izgradnje”. Nekoliko je zemalja u nacionalnim izvješćima spomenulo osiguranje kao izvor financiranja u području rizika od katastrofa iz privatnog sektora. Istraživanje o osiguranju od katastrofa provedeno među nacionalnim stručnjacima za prevenciju katastrofa pokazalo je da osiguranje pokriva brojne katastrofe uzrokovane prirodnim opasnostima u svim državama članica. Međutim, zbog različitih prepreka, kao što su troškovi osiguranja, ograničavajući uvjeti, gornje granice iznosa naknade i nedostatak dostupnog osiguranja u visokorizičnim područjima, postoje znatni nedostaci u području zaštite od klimatskih promjena</w:t>
      </w:r>
      <w:r w:rsidRPr="00544F07">
        <w:rPr>
          <w:rStyle w:val="FootnoteReference"/>
          <w:rFonts w:ascii="Times New Roman" w:hAnsi="Times New Roman" w:cs="Times New Roman"/>
          <w:noProof/>
          <w:sz w:val="24"/>
          <w:szCs w:val="24"/>
        </w:rPr>
        <w:footnoteReference w:id="44"/>
      </w:r>
      <w:r>
        <w:rPr>
          <w:rFonts w:ascii="Times New Roman" w:hAnsi="Times New Roman"/>
          <w:noProof/>
          <w:sz w:val="24"/>
        </w:rPr>
        <w:t xml:space="preserve">. </w:t>
      </w:r>
    </w:p>
    <w:p w14:paraId="7B559B1B" w14:textId="77777777" w:rsidR="00A72AB6" w:rsidRPr="003361B5" w:rsidRDefault="00A72AB6" w:rsidP="00A72AB6">
      <w:pPr>
        <w:jc w:val="both"/>
        <w:rPr>
          <w:rFonts w:ascii="Times New Roman" w:hAnsi="Times New Roman" w:cs="Times New Roman"/>
          <w:noProof/>
          <w:highlight w:val="yellow"/>
        </w:rPr>
      </w:pPr>
    </w:p>
    <w:p w14:paraId="1E2C54DF" w14:textId="41F87363" w:rsidR="00A72AB6" w:rsidRPr="00D62591" w:rsidRDefault="00A72AB6" w:rsidP="00446F4C">
      <w:pPr>
        <w:pStyle w:val="Heading2"/>
        <w:rPr>
          <w:rFonts w:eastAsia="Times New Roman"/>
          <w:noProof/>
        </w:rPr>
      </w:pPr>
      <w:bookmarkStart w:id="22" w:name="_Toc148458561"/>
      <w:bookmarkStart w:id="23" w:name="_Hlk140070729"/>
      <w:r>
        <w:rPr>
          <w:noProof/>
        </w:rPr>
        <w:t xml:space="preserve">H. </w:t>
      </w:r>
      <w:r>
        <w:rPr>
          <w:noProof/>
        </w:rPr>
        <w:tab/>
        <w:t>Nacionalni mehanizmi javnog i privatnog financiranja</w:t>
      </w:r>
      <w:r>
        <w:rPr>
          <w:rStyle w:val="FootnoteReference"/>
          <w:rFonts w:eastAsia="Times New Roman"/>
          <w:noProof/>
        </w:rPr>
        <w:footnoteReference w:id="45"/>
      </w:r>
      <w:bookmarkEnd w:id="22"/>
      <w:r>
        <w:rPr>
          <w:noProof/>
        </w:rPr>
        <w:t xml:space="preserve"> </w:t>
      </w:r>
      <w:bookmarkEnd w:id="23"/>
    </w:p>
    <w:p w14:paraId="25C09E71" w14:textId="417DBDE9" w:rsidR="00A72AB6" w:rsidRDefault="00A72AB6" w:rsidP="00D07A89">
      <w:pPr>
        <w:spacing w:after="0" w:line="240" w:lineRule="auto"/>
        <w:jc w:val="both"/>
        <w:rPr>
          <w:rFonts w:ascii="Times New Roman" w:hAnsi="Times New Roman" w:cs="Times New Roman"/>
          <w:noProof/>
          <w:sz w:val="24"/>
          <w:szCs w:val="24"/>
        </w:rPr>
      </w:pPr>
      <w:r>
        <w:rPr>
          <w:rFonts w:ascii="Times New Roman" w:hAnsi="Times New Roman"/>
          <w:b/>
          <w:i/>
          <w:noProof/>
          <w:sz w:val="24"/>
        </w:rPr>
        <w:t xml:space="preserve">Za ulaganja u upravljanje rizicima od katastrofa potrebna su odgovarajuća financijska sredstva.  Za odgovor na sve veće učinke povezane s klimom i za oporavak od tih učinaka te za mjere pripravnosti, prevencije i prilagodbe klimatskim promjenama potrebna je stabilnost nacionalnih javnih financija. </w:t>
      </w:r>
      <w:r>
        <w:rPr>
          <w:rFonts w:ascii="Times New Roman" w:hAnsi="Times New Roman"/>
          <w:noProof/>
          <w:sz w:val="24"/>
        </w:rPr>
        <w:t xml:space="preserve">Primjeri nacionalnih mehanizama financiranja u području rizika od katastrofa navedeni su u većem broju izvješća. Oni obuhvaćaju pričuve za nepredviđene izdatke ili posebna sredstva za slučaj katastrofe (o čijoj je dostupnosti izvijestilo nekoliko zemalja) i prijenos financijskog rizika od katastrofa uz pomoć privatnih aktera, posebno u obliku </w:t>
      </w:r>
      <w:r>
        <w:rPr>
          <w:rFonts w:ascii="Times New Roman" w:hAnsi="Times New Roman"/>
          <w:b/>
          <w:noProof/>
          <w:sz w:val="24"/>
        </w:rPr>
        <w:t>osiguranja</w:t>
      </w:r>
      <w:r>
        <w:rPr>
          <w:rFonts w:ascii="Times New Roman" w:hAnsi="Times New Roman"/>
          <w:noProof/>
          <w:sz w:val="24"/>
        </w:rPr>
        <w:t xml:space="preserve"> od katastrofa. Nešto više od polovine zemalja izvijestilo je o </w:t>
      </w:r>
      <w:r>
        <w:rPr>
          <w:rFonts w:ascii="Times New Roman" w:hAnsi="Times New Roman"/>
          <w:b/>
          <w:noProof/>
          <w:sz w:val="24"/>
        </w:rPr>
        <w:t>fleksibilnim proračunskim rezervacijama</w:t>
      </w:r>
      <w:r>
        <w:rPr>
          <w:rFonts w:ascii="Times New Roman" w:hAnsi="Times New Roman"/>
          <w:noProof/>
          <w:sz w:val="24"/>
        </w:rPr>
        <w:t xml:space="preserve"> u obliku proračuna za pričuve i sredstava za nepredviđene izdatke za odgovor na hitne situacije. Mali broj zemalja naveo je namjenska </w:t>
      </w:r>
      <w:r>
        <w:rPr>
          <w:rFonts w:ascii="Times New Roman" w:hAnsi="Times New Roman"/>
          <w:b/>
          <w:noProof/>
          <w:sz w:val="24"/>
        </w:rPr>
        <w:t>sredstva za prevenciju</w:t>
      </w:r>
      <w:r>
        <w:rPr>
          <w:rFonts w:ascii="Times New Roman" w:hAnsi="Times New Roman"/>
          <w:noProof/>
          <w:sz w:val="24"/>
        </w:rPr>
        <w:t xml:space="preserve"> kako bi se ispunila sve veća potreba za ulaganjima u prevenciju radi smanjenja gubitaka jačanjem otpornosti. Zemlje su češće navele da su dostupna sredstva za pripravnost i odgovor na hitne situacije</w:t>
      </w:r>
      <w:r w:rsidRPr="003361B5">
        <w:rPr>
          <w:rStyle w:val="FootnoteReference"/>
          <w:rFonts w:ascii="Times New Roman" w:hAnsi="Times New Roman" w:cs="Times New Roman"/>
          <w:noProof/>
          <w:sz w:val="24"/>
          <w:szCs w:val="24"/>
        </w:rPr>
        <w:footnoteReference w:id="46"/>
      </w:r>
      <w:r>
        <w:rPr>
          <w:rFonts w:ascii="Times New Roman" w:hAnsi="Times New Roman"/>
          <w:noProof/>
          <w:sz w:val="24"/>
        </w:rPr>
        <w:t xml:space="preserve">. </w:t>
      </w:r>
      <w:r>
        <w:rPr>
          <w:rFonts w:ascii="Times New Roman" w:hAnsi="Times New Roman"/>
          <w:i/>
          <w:noProof/>
          <w:sz w:val="24"/>
        </w:rPr>
        <w:t xml:space="preserve"> </w:t>
      </w:r>
    </w:p>
    <w:p w14:paraId="698B2E10" w14:textId="77777777" w:rsidR="00A72AB6" w:rsidRDefault="00A72AB6" w:rsidP="00D07A89">
      <w:pPr>
        <w:spacing w:after="0" w:line="240" w:lineRule="auto"/>
        <w:rPr>
          <w:rFonts w:ascii="Times New Roman" w:hAnsi="Times New Roman" w:cs="Times New Roman"/>
          <w:noProof/>
          <w:sz w:val="24"/>
          <w:szCs w:val="24"/>
        </w:rPr>
      </w:pPr>
    </w:p>
    <w:p w14:paraId="1B7313ED" w14:textId="4C631A63" w:rsidR="00A72AB6" w:rsidRPr="00CD0CEB" w:rsidRDefault="00A72AB6" w:rsidP="00D07A89">
      <w:pPr>
        <w:spacing w:line="240" w:lineRule="auto"/>
        <w:jc w:val="both"/>
        <w:rPr>
          <w:rFonts w:ascii="Times New Roman" w:hAnsi="Times New Roman" w:cs="Times New Roman"/>
          <w:noProof/>
          <w:sz w:val="24"/>
          <w:szCs w:val="24"/>
        </w:rPr>
      </w:pPr>
      <w:r>
        <w:rPr>
          <w:rFonts w:ascii="Times New Roman" w:hAnsi="Times New Roman"/>
          <w:b/>
          <w:i/>
          <w:noProof/>
          <w:sz w:val="24"/>
        </w:rPr>
        <w:t>Iako su financijska sredstva EU-a dostupna za upravljanje rizicima od katastrofa, među ostalim za prevenciju, zemlje u ograničenoj mjeri izvješćuju o njihovoj upotrebi.</w:t>
      </w:r>
      <w:r>
        <w:rPr>
          <w:rFonts w:ascii="Times New Roman" w:hAnsi="Times New Roman"/>
          <w:noProof/>
          <w:sz w:val="24"/>
        </w:rPr>
        <w:t xml:space="preserve"> Iako su dvije trećine zemalja navele određene fondove EU-a, izvješćivanje u tom pogledu nije usklađeno ni sveobuhvatno. Na primjer, samo je otprilike četvrtina navela upotrebu strukturnih fondova i fondova kohezijske politike (2014. – 2020.), iako su se otprilike dvije trećine država članica EU-a koristile tim fondovima za troškove upravljanja rizicima od katastrofa</w:t>
      </w:r>
      <w:r w:rsidR="00612C6C">
        <w:rPr>
          <w:rStyle w:val="FootnoteReference"/>
          <w:rFonts w:ascii="Times New Roman" w:hAnsi="Times New Roman" w:cs="Times New Roman"/>
          <w:noProof/>
          <w:sz w:val="24"/>
          <w:szCs w:val="24"/>
        </w:rPr>
        <w:footnoteReference w:id="47"/>
      </w:r>
      <w:r>
        <w:rPr>
          <w:rFonts w:ascii="Times New Roman" w:hAnsi="Times New Roman"/>
          <w:noProof/>
          <w:sz w:val="24"/>
        </w:rPr>
        <w:t>.</w:t>
      </w:r>
    </w:p>
    <w:p w14:paraId="42466C49" w14:textId="25F1EABA" w:rsidR="00881897" w:rsidRPr="00D12195" w:rsidRDefault="00ED7C68" w:rsidP="00881897">
      <w:pPr>
        <w:spacing w:line="240" w:lineRule="auto"/>
        <w:jc w:val="both"/>
        <w:rPr>
          <w:rFonts w:ascii="Times New Roman" w:hAnsi="Times New Roman" w:cs="Times New Roman"/>
          <w:noProof/>
          <w:sz w:val="24"/>
          <w:szCs w:val="24"/>
        </w:rPr>
      </w:pPr>
      <w:r>
        <w:rPr>
          <w:rFonts w:ascii="Times New Roman" w:hAnsi="Times New Roman"/>
          <w:b/>
          <w:i/>
          <w:noProof/>
          <w:sz w:val="24"/>
        </w:rPr>
        <w:t>Odobravanje troškova upravljanja rizicima od katastrofa u okviru fondova kohezijske politike u programskom razdoblju 2021. – 2027. za svaku zemlju ovisi o podnošenju izvješća u skladu s člankom 6.</w:t>
      </w:r>
      <w:r>
        <w:rPr>
          <w:rFonts w:ascii="Times New Roman" w:hAnsi="Times New Roman"/>
          <w:i/>
          <w:noProof/>
          <w:sz w:val="24"/>
        </w:rPr>
        <w:t xml:space="preserve"> (</w:t>
      </w:r>
      <w:r>
        <w:rPr>
          <w:rFonts w:ascii="Times New Roman" w:hAnsi="Times New Roman"/>
          <w:b/>
          <w:i/>
          <w:noProof/>
          <w:sz w:val="24"/>
        </w:rPr>
        <w:t>uvjeti koji omogućuju provedbu</w:t>
      </w:r>
      <w:r w:rsidR="00A72AB6" w:rsidRPr="00DA51C8">
        <w:rPr>
          <w:rStyle w:val="FootnoteReference"/>
          <w:rFonts w:ascii="Times New Roman" w:hAnsi="Times New Roman" w:cs="Times New Roman"/>
          <w:b/>
          <w:i/>
          <w:iCs/>
          <w:noProof/>
          <w:sz w:val="24"/>
          <w:szCs w:val="24"/>
        </w:rPr>
        <w:footnoteReference w:id="48"/>
      </w:r>
      <w:r>
        <w:rPr>
          <w:rFonts w:ascii="Times New Roman" w:hAnsi="Times New Roman"/>
          <w:b/>
          <w:i/>
          <w:noProof/>
          <w:sz w:val="24"/>
        </w:rPr>
        <w:t xml:space="preserve">). </w:t>
      </w:r>
      <w:r>
        <w:rPr>
          <w:rFonts w:ascii="Times New Roman" w:hAnsi="Times New Roman"/>
          <w:noProof/>
          <w:sz w:val="24"/>
        </w:rPr>
        <w:t>Zaprimljena sažeta izvješća o upravljanju rizicima od katastrofa uključuju ključne rizike relevantne za određenu zemlju,</w:t>
      </w:r>
      <w:r>
        <w:rPr>
          <w:rFonts w:ascii="Times New Roman" w:hAnsi="Times New Roman"/>
          <w:b/>
          <w:i/>
          <w:noProof/>
          <w:sz w:val="24"/>
        </w:rPr>
        <w:t xml:space="preserve"> </w:t>
      </w:r>
      <w:r>
        <w:rPr>
          <w:rFonts w:ascii="Times New Roman" w:hAnsi="Times New Roman"/>
          <w:noProof/>
          <w:sz w:val="24"/>
        </w:rPr>
        <w:t xml:space="preserve">međutim, dostavljene su vrlo ograničene informacije o izvorima financiranja, određivanju prioriteta i vremenskom okviru za provedbu takvih mjera. Komisija se stoga za procjenu </w:t>
      </w:r>
      <w:r>
        <w:rPr>
          <w:rFonts w:ascii="Times New Roman" w:hAnsi="Times New Roman"/>
          <w:noProof/>
          <w:sz w:val="24"/>
        </w:rPr>
        <w:lastRenderedPageBreak/>
        <w:t>usklađenosti država članica EU-a s tim uvjetima za pristup sredstvima kohezijske politike EU-a oslonila na dodatne i komplementarne izvore informacija koje su dostavile države članice, na primjer na strategije prilagodbe i druge nacionalne alate i strategije za planiranje.</w:t>
      </w:r>
    </w:p>
    <w:p w14:paraId="62CB5BBA" w14:textId="57023A19" w:rsidR="00D07A89" w:rsidRPr="009907F8" w:rsidRDefault="00D07A89" w:rsidP="00D07A89">
      <w:pPr>
        <w:spacing w:line="240" w:lineRule="auto"/>
        <w:jc w:val="both"/>
        <w:rPr>
          <w:rFonts w:ascii="Times New Roman" w:hAnsi="Times New Roman" w:cs="Times New Roman"/>
          <w:noProof/>
          <w:sz w:val="24"/>
          <w:szCs w:val="24"/>
        </w:rPr>
      </w:pPr>
      <w:r>
        <w:rPr>
          <w:rFonts w:ascii="Times New Roman" w:hAnsi="Times New Roman"/>
          <w:noProof/>
          <w:sz w:val="24"/>
        </w:rPr>
        <w:t xml:space="preserve">S obzirom na prethodno navedeno, iznose se sljedeće preporuke za </w:t>
      </w:r>
      <w:r>
        <w:rPr>
          <w:rFonts w:ascii="Times New Roman" w:hAnsi="Times New Roman"/>
          <w:b/>
          <w:noProof/>
          <w:sz w:val="24"/>
        </w:rPr>
        <w:t>integriranje upravljanja rizicima od katastrofa i ulaganje u takvo upravljanje</w:t>
      </w:r>
      <w:r>
        <w:rPr>
          <w:rFonts w:ascii="Times New Roman" w:hAnsi="Times New Roman"/>
          <w:noProof/>
          <w:sz w:val="24"/>
        </w:rPr>
        <w:t>.</w:t>
      </w:r>
    </w:p>
    <w:tbl>
      <w:tblPr>
        <w:tblStyle w:val="TableGrid"/>
        <w:tblW w:w="0" w:type="auto"/>
        <w:tblLook w:val="04A0" w:firstRow="1" w:lastRow="0" w:firstColumn="1" w:lastColumn="0" w:noHBand="0" w:noVBand="1"/>
      </w:tblPr>
      <w:tblGrid>
        <w:gridCol w:w="9062"/>
      </w:tblGrid>
      <w:tr w:rsidR="00AD029E" w14:paraId="6DFD76F2" w14:textId="77777777" w:rsidTr="00AD029E">
        <w:tc>
          <w:tcPr>
            <w:tcW w:w="0" w:type="auto"/>
          </w:tcPr>
          <w:p w14:paraId="579AACB9" w14:textId="461B98F9" w:rsidR="00AD029E" w:rsidRPr="00987014" w:rsidRDefault="00AD029E" w:rsidP="008C019D">
            <w:pPr>
              <w:rPr>
                <w:rFonts w:ascii="Times New Roman" w:hAnsi="Times New Roman" w:cs="Times New Roman"/>
                <w:b/>
                <w:bCs/>
                <w:i/>
                <w:iCs/>
                <w:noProof/>
                <w:sz w:val="24"/>
                <w:szCs w:val="24"/>
              </w:rPr>
            </w:pPr>
            <w:r>
              <w:rPr>
                <w:rFonts w:ascii="Times New Roman" w:hAnsi="Times New Roman"/>
                <w:b/>
                <w:i/>
                <w:noProof/>
                <w:sz w:val="24"/>
              </w:rPr>
              <w:t xml:space="preserve">Komisija će: </w:t>
            </w:r>
          </w:p>
          <w:p w14:paraId="010C9353" w14:textId="2D5D5758" w:rsidR="00AD029E" w:rsidRPr="00987014" w:rsidRDefault="00AD029E" w:rsidP="008C019D">
            <w:pPr>
              <w:pStyle w:val="ListParagraph"/>
              <w:numPr>
                <w:ilvl w:val="0"/>
                <w:numId w:val="3"/>
              </w:numPr>
              <w:spacing w:line="240" w:lineRule="auto"/>
              <w:jc w:val="both"/>
              <w:rPr>
                <w:rFonts w:ascii="Times New Roman" w:hAnsi="Times New Roman" w:cs="Times New Roman"/>
                <w:noProof/>
                <w:sz w:val="24"/>
                <w:szCs w:val="24"/>
              </w:rPr>
            </w:pPr>
            <w:r>
              <w:rPr>
                <w:rFonts w:ascii="Times New Roman" w:hAnsi="Times New Roman"/>
                <w:noProof/>
                <w:sz w:val="24"/>
              </w:rPr>
              <w:t>poticati države članice i države sudionice da sustavnije upotrebljavaju sredstva EU-a koja su im dostupna za ulaganja u prevenciju, pripravnost i prilagodbu klimatskim promjenama,</w:t>
            </w:r>
          </w:p>
          <w:p w14:paraId="6D2F216C" w14:textId="0156B55B" w:rsidR="00951BE7" w:rsidRPr="00F47F34" w:rsidRDefault="00951BE7" w:rsidP="00F47F34">
            <w:pPr>
              <w:pStyle w:val="ListParagraph"/>
              <w:numPr>
                <w:ilvl w:val="0"/>
                <w:numId w:val="3"/>
              </w:numPr>
              <w:spacing w:line="240" w:lineRule="auto"/>
              <w:jc w:val="both"/>
              <w:rPr>
                <w:rFonts w:ascii="Times New Roman" w:hAnsi="Times New Roman" w:cs="Times New Roman"/>
                <w:noProof/>
                <w:sz w:val="24"/>
                <w:szCs w:val="24"/>
              </w:rPr>
            </w:pPr>
            <w:bookmarkStart w:id="24" w:name="_Hlk157008745"/>
            <w:r>
              <w:rPr>
                <w:rFonts w:ascii="Times New Roman" w:hAnsi="Times New Roman"/>
                <w:noProof/>
                <w:sz w:val="24"/>
              </w:rPr>
              <w:t>razmotriti mogućnosti za snažniji međusektorski pristup radi poticanja prevencije rizika od katastrofa u ključnim politikama</w:t>
            </w:r>
            <w:bookmarkEnd w:id="24"/>
            <w:r>
              <w:rPr>
                <w:rFonts w:ascii="Times New Roman" w:hAnsi="Times New Roman"/>
                <w:noProof/>
                <w:sz w:val="24"/>
              </w:rPr>
              <w:t xml:space="preserve"> i fondovima. </w:t>
            </w:r>
          </w:p>
          <w:p w14:paraId="773668FA" w14:textId="36A90C00" w:rsidR="00AD029E" w:rsidRPr="00987014" w:rsidRDefault="00AD029E" w:rsidP="008C019D">
            <w:pPr>
              <w:rPr>
                <w:rFonts w:ascii="Times New Roman" w:hAnsi="Times New Roman" w:cs="Times New Roman"/>
                <w:b/>
                <w:bCs/>
                <w:i/>
                <w:iCs/>
                <w:noProof/>
                <w:sz w:val="24"/>
                <w:szCs w:val="24"/>
              </w:rPr>
            </w:pPr>
            <w:r>
              <w:rPr>
                <w:rFonts w:ascii="Times New Roman" w:hAnsi="Times New Roman"/>
                <w:b/>
                <w:i/>
                <w:noProof/>
                <w:sz w:val="24"/>
              </w:rPr>
              <w:t>Države članice i države sudionice pozivaju se na:</w:t>
            </w:r>
          </w:p>
          <w:p w14:paraId="48CEB866" w14:textId="0E3E3EFC" w:rsidR="00AD029E" w:rsidRDefault="004C6E55" w:rsidP="008C019D">
            <w:pPr>
              <w:pStyle w:val="ListParagraph"/>
              <w:numPr>
                <w:ilvl w:val="0"/>
                <w:numId w:val="3"/>
              </w:numPr>
              <w:spacing w:line="240" w:lineRule="auto"/>
              <w:jc w:val="both"/>
              <w:rPr>
                <w:rFonts w:ascii="Times New Roman" w:hAnsi="Times New Roman" w:cs="Times New Roman"/>
                <w:noProof/>
                <w:sz w:val="24"/>
                <w:szCs w:val="24"/>
              </w:rPr>
            </w:pPr>
            <w:r>
              <w:rPr>
                <w:rFonts w:ascii="Times New Roman" w:hAnsi="Times New Roman"/>
                <w:noProof/>
                <w:sz w:val="24"/>
              </w:rPr>
              <w:t xml:space="preserve">uzimanje u obzir potrebe za međusektorskim strategijama za upravljanje rizicima od katastrofa kako bi se dodatno razvile mogućnosti financiranja u području rizika od katastrofa na nacionalnoj razini, među ostalim za njihovu prevenciju, </w:t>
            </w:r>
          </w:p>
          <w:p w14:paraId="56F0C68A" w14:textId="5E640457" w:rsidR="00DB768C" w:rsidRPr="009907F8" w:rsidRDefault="00DB768C" w:rsidP="008C019D">
            <w:pPr>
              <w:pStyle w:val="ListParagraph"/>
              <w:numPr>
                <w:ilvl w:val="0"/>
                <w:numId w:val="3"/>
              </w:numPr>
              <w:spacing w:line="240" w:lineRule="auto"/>
              <w:jc w:val="both"/>
              <w:rPr>
                <w:rFonts w:ascii="Times New Roman" w:hAnsi="Times New Roman" w:cs="Times New Roman"/>
                <w:noProof/>
                <w:sz w:val="24"/>
                <w:szCs w:val="24"/>
              </w:rPr>
            </w:pPr>
            <w:r>
              <w:rPr>
                <w:rFonts w:ascii="Times New Roman" w:hAnsi="Times New Roman"/>
                <w:noProof/>
                <w:sz w:val="24"/>
              </w:rPr>
              <w:t xml:space="preserve">razmatranje povećanja sredstava za upravljanje rizicima od katastrofa i prilagodbu klimatskim promjenama u trenutačnim programskim razdobljima. </w:t>
            </w:r>
          </w:p>
        </w:tc>
      </w:tr>
    </w:tbl>
    <w:p w14:paraId="3226F41B" w14:textId="1514895D" w:rsidR="00A72AB6" w:rsidRDefault="00A72AB6">
      <w:pPr>
        <w:rPr>
          <w:rFonts w:ascii="Times New Roman" w:hAnsi="Times New Roman" w:cs="Times New Roman"/>
          <w:noProof/>
          <w:sz w:val="24"/>
          <w:szCs w:val="24"/>
        </w:rPr>
      </w:pPr>
    </w:p>
    <w:p w14:paraId="3448AD15" w14:textId="29BAC90E" w:rsidR="00B74F00" w:rsidRPr="00E2729E" w:rsidRDefault="00B74F00" w:rsidP="00B74F00">
      <w:pPr>
        <w:pStyle w:val="Heading1"/>
        <w:rPr>
          <w:rFonts w:cs="Times New Roman"/>
          <w:noProof/>
          <w:szCs w:val="24"/>
        </w:rPr>
      </w:pPr>
      <w:r>
        <w:rPr>
          <w:noProof/>
        </w:rPr>
        <w:t>NAPREDAK U POGLEDU PRAVNOG OKVIRA EU-a ZA OTPORNOST NA KATASTROFE</w:t>
      </w:r>
    </w:p>
    <w:p w14:paraId="41F1671B" w14:textId="4E484735" w:rsidR="009B038B" w:rsidRDefault="009424A0" w:rsidP="00D81478">
      <w:pPr>
        <w:spacing w:line="240" w:lineRule="auto"/>
        <w:jc w:val="both"/>
        <w:rPr>
          <w:rFonts w:ascii="Times New Roman" w:hAnsi="Times New Roman" w:cs="Times New Roman"/>
          <w:noProof/>
          <w:sz w:val="24"/>
          <w:szCs w:val="24"/>
        </w:rPr>
      </w:pPr>
      <w:r>
        <w:rPr>
          <w:rStyle w:val="cf01"/>
          <w:rFonts w:ascii="Times New Roman" w:hAnsi="Times New Roman"/>
          <w:noProof/>
          <w:sz w:val="24"/>
        </w:rPr>
        <w:t>Veliki broj sektorskog zakonodavstva i politika EU-a pridonosi jačanju otpornosti na katastrofe.</w:t>
      </w:r>
      <w:r>
        <w:rPr>
          <w:rStyle w:val="cf01"/>
          <w:noProof/>
        </w:rPr>
        <w:t xml:space="preserve"> </w:t>
      </w:r>
      <w:r>
        <w:rPr>
          <w:rFonts w:ascii="Times New Roman" w:hAnsi="Times New Roman"/>
          <w:noProof/>
          <w:sz w:val="24"/>
        </w:rPr>
        <w:t>Pravni okvir i okvir politika za upravljanje rizikom od katastrofa nadilazi civilnu zaštitu. To je već navedeno u Prilogu Smjernicama za izvješćivanje o upravljanju rizicima od katastrofa iz 2019., u kojima se upućuje na politike EU-a koje obuhvaćaju različite aspekte upravljanja rizicima od katastrofa. EU od prosinca 2019. dodatno razvija svoj okvir politike i pravni okvir povezan s europskim zelenim planom, mjerama poduzetima za suzbijanje pandemije bolesti COVID-19 i</w:t>
      </w:r>
      <w:bookmarkStart w:id="25" w:name="_Hlk150511519"/>
      <w:r>
        <w:rPr>
          <w:rFonts w:ascii="Times New Roman" w:hAnsi="Times New Roman"/>
          <w:noProof/>
          <w:sz w:val="24"/>
        </w:rPr>
        <w:t xml:space="preserve"> ruskom agresijom na Ukrajinu</w:t>
      </w:r>
      <w:bookmarkEnd w:id="25"/>
      <w:r>
        <w:rPr>
          <w:rFonts w:ascii="Times New Roman" w:hAnsi="Times New Roman"/>
          <w:noProof/>
          <w:sz w:val="24"/>
        </w:rPr>
        <w:t xml:space="preserve">. Primjeri novijih nastojanja koje je potrebno dodatno razmotriti pri jačanju prevencije i pripravnosti u državama članicama i, prema potrebi, državama sudionicama među ostalim su sljedeći: </w:t>
      </w:r>
    </w:p>
    <w:p w14:paraId="03B73877" w14:textId="211B24D1" w:rsidR="00830F11" w:rsidRPr="00987014" w:rsidRDefault="009B038B" w:rsidP="00D81478">
      <w:pPr>
        <w:pStyle w:val="ListParagraph"/>
        <w:numPr>
          <w:ilvl w:val="0"/>
          <w:numId w:val="3"/>
        </w:numPr>
        <w:spacing w:line="240" w:lineRule="auto"/>
        <w:ind w:left="714" w:hanging="357"/>
        <w:jc w:val="both"/>
        <w:rPr>
          <w:rFonts w:ascii="Times New Roman" w:hAnsi="Times New Roman" w:cs="Times New Roman"/>
          <w:noProof/>
          <w:sz w:val="24"/>
          <w:szCs w:val="24"/>
        </w:rPr>
      </w:pPr>
      <w:bookmarkStart w:id="26" w:name="_Hlk157502421"/>
      <w:r>
        <w:rPr>
          <w:rFonts w:ascii="Times New Roman" w:hAnsi="Times New Roman"/>
          <w:b/>
          <w:noProof/>
          <w:sz w:val="24"/>
        </w:rPr>
        <w:t>Europski zakon o klimi</w:t>
      </w:r>
      <w:r w:rsidR="00830F11" w:rsidRPr="009424A0">
        <w:rPr>
          <w:rStyle w:val="FootnoteReference"/>
          <w:rFonts w:ascii="Times New Roman" w:hAnsi="Times New Roman" w:cs="Times New Roman"/>
          <w:b/>
          <w:bCs/>
          <w:noProof/>
          <w:sz w:val="24"/>
          <w:szCs w:val="24"/>
        </w:rPr>
        <w:footnoteReference w:id="49"/>
      </w:r>
      <w:r>
        <w:rPr>
          <w:rFonts w:ascii="Times New Roman" w:hAnsi="Times New Roman"/>
          <w:noProof/>
          <w:sz w:val="24"/>
        </w:rPr>
        <w:t xml:space="preserve"> koji obuhvaća ciljeve prilagodbe klimatskim promjenama. Procjena klimatskih rizika u EU-u (EUCRA)</w:t>
      </w:r>
      <w:r w:rsidR="00830F11" w:rsidRPr="00987014">
        <w:rPr>
          <w:rStyle w:val="FootnoteReference"/>
          <w:rFonts w:ascii="Times New Roman" w:hAnsi="Times New Roman" w:cs="Times New Roman"/>
          <w:noProof/>
          <w:sz w:val="24"/>
          <w:szCs w:val="24"/>
        </w:rPr>
        <w:footnoteReference w:id="50"/>
      </w:r>
      <w:r>
        <w:rPr>
          <w:rFonts w:ascii="Times New Roman" w:hAnsi="Times New Roman"/>
          <w:noProof/>
          <w:sz w:val="24"/>
        </w:rPr>
        <w:t xml:space="preserve">, (predstojeće) izvješće Europske agencije za okoliš, trebalo bi poslužiti kao temelj za buduće procjene klimatskih rizika i rizika od katastrofa. Informacije o ključnim opasnostima i učincima povezanima s klimom koje su zemlje navele u sažetim izvješćima o upravljanju rizicima od katastrofa pridonijele su </w:t>
      </w:r>
      <w:bookmarkStart w:id="28" w:name="_Hlk157767416"/>
      <w:r>
        <w:rPr>
          <w:rFonts w:ascii="Times New Roman" w:hAnsi="Times New Roman"/>
          <w:noProof/>
          <w:sz w:val="24"/>
        </w:rPr>
        <w:t>procjeni klimatskih rizika u EU-u</w:t>
      </w:r>
      <w:bookmarkEnd w:id="28"/>
      <w:r>
        <w:rPr>
          <w:rFonts w:ascii="Times New Roman" w:hAnsi="Times New Roman"/>
          <w:noProof/>
          <w:sz w:val="24"/>
        </w:rPr>
        <w:t>.</w:t>
      </w:r>
    </w:p>
    <w:bookmarkEnd w:id="26"/>
    <w:p w14:paraId="6CA6164A" w14:textId="4708DA36" w:rsidR="009B038B" w:rsidRPr="00206F29" w:rsidRDefault="004C6E55" w:rsidP="00D81478">
      <w:pPr>
        <w:pStyle w:val="ListParagraph"/>
        <w:numPr>
          <w:ilvl w:val="0"/>
          <w:numId w:val="9"/>
        </w:numPr>
        <w:spacing w:line="240" w:lineRule="auto"/>
        <w:ind w:left="714" w:hanging="357"/>
        <w:jc w:val="both"/>
        <w:rPr>
          <w:rFonts w:ascii="Times New Roman" w:hAnsi="Times New Roman" w:cs="Times New Roman"/>
          <w:strike/>
          <w:noProof/>
          <w:sz w:val="24"/>
          <w:szCs w:val="24"/>
        </w:rPr>
      </w:pPr>
      <w:r>
        <w:rPr>
          <w:rFonts w:ascii="Times New Roman" w:hAnsi="Times New Roman"/>
          <w:b/>
          <w:noProof/>
          <w:sz w:val="24"/>
        </w:rPr>
        <w:t>Direktiva o</w:t>
      </w:r>
      <w:r>
        <w:rPr>
          <w:rFonts w:ascii="Times New Roman" w:hAnsi="Times New Roman"/>
          <w:noProof/>
          <w:sz w:val="24"/>
        </w:rPr>
        <w:t xml:space="preserve"> </w:t>
      </w:r>
      <w:r>
        <w:rPr>
          <w:rFonts w:ascii="Times New Roman" w:hAnsi="Times New Roman"/>
          <w:b/>
          <w:noProof/>
          <w:sz w:val="24"/>
        </w:rPr>
        <w:t>otpornosti kritičnih subjekata</w:t>
      </w:r>
      <w:r w:rsidRPr="009424A0">
        <w:rPr>
          <w:rStyle w:val="FootnoteReference"/>
          <w:rFonts w:ascii="Times New Roman" w:hAnsi="Times New Roman" w:cs="Times New Roman"/>
          <w:noProof/>
          <w:sz w:val="24"/>
          <w:szCs w:val="24"/>
        </w:rPr>
        <w:footnoteReference w:id="51"/>
      </w:r>
      <w:r>
        <w:rPr>
          <w:rFonts w:ascii="Times New Roman" w:hAnsi="Times New Roman"/>
          <w:noProof/>
          <w:sz w:val="24"/>
        </w:rPr>
        <w:t xml:space="preserve"> obuhvaća pripravnost, odgovor i međunarodnu suradnju u nizu različitih sektora za koje je utvrđeno da su ranjivi u skladu s procjenom rizika iz članka 6. Obuhvaća i javne uprave kao što su one zadužene za civilnu zaštitu. Države članice EU-a trebaju provesti procjene rizika uzimajući u obzir </w:t>
      </w:r>
      <w:r>
        <w:rPr>
          <w:rFonts w:ascii="Times New Roman" w:hAnsi="Times New Roman"/>
          <w:noProof/>
          <w:sz w:val="24"/>
        </w:rPr>
        <w:lastRenderedPageBreak/>
        <w:t>procjene rizika u okviru Mehanizma Unije za civilnu zaštitu. Operatori kritičnih subjekata isto tako trebaju izraditi procjenu rizika i provesti mjere prevencije i zaštite. Direktivom</w:t>
      </w:r>
      <w:r w:rsidR="008503BE" w:rsidRPr="00013D36">
        <w:rPr>
          <w:rStyle w:val="FootnoteReference"/>
          <w:rFonts w:ascii="Times New Roman" w:hAnsi="Times New Roman" w:cs="Times New Roman"/>
          <w:noProof/>
          <w:color w:val="000000"/>
          <w:sz w:val="24"/>
          <w:szCs w:val="24"/>
          <w:lang w:val="en-IE"/>
        </w:rPr>
        <w:footnoteReference w:id="52"/>
      </w:r>
      <w:r>
        <w:rPr>
          <w:rFonts w:ascii="Times New Roman" w:hAnsi="Times New Roman"/>
          <w:noProof/>
          <w:color w:val="000000"/>
          <w:sz w:val="24"/>
        </w:rPr>
        <w:t xml:space="preserve"> o mjerama za </w:t>
      </w:r>
      <w:r>
        <w:rPr>
          <w:rFonts w:ascii="Times New Roman" w:hAnsi="Times New Roman"/>
          <w:b/>
          <w:noProof/>
          <w:sz w:val="24"/>
        </w:rPr>
        <w:t>visoku zajedničku razinu kibersigurnosti</w:t>
      </w:r>
      <w:r>
        <w:rPr>
          <w:rFonts w:ascii="Times New Roman" w:hAnsi="Times New Roman"/>
          <w:noProof/>
          <w:sz w:val="24"/>
        </w:rPr>
        <w:t xml:space="preserve"> uspostavlja se </w:t>
      </w:r>
      <w:r>
        <w:rPr>
          <w:rFonts w:ascii="Times New Roman" w:hAnsi="Times New Roman"/>
          <w:b/>
          <w:noProof/>
          <w:sz w:val="24"/>
        </w:rPr>
        <w:t>mehanizam za upravljanje kiberkrizama</w:t>
      </w:r>
      <w:r>
        <w:rPr>
          <w:rFonts w:ascii="Times New Roman" w:hAnsi="Times New Roman"/>
          <w:noProof/>
          <w:sz w:val="24"/>
        </w:rPr>
        <w:t xml:space="preserve"> koji je u potpunosti u skladu s horizontalnim i sektorskim mehanizmima, uključujući Mehanizam Unije za civilnu zaštitu.</w:t>
      </w:r>
      <w:r>
        <w:rPr>
          <w:rFonts w:ascii="Times New Roman" w:hAnsi="Times New Roman"/>
          <w:noProof/>
          <w:color w:val="000000"/>
          <w:sz w:val="24"/>
        </w:rPr>
        <w:t xml:space="preserve"> Direktivom se zahtijeva provedba koordiniranih procjena sigurnosnih rizika kritičnih lanaca opskrbe.</w:t>
      </w:r>
      <w:r>
        <w:rPr>
          <w:rFonts w:ascii="Times New Roman" w:hAnsi="Times New Roman"/>
          <w:strike/>
          <w:noProof/>
          <w:color w:val="000000"/>
          <w:sz w:val="24"/>
        </w:rPr>
        <w:t xml:space="preserve"> </w:t>
      </w:r>
    </w:p>
    <w:p w14:paraId="76603751" w14:textId="56589DCA" w:rsidR="00935730" w:rsidRDefault="00CF2D3A" w:rsidP="00EB4B6C">
      <w:pPr>
        <w:pStyle w:val="ListParagraph"/>
        <w:numPr>
          <w:ilvl w:val="0"/>
          <w:numId w:val="9"/>
        </w:numPr>
        <w:spacing w:line="240" w:lineRule="auto"/>
        <w:jc w:val="both"/>
        <w:rPr>
          <w:rFonts w:ascii="Times New Roman" w:hAnsi="Times New Roman" w:cs="Times New Roman"/>
          <w:noProof/>
          <w:sz w:val="24"/>
          <w:szCs w:val="24"/>
        </w:rPr>
      </w:pPr>
      <w:r>
        <w:rPr>
          <w:rFonts w:ascii="Times New Roman" w:hAnsi="Times New Roman"/>
          <w:noProof/>
          <w:sz w:val="24"/>
        </w:rPr>
        <w:t xml:space="preserve">Provedba </w:t>
      </w:r>
      <w:r>
        <w:rPr>
          <w:rFonts w:ascii="Times New Roman" w:hAnsi="Times New Roman"/>
          <w:b/>
          <w:noProof/>
          <w:sz w:val="24"/>
        </w:rPr>
        <w:t>Direktive o poplavama</w:t>
      </w:r>
      <w:r>
        <w:rPr>
          <w:rFonts w:ascii="Times New Roman" w:hAnsi="Times New Roman"/>
          <w:noProof/>
          <w:sz w:val="24"/>
        </w:rPr>
        <w:t xml:space="preserve"> i </w:t>
      </w:r>
      <w:r>
        <w:rPr>
          <w:rFonts w:ascii="Times New Roman" w:hAnsi="Times New Roman"/>
          <w:b/>
          <w:noProof/>
          <w:sz w:val="24"/>
        </w:rPr>
        <w:t>Okvirne direktive o vodama</w:t>
      </w:r>
      <w:r>
        <w:rPr>
          <w:rFonts w:ascii="Times New Roman" w:hAnsi="Times New Roman"/>
          <w:noProof/>
          <w:sz w:val="24"/>
        </w:rPr>
        <w:t xml:space="preserve"> važna je za upravljanje rizicima od katastrofa</w:t>
      </w:r>
      <w:r>
        <w:rPr>
          <w:rStyle w:val="FootnoteReference"/>
          <w:rFonts w:ascii="Times New Roman" w:hAnsi="Times New Roman" w:cs="Times New Roman"/>
          <w:noProof/>
          <w:sz w:val="24"/>
          <w:szCs w:val="24"/>
        </w:rPr>
        <w:footnoteReference w:id="53"/>
      </w:r>
      <w:r>
        <w:rPr>
          <w:rFonts w:ascii="Times New Roman" w:hAnsi="Times New Roman"/>
          <w:noProof/>
          <w:sz w:val="24"/>
        </w:rPr>
        <w:t xml:space="preserve">. Neki propisi EU-a o vodama izmijenjeni su ili uvedeni kako bi se obuhvatili aspekti otpornosti na katastrofe, posebno </w:t>
      </w:r>
      <w:r>
        <w:rPr>
          <w:rFonts w:ascii="Times New Roman" w:hAnsi="Times New Roman"/>
          <w:b/>
          <w:noProof/>
          <w:sz w:val="24"/>
        </w:rPr>
        <w:t>rizici u lancu opskrbe vodom za piće i pristup sigurnoj vodi za piće</w:t>
      </w:r>
      <w:r w:rsidR="00E94BA1">
        <w:rPr>
          <w:rStyle w:val="FootnoteReference"/>
          <w:rFonts w:ascii="Times New Roman" w:hAnsi="Times New Roman" w:cs="Times New Roman"/>
          <w:noProof/>
          <w:sz w:val="24"/>
          <w:szCs w:val="24"/>
        </w:rPr>
        <w:footnoteReference w:id="54"/>
      </w:r>
      <w:r>
        <w:rPr>
          <w:rFonts w:ascii="Times New Roman" w:hAnsi="Times New Roman"/>
          <w:noProof/>
          <w:sz w:val="24"/>
        </w:rPr>
        <w:t xml:space="preserve"> te </w:t>
      </w:r>
      <w:r>
        <w:rPr>
          <w:rFonts w:ascii="Times New Roman" w:hAnsi="Times New Roman"/>
          <w:b/>
          <w:noProof/>
          <w:sz w:val="24"/>
        </w:rPr>
        <w:t>ponovna upotreba otpadnih voda</w:t>
      </w:r>
      <w:r>
        <w:rPr>
          <w:rFonts w:ascii="Times New Roman" w:hAnsi="Times New Roman"/>
          <w:noProof/>
          <w:sz w:val="24"/>
        </w:rPr>
        <w:t xml:space="preserve"> kako bi se u poljoprivrednom sektoru riješio problem sve veće nestašice vode i sve većeg broja suša</w:t>
      </w:r>
      <w:r w:rsidR="00E94BA1">
        <w:rPr>
          <w:rStyle w:val="FootnoteReference"/>
          <w:rFonts w:ascii="Times New Roman" w:hAnsi="Times New Roman" w:cs="Times New Roman"/>
          <w:noProof/>
          <w:sz w:val="24"/>
          <w:szCs w:val="24"/>
        </w:rPr>
        <w:footnoteReference w:id="55"/>
      </w:r>
      <w:r>
        <w:rPr>
          <w:rFonts w:ascii="Times New Roman" w:hAnsi="Times New Roman"/>
          <w:noProof/>
          <w:sz w:val="24"/>
        </w:rPr>
        <w:t xml:space="preserve">.  </w:t>
      </w:r>
    </w:p>
    <w:p w14:paraId="229871C5" w14:textId="75A1AB9C" w:rsidR="0086220A" w:rsidRPr="00CF683B" w:rsidRDefault="00F04604" w:rsidP="00EB4B6C">
      <w:pPr>
        <w:pStyle w:val="ListParagraph"/>
        <w:numPr>
          <w:ilvl w:val="0"/>
          <w:numId w:val="9"/>
        </w:numPr>
        <w:spacing w:line="240" w:lineRule="auto"/>
        <w:jc w:val="both"/>
        <w:rPr>
          <w:rFonts w:ascii="Times New Roman" w:hAnsi="Times New Roman" w:cs="Times New Roman"/>
          <w:noProof/>
          <w:sz w:val="24"/>
          <w:szCs w:val="24"/>
        </w:rPr>
      </w:pPr>
      <w:r>
        <w:rPr>
          <w:rFonts w:ascii="Times New Roman" w:hAnsi="Times New Roman"/>
          <w:b/>
          <w:noProof/>
          <w:sz w:val="24"/>
        </w:rPr>
        <w:t>Strategija EU-a za šume do 2030.</w:t>
      </w:r>
      <w:r w:rsidR="00CF683B">
        <w:rPr>
          <w:rStyle w:val="FootnoteReference"/>
          <w:rFonts w:ascii="Times New Roman" w:hAnsi="Times New Roman" w:cs="Times New Roman"/>
          <w:noProof/>
          <w:sz w:val="24"/>
          <w:szCs w:val="24"/>
        </w:rPr>
        <w:footnoteReference w:id="56"/>
      </w:r>
      <w:r>
        <w:rPr>
          <w:rFonts w:ascii="Times New Roman" w:hAnsi="Times New Roman"/>
          <w:noProof/>
          <w:sz w:val="24"/>
        </w:rPr>
        <w:t xml:space="preserve"> poziva na otpornije šume kojima se pravilno upravlja u zonama rizika od požara. U njoj se poziva na upravljanje i planiranje krajolika, obnovu ekosustava, upravljanje gorivom kroz ispašu i kontrolirane požare te na to da se osigura da integrirano upravljanje rizikom od šumskih požara uključuje stručno znanje i resurse dostupne u svim relevantnim područjima politike.</w:t>
      </w:r>
    </w:p>
    <w:p w14:paraId="2D15D1D8" w14:textId="266B1DBA" w:rsidR="00EB4B6C" w:rsidRPr="00A342AB" w:rsidRDefault="00EB4B6C" w:rsidP="00EB4B6C">
      <w:pPr>
        <w:pStyle w:val="ListParagraph"/>
        <w:numPr>
          <w:ilvl w:val="0"/>
          <w:numId w:val="9"/>
        </w:numPr>
        <w:spacing w:line="240" w:lineRule="auto"/>
        <w:jc w:val="both"/>
        <w:rPr>
          <w:rFonts w:ascii="Times New Roman" w:hAnsi="Times New Roman" w:cs="Times New Roman"/>
          <w:noProof/>
          <w:sz w:val="24"/>
          <w:szCs w:val="24"/>
        </w:rPr>
      </w:pPr>
      <w:r>
        <w:rPr>
          <w:rFonts w:ascii="Times New Roman" w:hAnsi="Times New Roman"/>
          <w:noProof/>
          <w:sz w:val="24"/>
        </w:rPr>
        <w:t xml:space="preserve">Uspostavom europske zdravstvene unije i osnivanjem </w:t>
      </w:r>
      <w:r>
        <w:rPr>
          <w:rFonts w:ascii="Times New Roman" w:hAnsi="Times New Roman"/>
          <w:b/>
          <w:noProof/>
          <w:sz w:val="24"/>
        </w:rPr>
        <w:t>Tijela za pripravnost i odgovor na zdravstvene krize (HERA)</w:t>
      </w:r>
      <w:r>
        <w:rPr>
          <w:rFonts w:ascii="Times New Roman" w:hAnsi="Times New Roman"/>
          <w:noProof/>
          <w:sz w:val="24"/>
        </w:rPr>
        <w:t xml:space="preserve"> povećala se razina pripravnosti za buduće pandemije i druge prijetnje zdravlju koje je potrebno suzbijati na razini Unije. </w:t>
      </w:r>
    </w:p>
    <w:p w14:paraId="20B9149A" w14:textId="1224DCA5" w:rsidR="009B038B" w:rsidRPr="00987014" w:rsidRDefault="007B5FE7" w:rsidP="00D81478">
      <w:pPr>
        <w:pStyle w:val="ListParagraph"/>
        <w:numPr>
          <w:ilvl w:val="0"/>
          <w:numId w:val="9"/>
        </w:numPr>
        <w:spacing w:line="240" w:lineRule="auto"/>
        <w:ind w:left="714" w:hanging="357"/>
        <w:jc w:val="both"/>
        <w:rPr>
          <w:rFonts w:ascii="Times New Roman" w:hAnsi="Times New Roman" w:cs="Times New Roman"/>
          <w:noProof/>
          <w:sz w:val="24"/>
          <w:szCs w:val="24"/>
        </w:rPr>
      </w:pPr>
      <w:r>
        <w:rPr>
          <w:rFonts w:ascii="Times New Roman" w:hAnsi="Times New Roman"/>
          <w:b/>
          <w:noProof/>
          <w:sz w:val="24"/>
        </w:rPr>
        <w:t xml:space="preserve">Europskim zakonikom elektroničkih komunikacija </w:t>
      </w:r>
      <w:r>
        <w:rPr>
          <w:rFonts w:ascii="Times New Roman" w:hAnsi="Times New Roman"/>
          <w:noProof/>
          <w:sz w:val="24"/>
        </w:rPr>
        <w:t>zahtijevalo se da države članice do 2022. uspostave sustave upozoravanja javnosti kako bi stanovništvo moglo primati upozorenja putem mobilnih telefona</w:t>
      </w:r>
      <w:r w:rsidR="009907F8" w:rsidRPr="009424A0">
        <w:rPr>
          <w:rStyle w:val="FootnoteReference"/>
          <w:rFonts w:ascii="Times New Roman" w:hAnsi="Times New Roman" w:cs="Times New Roman"/>
          <w:noProof/>
          <w:sz w:val="24"/>
          <w:szCs w:val="24"/>
        </w:rPr>
        <w:footnoteReference w:id="57"/>
      </w:r>
      <w:r>
        <w:rPr>
          <w:rFonts w:ascii="Times New Roman" w:hAnsi="Times New Roman"/>
          <w:noProof/>
          <w:sz w:val="24"/>
        </w:rPr>
        <w:t xml:space="preserve">. </w:t>
      </w:r>
    </w:p>
    <w:p w14:paraId="59A5C717" w14:textId="39A81884" w:rsidR="002B29DA" w:rsidRPr="009424A0" w:rsidRDefault="00DA51C8" w:rsidP="00D81478">
      <w:pPr>
        <w:pStyle w:val="ListParagraph"/>
        <w:numPr>
          <w:ilvl w:val="0"/>
          <w:numId w:val="9"/>
        </w:numPr>
        <w:spacing w:line="240" w:lineRule="auto"/>
        <w:ind w:left="714" w:hanging="357"/>
        <w:jc w:val="both"/>
        <w:rPr>
          <w:rFonts w:ascii="Times New Roman" w:hAnsi="Times New Roman" w:cs="Times New Roman"/>
          <w:noProof/>
          <w:sz w:val="24"/>
          <w:szCs w:val="24"/>
        </w:rPr>
      </w:pPr>
      <w:r>
        <w:rPr>
          <w:rFonts w:ascii="Times New Roman" w:hAnsi="Times New Roman"/>
          <w:b/>
          <w:noProof/>
          <w:sz w:val="24"/>
        </w:rPr>
        <w:t>Taksonomija za održiva ulaganja</w:t>
      </w:r>
      <w:r w:rsidRPr="009424A0">
        <w:rPr>
          <w:rStyle w:val="FootnoteReference"/>
          <w:rFonts w:ascii="Times New Roman" w:hAnsi="Times New Roman" w:cs="Times New Roman"/>
          <w:noProof/>
          <w:sz w:val="24"/>
          <w:szCs w:val="24"/>
        </w:rPr>
        <w:footnoteReference w:id="58"/>
      </w:r>
      <w:r>
        <w:rPr>
          <w:rFonts w:ascii="Times New Roman" w:hAnsi="Times New Roman"/>
          <w:noProof/>
          <w:sz w:val="24"/>
        </w:rPr>
        <w:t xml:space="preserve"> može pomoći u privlačenju privatnih financijskih sredstava za informiranje o rizicima od katastrofa i mjere prilagodbe za niz različitih gospodarskih djelatnosti. </w:t>
      </w:r>
      <w:r>
        <w:rPr>
          <w:rFonts w:ascii="Times New Roman" w:hAnsi="Times New Roman"/>
          <w:b/>
          <w:noProof/>
          <w:sz w:val="24"/>
        </w:rPr>
        <w:t>Strategija EU-a za održivo financiranje</w:t>
      </w:r>
      <w:r w:rsidRPr="009424A0">
        <w:rPr>
          <w:rStyle w:val="FootnoteReference"/>
          <w:rFonts w:ascii="Times New Roman" w:hAnsi="Times New Roman" w:cs="Times New Roman"/>
          <w:noProof/>
          <w:sz w:val="24"/>
          <w:szCs w:val="24"/>
        </w:rPr>
        <w:footnoteReference w:id="59"/>
      </w:r>
      <w:r>
        <w:rPr>
          <w:rFonts w:ascii="Times New Roman" w:hAnsi="Times New Roman"/>
          <w:noProof/>
          <w:sz w:val="24"/>
        </w:rPr>
        <w:t xml:space="preserve"> pozvala je na podizanje razine znanja financijskih dionika o klimatskim rizicima kako bi se poboljšalo razumijevanje visokorizičnih ulaganja u kontekstu rizika povezanih s klimom. Takvom znanju mogu pridonijeti aktivnosti informiranja o rizicima od katastrofa.</w:t>
      </w:r>
    </w:p>
    <w:p w14:paraId="4D40716E" w14:textId="26129749" w:rsidR="00695FBB" w:rsidRPr="00695FBB" w:rsidRDefault="009907F8" w:rsidP="00D81478">
      <w:pPr>
        <w:pStyle w:val="ListParagraph"/>
        <w:numPr>
          <w:ilvl w:val="0"/>
          <w:numId w:val="9"/>
        </w:numPr>
        <w:spacing w:line="240" w:lineRule="auto"/>
        <w:ind w:left="714" w:hanging="357"/>
        <w:jc w:val="both"/>
        <w:rPr>
          <w:rFonts w:ascii="Times New Roman" w:hAnsi="Times New Roman" w:cs="Times New Roman"/>
          <w:noProof/>
          <w:sz w:val="24"/>
          <w:szCs w:val="24"/>
        </w:rPr>
      </w:pPr>
      <w:r>
        <w:rPr>
          <w:rFonts w:ascii="Times New Roman" w:hAnsi="Times New Roman"/>
          <w:b/>
          <w:noProof/>
          <w:sz w:val="24"/>
        </w:rPr>
        <w:t>Financijska sredstva EU-a</w:t>
      </w:r>
      <w:r>
        <w:rPr>
          <w:rFonts w:ascii="Times New Roman" w:hAnsi="Times New Roman"/>
          <w:noProof/>
          <w:sz w:val="24"/>
        </w:rPr>
        <w:t xml:space="preserve"> dostupna su za upravljanje rizicima od katastrofa u okviru nekoliko instrumenata EU-a, kao što su fondovi kohezijske politike, Europski poljoprivredni fond za ruralni razvoj, Mehanizam za oporavak i otpornost. Od 2021. do 2027. ukupni iznos potpore EU-a namijenjen upravljanju rizicima od katastrofa i prilagodbi klimatskim promjenama u okviru ta tri instrumenta iznosi gotovo 26 milijardi EUR. I program Obzor Europa za istraživanje i inovacije podupire upravljanje rizicima od katastrofa. Osim toga, Fond solidarnosti EU-a u određenoj mjeri pokriva štetu od katastrofa. S obzirom na sve veću gospodarsku štetu zbog katastrofa u Europi, trebalo bi razmotriti daljnje jačanje Fonda. </w:t>
      </w:r>
    </w:p>
    <w:p w14:paraId="3F347EAA" w14:textId="6091CA8C" w:rsidR="004B7093" w:rsidRPr="00811CC3" w:rsidRDefault="004B7093" w:rsidP="00811CC3">
      <w:pPr>
        <w:pStyle w:val="ListParagraph"/>
        <w:numPr>
          <w:ilvl w:val="0"/>
          <w:numId w:val="9"/>
        </w:numPr>
        <w:spacing w:line="240" w:lineRule="auto"/>
        <w:ind w:left="714" w:hanging="357"/>
        <w:jc w:val="both"/>
        <w:rPr>
          <w:rFonts w:ascii="Times New Roman" w:hAnsi="Times New Roman" w:cs="Times New Roman"/>
          <w:noProof/>
          <w:sz w:val="24"/>
          <w:szCs w:val="24"/>
        </w:rPr>
      </w:pPr>
      <w:bookmarkStart w:id="30" w:name="_Hlk156063869"/>
      <w:r>
        <w:rPr>
          <w:rFonts w:ascii="Times New Roman" w:hAnsi="Times New Roman"/>
          <w:b/>
          <w:noProof/>
          <w:sz w:val="24"/>
        </w:rPr>
        <w:t>Prilagođeno tehničko stručno znanje</w:t>
      </w:r>
      <w:r>
        <w:rPr>
          <w:rFonts w:ascii="Times New Roman" w:hAnsi="Times New Roman"/>
          <w:noProof/>
          <w:sz w:val="24"/>
        </w:rPr>
        <w:t xml:space="preserve"> dostupno je državama članicama u okviru Instrumenta za tehničku potporu Europske komisije (TSI) i može im pomoći u </w:t>
      </w:r>
      <w:r>
        <w:rPr>
          <w:rFonts w:ascii="Times New Roman" w:hAnsi="Times New Roman"/>
          <w:noProof/>
          <w:sz w:val="24"/>
        </w:rPr>
        <w:lastRenderedPageBreak/>
        <w:t>osmišljavanju i provedbi reformi, među ostalim u području upravljanja rizicima od katastrofa</w:t>
      </w:r>
      <w:r w:rsidR="0040234F">
        <w:rPr>
          <w:rStyle w:val="FootnoteReference"/>
          <w:rFonts w:ascii="Times New Roman" w:hAnsi="Times New Roman" w:cs="Times New Roman"/>
          <w:noProof/>
          <w:sz w:val="24"/>
          <w:szCs w:val="24"/>
        </w:rPr>
        <w:footnoteReference w:id="60"/>
      </w:r>
      <w:r>
        <w:rPr>
          <w:rFonts w:ascii="Times New Roman" w:hAnsi="Times New Roman"/>
          <w:noProof/>
          <w:sz w:val="24"/>
        </w:rPr>
        <w:t xml:space="preserve">. </w:t>
      </w:r>
      <w:bookmarkStart w:id="31" w:name="_Hlk157068046"/>
      <w:bookmarkEnd w:id="30"/>
      <w:r>
        <w:rPr>
          <w:rFonts w:ascii="Times New Roman" w:hAnsi="Times New Roman"/>
          <w:noProof/>
          <w:sz w:val="24"/>
        </w:rPr>
        <w:t>U okviru Mehanizma Unije za civilnu zaštitu podupiru se i tehnička pomoć i projekti na nacionalnoj razini te prekogranični projekti usmjereni na jačanje upravljanja rizicima od katastrofa</w:t>
      </w:r>
      <w:r w:rsidR="0040234F">
        <w:rPr>
          <w:rStyle w:val="FootnoteReference"/>
          <w:rFonts w:ascii="Times New Roman" w:hAnsi="Times New Roman" w:cs="Times New Roman"/>
          <w:noProof/>
          <w:sz w:val="24"/>
          <w:szCs w:val="24"/>
        </w:rPr>
        <w:footnoteReference w:id="61"/>
      </w:r>
      <w:r>
        <w:rPr>
          <w:rFonts w:ascii="Times New Roman" w:hAnsi="Times New Roman"/>
          <w:noProof/>
          <w:sz w:val="24"/>
        </w:rPr>
        <w:t xml:space="preserve">. </w:t>
      </w:r>
      <w:bookmarkEnd w:id="31"/>
    </w:p>
    <w:p w14:paraId="180483C8" w14:textId="09DA7D80" w:rsidR="001126BF" w:rsidRPr="00A43551" w:rsidRDefault="007B25CC" w:rsidP="00A43551">
      <w:pPr>
        <w:pStyle w:val="ListParagraph"/>
        <w:numPr>
          <w:ilvl w:val="0"/>
          <w:numId w:val="9"/>
        </w:numPr>
        <w:spacing w:line="240" w:lineRule="auto"/>
        <w:ind w:left="714" w:hanging="357"/>
        <w:jc w:val="both"/>
        <w:rPr>
          <w:rFonts w:ascii="Times New Roman" w:hAnsi="Times New Roman" w:cs="Times New Roman"/>
          <w:noProof/>
          <w:sz w:val="24"/>
          <w:szCs w:val="24"/>
        </w:rPr>
      </w:pPr>
      <w:bookmarkStart w:id="32" w:name="_Hlk157507771"/>
      <w:r>
        <w:rPr>
          <w:rFonts w:ascii="Times New Roman" w:hAnsi="Times New Roman"/>
          <w:noProof/>
          <w:sz w:val="24"/>
        </w:rPr>
        <w:t xml:space="preserve">U kontekstu reforme gospodarskog upravljanja Komisija je aktivno surađivala s dionicima (ministarstva financija država članica, neovisne fiskalne institucije, nevladine organizacije i osiguravatelji) na tome kako </w:t>
      </w:r>
      <w:r>
        <w:rPr>
          <w:rFonts w:ascii="Times New Roman" w:hAnsi="Times New Roman"/>
          <w:b/>
          <w:noProof/>
          <w:sz w:val="24"/>
        </w:rPr>
        <w:t>iskazati fiskalni trošak klimatskih promjena u nacionalnim proračunskim okvirima</w:t>
      </w:r>
      <w:r>
        <w:rPr>
          <w:rFonts w:ascii="Times New Roman" w:hAnsi="Times New Roman"/>
          <w:noProof/>
          <w:sz w:val="24"/>
        </w:rPr>
        <w:t>. Na temelju pregleda glavnih koncepata financiranja u području rizika od katastrofa, dokaza koje su dostavile države članice i najvažnijih elemenata strategije financiranja u području rizika od katastrofa radi ograničavanja fiskalnih troškova katastrofa povezanih s klimatskim promjenama nastoji se informirati države članice i potaknuti ih da međusobno razmjenjuju primjere dobre prakse.</w:t>
      </w:r>
      <w:r w:rsidR="001126BF">
        <w:rPr>
          <w:rStyle w:val="FootnoteReference"/>
          <w:rFonts w:ascii="Times New Roman" w:hAnsi="Times New Roman" w:cs="Times New Roman"/>
          <w:noProof/>
          <w:sz w:val="24"/>
          <w:szCs w:val="24"/>
        </w:rPr>
        <w:footnoteReference w:id="62"/>
      </w:r>
    </w:p>
    <w:bookmarkEnd w:id="32"/>
    <w:p w14:paraId="7B3F5713" w14:textId="56C0EB1E" w:rsidR="0030182A" w:rsidRDefault="00B37B7A" w:rsidP="00D81478">
      <w:pPr>
        <w:spacing w:line="240" w:lineRule="auto"/>
        <w:jc w:val="both"/>
        <w:rPr>
          <w:rFonts w:ascii="Times New Roman" w:hAnsi="Times New Roman" w:cs="Times New Roman"/>
          <w:noProof/>
          <w:sz w:val="24"/>
          <w:szCs w:val="24"/>
        </w:rPr>
      </w:pPr>
      <w:r>
        <w:rPr>
          <w:rFonts w:ascii="Times New Roman" w:hAnsi="Times New Roman"/>
          <w:noProof/>
          <w:sz w:val="24"/>
        </w:rPr>
        <w:t>Učinkovito i usklađeno međusektorsko upravljanje rizicima mora uzeti u obzir navedena i buduća politička kretanja u području upravljanja rizicima koje se stalno mijenja. Iz preispitivanja Okvira iz Sendaija na sredini razdoblja</w:t>
      </w:r>
      <w:r w:rsidR="001126BF">
        <w:rPr>
          <w:rStyle w:val="FootnoteReference"/>
          <w:rFonts w:ascii="Times New Roman" w:hAnsi="Times New Roman" w:cs="Times New Roman"/>
          <w:noProof/>
          <w:sz w:val="24"/>
          <w:szCs w:val="24"/>
        </w:rPr>
        <w:footnoteReference w:id="63"/>
      </w:r>
      <w:r>
        <w:rPr>
          <w:rFonts w:ascii="Times New Roman" w:hAnsi="Times New Roman"/>
          <w:noProof/>
          <w:sz w:val="24"/>
        </w:rPr>
        <w:t xml:space="preserve"> proizlazi da mnoge politike pridonose smanjenju rizika od katastrofa, među ostalim upravljanje rizicima od poplava i suša u vodnoj politici, politika kibernetičke sigurnosti, politike šumarstva i bioraznolikosti, zdravstvene politike, istraživanja i alati za upravljanje rizicima od katastrofa kao što je promatranje Zemlje. </w:t>
      </w:r>
    </w:p>
    <w:p w14:paraId="1B6F81C8" w14:textId="10C1FE44" w:rsidR="00A72AB6" w:rsidRDefault="00A72AB6" w:rsidP="00A72AB6">
      <w:pPr>
        <w:pStyle w:val="Heading1"/>
        <w:rPr>
          <w:noProof/>
        </w:rPr>
      </w:pPr>
      <w:bookmarkStart w:id="33" w:name="_Toc148025651"/>
      <w:bookmarkStart w:id="34" w:name="_Toc148025722"/>
      <w:bookmarkEnd w:id="33"/>
      <w:bookmarkEnd w:id="34"/>
      <w:r>
        <w:rPr>
          <w:noProof/>
        </w:rPr>
        <w:t>DALJNJI KORACI ZA EUROPU OTPORNU NA KATASTROFE</w:t>
      </w:r>
    </w:p>
    <w:p w14:paraId="79A91688" w14:textId="42E07910" w:rsidR="0014273B" w:rsidRPr="00987014" w:rsidRDefault="0014273B" w:rsidP="0014273B">
      <w:pPr>
        <w:spacing w:line="240" w:lineRule="auto"/>
        <w:jc w:val="both"/>
        <w:rPr>
          <w:rStyle w:val="cf01"/>
          <w:rFonts w:ascii="Times New Roman" w:hAnsi="Times New Roman" w:cs="Times New Roman"/>
          <w:noProof/>
          <w:sz w:val="24"/>
          <w:szCs w:val="24"/>
        </w:rPr>
      </w:pPr>
      <w:r>
        <w:rPr>
          <w:rStyle w:val="cf01"/>
          <w:rFonts w:ascii="Times New Roman" w:hAnsi="Times New Roman"/>
          <w:noProof/>
          <w:sz w:val="24"/>
        </w:rPr>
        <w:t xml:space="preserve">Upravljanje rizicima od katastrofa korisno je za društvo u cjelini i ima važnu ulogu u izgradnji otpornih društava. Bez obzira na brzinu odgovora, brojni životi koje su posljednjih godina odnijele katastrofe prouzročene ekstremnim vremenskim uvjetima podsjećaju nas na to da će prevencija dugoročno biti najbolje rješenje. Prevencija i priprema za sljedeću katastrofu neophodni su ako želimo zaštititi naše društvo, prirodu i kulturnu baštinu. Civilna zaštita ne smije funkcionirati izolirano; sektori moraju surađivati u cijelom ciklusu upravljanja rizicima od katastrofa. </w:t>
      </w:r>
    </w:p>
    <w:p w14:paraId="474BAE9F" w14:textId="34F1441A" w:rsidR="007C01E9" w:rsidRDefault="00BE029F" w:rsidP="008C019D">
      <w:pPr>
        <w:spacing w:line="240" w:lineRule="auto"/>
        <w:jc w:val="both"/>
        <w:rPr>
          <w:rStyle w:val="cf01"/>
          <w:rFonts w:ascii="Times New Roman" w:hAnsi="Times New Roman" w:cs="Times New Roman"/>
          <w:noProof/>
          <w:sz w:val="24"/>
          <w:szCs w:val="24"/>
        </w:rPr>
      </w:pPr>
      <w:r>
        <w:rPr>
          <w:rStyle w:val="cf01"/>
          <w:rFonts w:ascii="Times New Roman" w:hAnsi="Times New Roman"/>
          <w:noProof/>
          <w:sz w:val="24"/>
        </w:rPr>
        <w:t xml:space="preserve">Mehanizam Unije za civilnu zaštitu uspostavljen je kako bi se stvorio okvir EU-a za pomoć u odgovoru na katastrofe kad su nacionalni kapaciteti preopterećeni. Zahvaljujući revizijama Mehanizma Unije za civilnu zaštitu taj je okvir tijekom godina proširen pa više ne obuhvaća samo odgovor na katastrofe, nego i širi spektar pripravnosti za katastrofe i prevencije katastrofa. Člankom 6. uspostavlja se okvir za upravljanje rizicima. Ovo izvješće pokazuje da, iako je postignut znatan napredak, i dalje ima prostora za intenzivnije djelovanje na različitim razinama. </w:t>
      </w:r>
    </w:p>
    <w:p w14:paraId="06A1A8BF" w14:textId="0C3145B3" w:rsidR="00D55C6D" w:rsidRDefault="00A72AB6" w:rsidP="008C019D">
      <w:pPr>
        <w:spacing w:line="240" w:lineRule="auto"/>
        <w:jc w:val="both"/>
        <w:rPr>
          <w:rFonts w:ascii="Times New Roman" w:hAnsi="Times New Roman" w:cs="Times New Roman"/>
          <w:noProof/>
          <w:sz w:val="24"/>
          <w:szCs w:val="24"/>
        </w:rPr>
      </w:pPr>
      <w:r>
        <w:rPr>
          <w:rFonts w:ascii="Times New Roman" w:hAnsi="Times New Roman"/>
          <w:b/>
          <w:noProof/>
          <w:sz w:val="24"/>
        </w:rPr>
        <w:t>Ciljevi Unije u pogledu otpornosti na katastrofe</w:t>
      </w:r>
      <w:r>
        <w:rPr>
          <w:rFonts w:ascii="Times New Roman" w:hAnsi="Times New Roman"/>
          <w:noProof/>
          <w:sz w:val="24"/>
        </w:rPr>
        <w:t xml:space="preserve"> doneseni u veljači 2023. naglašavaju važnost mjera za prevenciju katastrofa i upravljanje rizicima na razini EU-a i na nacionalnoj razini, a ujedno služe kao osnova za ambiciozan zajednički program za budućnost. U skladu s mjerama iz Komunikacije o ciljevima Unije u pogledu otpornosti na katastrofe u ovom je izvješću utvrđen </w:t>
      </w:r>
      <w:r>
        <w:rPr>
          <w:rFonts w:ascii="Times New Roman" w:hAnsi="Times New Roman"/>
          <w:b/>
          <w:noProof/>
          <w:sz w:val="24"/>
        </w:rPr>
        <w:t>niz komplementarnih mjera i preporuka</w:t>
      </w:r>
      <w:r>
        <w:rPr>
          <w:rFonts w:ascii="Times New Roman" w:hAnsi="Times New Roman"/>
          <w:noProof/>
          <w:sz w:val="24"/>
        </w:rPr>
        <w:t xml:space="preserve"> potrebnih za postizanje tih ciljeva u zemljama obuhvaćenima Mehanizmom Unije za civilnu zaštitu. Ciljevi Unije u pogledu </w:t>
      </w:r>
      <w:r>
        <w:rPr>
          <w:rFonts w:ascii="Times New Roman" w:hAnsi="Times New Roman"/>
          <w:noProof/>
          <w:sz w:val="24"/>
        </w:rPr>
        <w:lastRenderedPageBreak/>
        <w:t xml:space="preserve">otpornosti na katastrofe konkretan su doprinos zajednice za civilnu zaštitu izgradnji naše opće otpornosti na katastrofe u Europi. Države članice i države sudionice pozivaju se da se angažiraju i rade na ostvarenju tih ciljeva, među ostalim u kontekstu različitih aktivnosti iz članka 6. </w:t>
      </w:r>
    </w:p>
    <w:p w14:paraId="2F99BA61" w14:textId="1DADC8B7" w:rsidR="00A72AB6" w:rsidRDefault="00B0211D" w:rsidP="0090200F">
      <w:pPr>
        <w:spacing w:line="240" w:lineRule="auto"/>
        <w:jc w:val="both"/>
        <w:rPr>
          <w:rFonts w:ascii="Times New Roman" w:hAnsi="Times New Roman" w:cs="Times New Roman"/>
          <w:noProof/>
          <w:sz w:val="24"/>
        </w:rPr>
      </w:pPr>
      <w:r>
        <w:rPr>
          <w:rFonts w:ascii="Times New Roman" w:hAnsi="Times New Roman"/>
          <w:noProof/>
          <w:sz w:val="24"/>
        </w:rPr>
        <w:t xml:space="preserve">Šteta od katastrofalnih događaja znatno raste, a naš je ukupni kapacitet za ublažavanje takvih šokova i oporavak od njih ograničen. </w:t>
      </w:r>
      <w:r>
        <w:rPr>
          <w:rFonts w:ascii="Times New Roman" w:hAnsi="Times New Roman"/>
          <w:noProof/>
        </w:rPr>
        <w:t xml:space="preserve">Stoga su potrebna </w:t>
      </w:r>
      <w:r>
        <w:rPr>
          <w:rFonts w:ascii="Times New Roman" w:hAnsi="Times New Roman"/>
          <w:noProof/>
          <w:sz w:val="24"/>
        </w:rPr>
        <w:t xml:space="preserve">veća i bolja ulaganja u prevenciju na razini cijelog EU-a. </w:t>
      </w:r>
      <w:r>
        <w:rPr>
          <w:rFonts w:ascii="Times New Roman" w:hAnsi="Times New Roman"/>
          <w:noProof/>
        </w:rPr>
        <w:t xml:space="preserve">Budući da je </w:t>
      </w:r>
      <w:r>
        <w:rPr>
          <w:rFonts w:ascii="Times New Roman" w:hAnsi="Times New Roman"/>
          <w:noProof/>
          <w:sz w:val="24"/>
        </w:rPr>
        <w:t xml:space="preserve">rizik od katastrofa područje koje se stalno mijenja, a mi se moramo nositi s posljedicama klimatskih promjena, Komisija će i dalje intenzivno raditi na jačanju otpornosti EU-a na buduće rizike. </w:t>
      </w:r>
    </w:p>
    <w:p w14:paraId="4070BBF1" w14:textId="514C1A09" w:rsidR="00A72AB6" w:rsidRPr="000C6F69" w:rsidRDefault="00A72AB6" w:rsidP="003F5537">
      <w:pPr>
        <w:spacing w:line="240" w:lineRule="auto"/>
        <w:jc w:val="both"/>
        <w:rPr>
          <w:rFonts w:ascii="Times New Roman" w:hAnsi="Times New Roman" w:cs="Times New Roman"/>
          <w:noProof/>
          <w:sz w:val="24"/>
          <w:szCs w:val="24"/>
        </w:rPr>
      </w:pPr>
    </w:p>
    <w:sectPr w:rsidR="00A72AB6" w:rsidRPr="000C6F69" w:rsidSect="00262FF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5235A" w14:textId="77777777" w:rsidR="00CB38A1" w:rsidRDefault="00CB38A1" w:rsidP="00A72AB6">
      <w:pPr>
        <w:spacing w:after="0" w:line="240" w:lineRule="auto"/>
      </w:pPr>
      <w:r>
        <w:separator/>
      </w:r>
    </w:p>
  </w:endnote>
  <w:endnote w:type="continuationSeparator" w:id="0">
    <w:p w14:paraId="6B0A58CB" w14:textId="77777777" w:rsidR="00CB38A1" w:rsidRDefault="00CB38A1" w:rsidP="00A72AB6">
      <w:pPr>
        <w:spacing w:after="0" w:line="240" w:lineRule="auto"/>
      </w:pPr>
      <w:r>
        <w:continuationSeparator/>
      </w:r>
    </w:p>
  </w:endnote>
  <w:endnote w:type="continuationNotice" w:id="1">
    <w:p w14:paraId="3EA8D8CA" w14:textId="77777777" w:rsidR="00CB38A1" w:rsidRDefault="00CB3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EC Square Sans Pro">
    <w:altName w:val="Bahnschrift Light"/>
    <w:charset w:val="00"/>
    <w:family w:val="swiss"/>
    <w:pitch w:val="variable"/>
    <w:sig w:usb0="20000287" w:usb1="00000001" w:usb2="00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7C10" w14:textId="0ABF8BF5" w:rsidR="00D46BAC" w:rsidRPr="00D46BAC" w:rsidRDefault="00D46BAC" w:rsidP="00D46BAC">
    <w:pPr>
      <w:pStyle w:val="FooterCoverPage"/>
      <w:rPr>
        <w:rFonts w:ascii="Arial" w:hAnsi="Arial" w:cs="Arial"/>
        <w:b/>
        <w:sz w:val="48"/>
      </w:rPr>
    </w:pPr>
    <w:r w:rsidRPr="00D46BAC">
      <w:rPr>
        <w:rFonts w:ascii="Arial" w:hAnsi="Arial" w:cs="Arial"/>
        <w:b/>
        <w:sz w:val="48"/>
      </w:rPr>
      <w:t>HR</w:t>
    </w:r>
    <w:r w:rsidRPr="00D46BAC">
      <w:rPr>
        <w:rFonts w:ascii="Arial" w:hAnsi="Arial" w:cs="Arial"/>
        <w:b/>
        <w:sz w:val="48"/>
      </w:rPr>
      <w:tab/>
    </w:r>
    <w:r w:rsidRPr="00D46BAC">
      <w:rPr>
        <w:rFonts w:ascii="Arial" w:hAnsi="Arial" w:cs="Arial"/>
        <w:b/>
        <w:sz w:val="48"/>
      </w:rPr>
      <w:tab/>
    </w:r>
    <w:r w:rsidRPr="00D46BAC">
      <w:tab/>
    </w:r>
    <w:r w:rsidRPr="00D46BAC">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AC341" w14:textId="19405429" w:rsidR="00D46BAC" w:rsidRPr="00D46BAC" w:rsidRDefault="00D46BAC" w:rsidP="00D46BAC">
    <w:pPr>
      <w:pStyle w:val="FooterCoverPage"/>
      <w:rPr>
        <w:rFonts w:ascii="Arial" w:hAnsi="Arial" w:cs="Arial"/>
        <w:b/>
        <w:sz w:val="48"/>
      </w:rPr>
    </w:pPr>
    <w:r w:rsidRPr="00D46BAC">
      <w:rPr>
        <w:rFonts w:ascii="Arial" w:hAnsi="Arial" w:cs="Arial"/>
        <w:b/>
        <w:sz w:val="48"/>
      </w:rPr>
      <w:t>HR</w:t>
    </w:r>
    <w:r w:rsidRPr="00D46BAC">
      <w:rPr>
        <w:rFonts w:ascii="Arial" w:hAnsi="Arial" w:cs="Arial"/>
        <w:b/>
        <w:sz w:val="48"/>
      </w:rPr>
      <w:tab/>
    </w:r>
    <w:r w:rsidRPr="00D46BAC">
      <w:rPr>
        <w:rFonts w:ascii="Arial" w:hAnsi="Arial" w:cs="Arial"/>
        <w:b/>
        <w:sz w:val="48"/>
      </w:rPr>
      <w:tab/>
    </w:r>
    <w:r w:rsidRPr="00D46BAC">
      <w:tab/>
    </w:r>
    <w:r w:rsidRPr="00D46BAC">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3888" w14:textId="77777777" w:rsidR="00D46BAC" w:rsidRPr="00D46BAC" w:rsidRDefault="00D46BAC" w:rsidP="00D46BA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1CD0" w14:textId="77777777" w:rsidR="00A72AB6" w:rsidRPr="00A72AB6" w:rsidRDefault="00A72AB6" w:rsidP="00A72AB6">
    <w:pPr>
      <w:pStyle w:val="FooterCoverPage"/>
      <w:rPr>
        <w:rFonts w:ascii="Arial" w:hAnsi="Arial" w:cs="Arial"/>
        <w:b/>
        <w:sz w:val="48"/>
      </w:rPr>
    </w:pPr>
    <w:r>
      <w:rPr>
        <w:rFonts w:ascii="Arial" w:hAnsi="Arial"/>
        <w:b/>
        <w:sz w:val="48"/>
      </w:rPr>
      <w:t>HR</w:t>
    </w:r>
    <w:r>
      <w:rPr>
        <w:rFonts w:ascii="Arial" w:hAnsi="Arial"/>
        <w:b/>
        <w:sz w:val="48"/>
      </w:rPr>
      <w:tab/>
    </w:r>
    <w:r>
      <w:rPr>
        <w:rFonts w:ascii="Arial" w:hAnsi="Arial"/>
        <w:b/>
        <w:sz w:val="48"/>
      </w:rPr>
      <w:tab/>
    </w:r>
    <w:r>
      <w:tab/>
    </w:r>
    <w:r>
      <w:rPr>
        <w:rFonts w:ascii="Arial" w:hAnsi="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4878"/>
      <w:docPartObj>
        <w:docPartGallery w:val="Page Numbers (Bottom of Page)"/>
        <w:docPartUnique/>
      </w:docPartObj>
    </w:sdtPr>
    <w:sdtEndPr>
      <w:rPr>
        <w:noProof/>
      </w:rPr>
    </w:sdtEndPr>
    <w:sdtContent>
      <w:p w14:paraId="7962EE89" w14:textId="2D88E25B" w:rsidR="00BB63C8" w:rsidRDefault="00BB63C8">
        <w:pPr>
          <w:pStyle w:val="Footer"/>
          <w:jc w:val="center"/>
        </w:pPr>
        <w:r w:rsidRPr="00A342AB">
          <w:rPr>
            <w:rFonts w:ascii="Times New Roman" w:hAnsi="Times New Roman" w:cs="Times New Roman"/>
          </w:rPr>
          <w:fldChar w:fldCharType="begin"/>
        </w:r>
        <w:r w:rsidRPr="00A342AB">
          <w:rPr>
            <w:rFonts w:ascii="Times New Roman" w:hAnsi="Times New Roman" w:cs="Times New Roman"/>
          </w:rPr>
          <w:instrText xml:space="preserve"> PAGE   \* MERGEFORMAT </w:instrText>
        </w:r>
        <w:r w:rsidRPr="00A342AB">
          <w:rPr>
            <w:rFonts w:ascii="Times New Roman" w:hAnsi="Times New Roman" w:cs="Times New Roman"/>
          </w:rPr>
          <w:fldChar w:fldCharType="separate"/>
        </w:r>
        <w:r w:rsidR="00D46BAC">
          <w:rPr>
            <w:rFonts w:ascii="Times New Roman" w:hAnsi="Times New Roman" w:cs="Times New Roman"/>
            <w:noProof/>
          </w:rPr>
          <w:t>1</w:t>
        </w:r>
        <w:r w:rsidRPr="00A342AB">
          <w:rPr>
            <w:rFonts w:ascii="Times New Roman" w:hAnsi="Times New Roman" w:cs="Times New Roman"/>
          </w:rPr>
          <w:fldChar w:fldCharType="end"/>
        </w:r>
      </w:p>
    </w:sdtContent>
  </w:sdt>
  <w:p w14:paraId="0BD52042" w14:textId="38FDBDB1" w:rsidR="00262FF1" w:rsidRPr="006C74D3" w:rsidRDefault="00262FF1" w:rsidP="00262FF1">
    <w:pPr>
      <w:pStyle w:val="Footer"/>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F2BF" w14:textId="77777777" w:rsidR="00262FF1" w:rsidRPr="006C74D3" w:rsidRDefault="00262FF1" w:rsidP="0026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6B0C0" w14:textId="77777777" w:rsidR="00CB38A1" w:rsidRDefault="00CB38A1" w:rsidP="00A72AB6">
      <w:pPr>
        <w:spacing w:after="0" w:line="240" w:lineRule="auto"/>
      </w:pPr>
      <w:r>
        <w:separator/>
      </w:r>
    </w:p>
  </w:footnote>
  <w:footnote w:type="continuationSeparator" w:id="0">
    <w:p w14:paraId="75A235D2" w14:textId="77777777" w:rsidR="00CB38A1" w:rsidRDefault="00CB38A1" w:rsidP="00A72AB6">
      <w:pPr>
        <w:spacing w:after="0" w:line="240" w:lineRule="auto"/>
      </w:pPr>
      <w:r>
        <w:continuationSeparator/>
      </w:r>
    </w:p>
  </w:footnote>
  <w:footnote w:type="continuationNotice" w:id="1">
    <w:p w14:paraId="39D68814" w14:textId="77777777" w:rsidR="00CB38A1" w:rsidRDefault="00CB38A1">
      <w:pPr>
        <w:spacing w:after="0" w:line="240" w:lineRule="auto"/>
      </w:pPr>
    </w:p>
  </w:footnote>
  <w:footnote w:id="2">
    <w:p w14:paraId="457F7F3F" w14:textId="56417828" w:rsidR="00423F3D" w:rsidRDefault="00423F3D" w:rsidP="00423F3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Odluka br. 1313/2013/EU Europskog parlamenta i Vijeća od 17. prosinca 2013. o Mehanizmu Unije za civilnu zaštitu, kako je izmijenjena, SL L 347, 20.12.2013., str. 924., dalje u tekstu „Odluka o Mehanizmu Unije za civilnu zaštitu”.</w:t>
      </w:r>
      <w:r>
        <w:t xml:space="preserve"> </w:t>
      </w:r>
      <w:r>
        <w:rPr>
          <w:rFonts w:ascii="Times New Roman" w:hAnsi="Times New Roman"/>
        </w:rPr>
        <w:t xml:space="preserve">U Mehanizam Unije za civilnu zaštitu uključeno je 27 država članica i deset država sudionica (Crna Gora, Island, Norveška, Sjeverna Makedonija, Srbija i Turska; Albanija i Bosna i Hercegovina pridružile su se 2022.; Republika Moldova i Ukrajina 2023.). </w:t>
      </w:r>
    </w:p>
  </w:footnote>
  <w:footnote w:id="3">
    <w:p w14:paraId="3A678313" w14:textId="463DDFCA" w:rsidR="00533F03" w:rsidRPr="00B15458" w:rsidRDefault="00533F03">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COM(2024) 91 final od 12.3.2024.</w:t>
      </w:r>
    </w:p>
  </w:footnote>
  <w:footnote w:id="4">
    <w:p w14:paraId="207544B2" w14:textId="751B7E56" w:rsidR="005F7533" w:rsidRPr="005F7533" w:rsidRDefault="005F7533" w:rsidP="00821BB4">
      <w:pPr>
        <w:pStyle w:val="FootnoteText"/>
        <w:jc w:val="both"/>
      </w:pPr>
      <w:r>
        <w:rPr>
          <w:rStyle w:val="FootnoteReference"/>
          <w:rFonts w:ascii="Times New Roman" w:hAnsi="Times New Roman" w:cs="Times New Roman"/>
        </w:rPr>
        <w:footnoteRef/>
      </w:r>
      <w:r>
        <w:rPr>
          <w:rFonts w:ascii="Times New Roman" w:hAnsi="Times New Roman"/>
        </w:rPr>
        <w:t xml:space="preserve"> Na temelju članka 5. stavka 1. točke (g) Odluke o Mehanizmu Unije za civilnu zaštitu Komisija je dužna „u skladu s rokovima iz članka 6. stavka 1. točke (d), periodično izvješćivati Europski parlament i Vijeće o napretku postignutom u provedbi članka 6.” </w:t>
      </w:r>
    </w:p>
  </w:footnote>
  <w:footnote w:id="5">
    <w:p w14:paraId="622F602A" w14:textId="278A2D91" w:rsidR="00F028BB" w:rsidRPr="00B37B7A" w:rsidRDefault="00F028BB" w:rsidP="00821BB4">
      <w:pPr>
        <w:pStyle w:val="FootnoteText"/>
        <w:jc w:val="both"/>
      </w:pPr>
      <w:r>
        <w:rPr>
          <w:rStyle w:val="FootnoteReference"/>
        </w:rPr>
        <w:footnoteRef/>
      </w:r>
      <w:r>
        <w:t xml:space="preserve"> </w:t>
      </w:r>
      <w:r>
        <w:rPr>
          <w:rFonts w:ascii="Times New Roman" w:hAnsi="Times New Roman"/>
        </w:rPr>
        <w:t>SWD(2024) 130 od 12.3.2024.</w:t>
      </w:r>
    </w:p>
  </w:footnote>
  <w:footnote w:id="6">
    <w:p w14:paraId="2DBA3C68" w14:textId="0EE1E942" w:rsidR="007D08EE" w:rsidRPr="00E27855" w:rsidRDefault="007D08EE" w:rsidP="00821BB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Akti o izmjeni: Odluka (EU) 2019/420 (SL L 77, 20.3.2019., str. 1.), Uredba (EU) 2021/836 (SL L 77, 26.5.2021., str. 1.).</w:t>
      </w:r>
    </w:p>
  </w:footnote>
  <w:footnote w:id="7">
    <w:p w14:paraId="753BF6ED" w14:textId="1079F803" w:rsidR="00224F9F" w:rsidRPr="0081256E" w:rsidRDefault="00224F9F" w:rsidP="00821BB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 skladu s člankom 28. stavkom 1.a Odluke o Mehanizmu Unije za civilnu zaštitu države sudionice sudjeluju u aktivnostima Mehanizma Unije u skladu s ciljevima, zahtjevima, kriterijima, postupcima i rokovima predviđenima u Odluci. Za potrebe ovog izvješća države članice EU-a i države sudionice dalje u tekstu nazivaju se „zemlje”, osim ako se navode drukčije, tj. kao države članice EU-a ili države sudionice.</w:t>
      </w:r>
    </w:p>
  </w:footnote>
  <w:footnote w:id="8">
    <w:p w14:paraId="1F3FFF35" w14:textId="3EF22503" w:rsidR="00A622BA" w:rsidRPr="00671FAD" w:rsidRDefault="00A622BA" w:rsidP="00821BB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SWD(2017) 176 od 23.5.2017.; SWD(2020) 330 od 30.11.2020.</w:t>
      </w:r>
    </w:p>
  </w:footnote>
  <w:footnote w:id="9">
    <w:p w14:paraId="638702B5" w14:textId="77777777" w:rsidR="007D08EE" w:rsidRPr="005014AC" w:rsidRDefault="007D08EE" w:rsidP="00821BB4">
      <w:pPr>
        <w:pStyle w:val="FootnoteText"/>
        <w:jc w:val="both"/>
      </w:pPr>
      <w:r>
        <w:rPr>
          <w:rStyle w:val="FootnoteReference"/>
        </w:rPr>
        <w:footnoteRef/>
      </w:r>
      <w:r>
        <w:t xml:space="preserve"> </w:t>
      </w:r>
      <w:r>
        <w:rPr>
          <w:rFonts w:ascii="Times New Roman" w:hAnsi="Times New Roman"/>
        </w:rPr>
        <w:t>Izvješća je potrebno podnijeti do kraja prosinca 2020., a nakon toga svake tri godine.</w:t>
      </w:r>
    </w:p>
  </w:footnote>
  <w:footnote w:id="10">
    <w:p w14:paraId="07A1E69E" w14:textId="77777777" w:rsidR="000E680C" w:rsidRPr="00671FAD" w:rsidRDefault="000E680C" w:rsidP="000E68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OBAVIJEST KOMISIJE Smjernice za izvješćivanje o upravljanju rizicima od katastrofa, članak 6. stavak 1. točka (d) Odluke br. 1313/2013/EU (2019/C 428/07)</w:t>
      </w:r>
      <w:r>
        <w:t xml:space="preserve">. </w:t>
      </w:r>
      <w:r>
        <w:rPr>
          <w:rFonts w:ascii="Times New Roman" w:hAnsi="Times New Roman"/>
        </w:rPr>
        <w:t xml:space="preserve">SL C 428 od 20.12.2019., str. 8. Te smjernice, među ostalim, upućuju na radni dokument službi Komisije (SEC(2010) 1626 od 21.12.2010.), Smjernice za procjenu i mapiranje rizika u svrhu upravljanja katastrofama, kao na referentni dokument. </w:t>
      </w:r>
    </w:p>
  </w:footnote>
  <w:footnote w:id="11">
    <w:p w14:paraId="79F9D3B7" w14:textId="782015CC" w:rsidR="00671FAD" w:rsidRPr="00671FAD" w:rsidRDefault="00671FAD" w:rsidP="00150A41">
      <w:pPr>
        <w:pStyle w:val="FootnoteText"/>
        <w:jc w:val="both"/>
      </w:pPr>
      <w:r>
        <w:rPr>
          <w:rStyle w:val="FootnoteReference"/>
          <w:rFonts w:ascii="Times New Roman" w:hAnsi="Times New Roman" w:cs="Times New Roman"/>
        </w:rPr>
        <w:footnoteRef/>
      </w:r>
      <w:r>
        <w:rPr>
          <w:rFonts w:ascii="Times New Roman" w:hAnsi="Times New Roman"/>
        </w:rPr>
        <w:t xml:space="preserve"> Island nije podnio izvješće u okviru roka utvrđenog za 2020. Albanija, Bosna i Hercegovina, Republika Moldova i Ukrajina 2020. još nisu bile države sudionice i stoga nisu imale obvezu izvješćivanja.</w:t>
      </w:r>
    </w:p>
  </w:footnote>
  <w:footnote w:id="12">
    <w:p w14:paraId="3E05570A" w14:textId="614C45C3" w:rsidR="00F54547" w:rsidRPr="00A749EA" w:rsidRDefault="00F54547" w:rsidP="00150A4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Bugarska, Cipar, Estonija, Finska, Malta, Mongolija, Poljska, Portugal, Rumunjska, Srbija, Turska te Gruzija, Tunis, Alžir, Republika Moldova i Ujedinjena Kraljevina (u to vrijeme kao država članica EU-a). </w:t>
      </w:r>
    </w:p>
  </w:footnote>
  <w:footnote w:id="13">
    <w:p w14:paraId="79C4300F" w14:textId="13989321" w:rsidR="009801CB" w:rsidRPr="00B76D24" w:rsidRDefault="009801C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w:anchor="/" w:history="1">
        <w:r>
          <w:rPr>
            <w:rStyle w:val="Hyperlink"/>
            <w:rFonts w:ascii="Times New Roman" w:hAnsi="Times New Roman"/>
          </w:rPr>
          <w:t>Čvorište podataka o rizicima Centra znanja za upravljanje rizicima od katastrofa (DRMKC) (europa.eu)</w:t>
        </w:r>
      </w:hyperlink>
    </w:p>
  </w:footnote>
  <w:footnote w:id="14">
    <w:p w14:paraId="32B9D900" w14:textId="607C6764" w:rsidR="00F62C54" w:rsidRPr="0061250E" w:rsidRDefault="00F62C5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Vidjeti poglavlje 3.</w:t>
      </w:r>
    </w:p>
  </w:footnote>
  <w:footnote w:id="15">
    <w:p w14:paraId="7C1D816C" w14:textId="2E8E33CA" w:rsidR="00E92271" w:rsidRPr="0034308E" w:rsidRDefault="00E92271" w:rsidP="0009380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Preporuka o ciljevima Unije u pogledu otpornosti na katastrofe, SL C 56, 15.2.2023., str. 1. Komunikacija „Ciljevi Europske unije u pogledu otpornosti na katastrofe: zajednička priprema za buduće krize”, COM(2023) 61 </w:t>
      </w:r>
      <w:r w:rsidRPr="003C3E33">
        <w:rPr>
          <w:rFonts w:ascii="Times New Roman" w:hAnsi="Times New Roman"/>
          <w:iCs/>
        </w:rPr>
        <w:t xml:space="preserve">final </w:t>
      </w:r>
      <w:r>
        <w:rPr>
          <w:rFonts w:ascii="Times New Roman" w:hAnsi="Times New Roman"/>
        </w:rPr>
        <w:t>od 8.2.2023.</w:t>
      </w:r>
    </w:p>
  </w:footnote>
  <w:footnote w:id="16">
    <w:p w14:paraId="28F81DE5" w14:textId="7D0BE387" w:rsidR="00A72AB6" w:rsidRPr="00013EA4" w:rsidRDefault="00A72AB6" w:rsidP="0009380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Kad se u ovom izvješću upućuje na nacionalna izvješća i zaključke, to se odnosi na izvješća koja je Komisiji na temelju članka 6. stavka 1. točke (d) dostavilo 27 država članica EU-a i šest zemalja koje su bile države sudionice krajem prosinca 2020. (Crna Gora, Island, Norveška, Sjeverna Makedonija, Srbija i Turska). </w:t>
      </w:r>
    </w:p>
  </w:footnote>
  <w:footnote w:id="17">
    <w:p w14:paraId="519FA438" w14:textId="1F7DDAA4" w:rsidR="00A72AB6" w:rsidRPr="0034308E" w:rsidRDefault="00A72AB6" w:rsidP="0009380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Kako je navedeno u prethodnim o pregledima izvješća o rizicima, SWD(2017) 176; SWD(2020) 330. </w:t>
      </w:r>
    </w:p>
  </w:footnote>
  <w:footnote w:id="18">
    <w:p w14:paraId="746BE3DD" w14:textId="4C24BB29" w:rsidR="00A72AB6" w:rsidRPr="0034308E" w:rsidRDefault="00A72AB6" w:rsidP="0009380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Vidjeti prethodno navedeno.</w:t>
      </w:r>
    </w:p>
  </w:footnote>
  <w:footnote w:id="19">
    <w:p w14:paraId="7A4D7074" w14:textId="640604D0" w:rsidR="00727661" w:rsidRPr="0034308E" w:rsidRDefault="00727661" w:rsidP="00071D7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olor w:val="FF0000"/>
        </w:rPr>
        <w:t xml:space="preserve"> </w:t>
      </w:r>
      <w:bookmarkStart w:id="9" w:name="_Hlk152144291"/>
      <w:r>
        <w:rPr>
          <w:rFonts w:ascii="Times New Roman" w:hAnsi="Times New Roman"/>
        </w:rPr>
        <w:t xml:space="preserve">U </w:t>
      </w:r>
      <w:r>
        <w:rPr>
          <w:rFonts w:ascii="Times New Roman" w:hAnsi="Times New Roman"/>
          <w:color w:val="000000" w:themeColor="text1"/>
        </w:rPr>
        <w:t xml:space="preserve">trenutku objave ovog izvješća, izvješćivanje u okviru roka utvrđenog 2023. još je bilo u tijeku, a podnesena izvješća još nisu analizirana. Nalazi ne odražavaju nužno najnovija kretanja na nacionalnoj razini. </w:t>
      </w:r>
      <w:bookmarkEnd w:id="9"/>
    </w:p>
  </w:footnote>
  <w:footnote w:id="20">
    <w:p w14:paraId="2A7646A6" w14:textId="60D82CCB" w:rsidR="000B7B26" w:rsidRPr="00DB6000" w:rsidRDefault="000B7B26" w:rsidP="0009380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Izvješća </w:t>
      </w:r>
      <w:r>
        <w:rPr>
          <w:rFonts w:ascii="Times New Roman" w:hAnsi="Times New Roman"/>
          <w:u w:val="single"/>
        </w:rPr>
        <w:t>nisu</w:t>
      </w:r>
      <w:r>
        <w:rPr>
          <w:rFonts w:ascii="Times New Roman" w:hAnsi="Times New Roman"/>
        </w:rPr>
        <w:t xml:space="preserve"> dostavile Crna Gora, Sjeverna Makedonija i Turska (u okviru roka utvrđenog za 2015.), Crna Gora, Latvija, Malta i Turska (u okviru roka utvrđenog za 2018.) i Island (u okviru roka utvrđenog za 2020.).</w:t>
      </w:r>
    </w:p>
  </w:footnote>
  <w:footnote w:id="21">
    <w:p w14:paraId="6A118839" w14:textId="78E9D18F" w:rsidR="00A72AB6" w:rsidRPr="0034308E" w:rsidRDefault="00A72AB6" w:rsidP="0009380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Članak 3. stavak 2. točka (a) Odluke o Mehanizmu Unije za civilnu zaštitu.</w:t>
      </w:r>
    </w:p>
  </w:footnote>
  <w:footnote w:id="22">
    <w:p w14:paraId="5399BE1D" w14:textId="32504EB4" w:rsidR="00A72AB6" w:rsidRPr="008C5A9E" w:rsidRDefault="00A72AB6" w:rsidP="00A72AB6">
      <w:pPr>
        <w:pStyle w:val="FootnoteText"/>
      </w:pPr>
      <w:r>
        <w:rPr>
          <w:rStyle w:val="FootnoteReference"/>
          <w:rFonts w:ascii="Times New Roman" w:hAnsi="Times New Roman" w:cs="Times New Roman"/>
        </w:rPr>
        <w:footnoteRef/>
      </w:r>
      <w:r>
        <w:rPr>
          <w:rFonts w:ascii="Times New Roman" w:hAnsi="Times New Roman"/>
        </w:rPr>
        <w:t xml:space="preserve"> Radni dokument službi Komisije, pitanja 3 i 4.</w:t>
      </w:r>
    </w:p>
  </w:footnote>
  <w:footnote w:id="23">
    <w:p w14:paraId="22E8D955" w14:textId="548B1BED" w:rsidR="00C56375" w:rsidRPr="00795351" w:rsidRDefault="00C5637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Vidjeti Prilog II. popratnom radnom dokumentu službi Komisije i izvješće „Pregled rizika od prirodnih katastrofa i katastrofa uzrokovanih ljudskim djelovanjem s kojima se EU može suočiti”, SWD(2020) 3030, slika 21.</w:t>
      </w:r>
    </w:p>
  </w:footnote>
  <w:footnote w:id="24">
    <w:p w14:paraId="63585CD7" w14:textId="512E4CB7" w:rsidR="00A72AB6" w:rsidRPr="009C1E4F" w:rsidRDefault="00A72AB6" w:rsidP="00797C8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Klasifikacija predviđena u provedbenom aktu o izvješćivanju o prilagodbi u skladu s propisima o klimi. SL L 278, 26.8.2020., str. 1.</w:t>
      </w:r>
    </w:p>
  </w:footnote>
  <w:footnote w:id="25">
    <w:p w14:paraId="4FEE9206" w14:textId="4FD161CA" w:rsidR="00A72AB6" w:rsidRPr="005B0FC2" w:rsidRDefault="00A72AB6" w:rsidP="00A72AB6">
      <w:pPr>
        <w:pStyle w:val="FootnoteText"/>
        <w:rPr>
          <w:rFonts w:cstheme="minorHAnsi"/>
        </w:rPr>
      </w:pPr>
      <w:r>
        <w:rPr>
          <w:rStyle w:val="FootnoteReference"/>
          <w:rFonts w:ascii="Times New Roman" w:hAnsi="Times New Roman" w:cs="Times New Roman"/>
        </w:rPr>
        <w:footnoteRef/>
      </w:r>
      <w:r>
        <w:rPr>
          <w:rFonts w:ascii="Times New Roman" w:hAnsi="Times New Roman"/>
        </w:rPr>
        <w:t xml:space="preserve"> Popratni radni dokument službi Komisije, pitanja 1, 2, 3, 5, 6, 7, 8 i 18.</w:t>
      </w:r>
    </w:p>
  </w:footnote>
  <w:footnote w:id="26">
    <w:p w14:paraId="21425E09" w14:textId="104383D8" w:rsidR="00F31237" w:rsidRPr="00DC19F4" w:rsidRDefault="00C34F11" w:rsidP="00F31237">
      <w:pPr>
        <w:spacing w:after="0" w:line="240" w:lineRule="auto"/>
        <w:rPr>
          <w:rFonts w:ascii="Times New Roman" w:hAnsi="Times New Roman" w:cs="Times New Roman"/>
          <w:color w:val="4007A2"/>
          <w:sz w:val="20"/>
          <w:szCs w:val="20"/>
          <w:shd w:val="clear" w:color="auto" w:fill="FFFFFF"/>
        </w:rPr>
      </w:pPr>
      <w:r>
        <w:rPr>
          <w:rStyle w:val="FootnoteReference"/>
        </w:rPr>
        <w:footnoteRef/>
      </w:r>
      <w:r>
        <w:t xml:space="preserve"> </w:t>
      </w:r>
      <w:r>
        <w:rPr>
          <w:rFonts w:ascii="Times New Roman" w:hAnsi="Times New Roman"/>
        </w:rPr>
        <w:t>Čvorište podataka o rizicima Centra znanja za upravljanje rizicima od katastrofa:</w:t>
      </w:r>
      <w:r>
        <w:t xml:space="preserve"> </w:t>
      </w:r>
      <w:r w:rsidR="00F31237" w:rsidRPr="00DC19F4">
        <w:rPr>
          <w:rStyle w:val="HTMLCite"/>
          <w:rFonts w:ascii="Times New Roman" w:hAnsi="Times New Roman" w:cs="Times New Roman"/>
          <w:i w:val="0"/>
          <w:color w:val="444444"/>
          <w:sz w:val="20"/>
          <w:shd w:val="clear" w:color="auto" w:fill="FFFFFF"/>
        </w:rPr>
        <w:fldChar w:fldCharType="begin"/>
      </w:r>
      <w:r w:rsidR="00F31237" w:rsidRPr="00DC19F4">
        <w:rPr>
          <w:rStyle w:val="HTMLCite"/>
          <w:rFonts w:ascii="Times New Roman" w:hAnsi="Times New Roman" w:cs="Times New Roman"/>
          <w:i w:val="0"/>
          <w:color w:val="444444"/>
          <w:sz w:val="20"/>
          <w:shd w:val="clear" w:color="auto" w:fill="FFFFFF"/>
        </w:rPr>
        <w:instrText xml:space="preserve"> HYPERLINK "https://drmkc.jrc.ec.europa.eu/risk-data-hub" </w:instrText>
      </w:r>
    </w:p>
    <w:p w14:paraId="0221D596" w14:textId="51245E77" w:rsidR="00C34F11" w:rsidRPr="00C34F11" w:rsidRDefault="00F31237" w:rsidP="00A342AB">
      <w:r w:rsidRPr="00DC19F4">
        <w:rPr>
          <w:rStyle w:val="HTMLCite"/>
          <w:rFonts w:ascii="Times New Roman" w:hAnsi="Times New Roman" w:cs="Times New Roman"/>
          <w:i w:val="0"/>
          <w:color w:val="444444"/>
          <w:sz w:val="20"/>
          <w:shd w:val="clear" w:color="auto" w:fill="FFFFFF"/>
        </w:rPr>
        <w:fldChar w:fldCharType="separate"/>
      </w:r>
      <w:r>
        <w:rPr>
          <w:rStyle w:val="Hyperlink"/>
          <w:rFonts w:ascii="Times New Roman" w:hAnsi="Times New Roman"/>
          <w:sz w:val="20"/>
          <w:shd w:val="clear" w:color="auto" w:fill="FFFFFF"/>
        </w:rPr>
        <w:t>https://drmkc.jrc.ec.europa.eu/risk-data-hub</w:t>
      </w:r>
      <w:r w:rsidRPr="00DC19F4">
        <w:rPr>
          <w:rStyle w:val="HTMLCite"/>
          <w:rFonts w:ascii="Times New Roman" w:hAnsi="Times New Roman" w:cs="Times New Roman"/>
          <w:i w:val="0"/>
          <w:color w:val="444444"/>
          <w:sz w:val="20"/>
          <w:shd w:val="clear" w:color="auto" w:fill="FFFFFF"/>
        </w:rPr>
        <w:fldChar w:fldCharType="end"/>
      </w:r>
      <w:r>
        <w:rPr>
          <w:rStyle w:val="HTMLCite"/>
          <w:rFonts w:ascii="Times New Roman" w:hAnsi="Times New Roman"/>
          <w:i w:val="0"/>
          <w:color w:val="444444"/>
          <w:sz w:val="20"/>
          <w:shd w:val="clear" w:color="auto" w:fill="FFFFFF"/>
        </w:rPr>
        <w:t>.</w:t>
      </w:r>
    </w:p>
  </w:footnote>
  <w:footnote w:id="27">
    <w:p w14:paraId="5294B7AB" w14:textId="77777777" w:rsidR="00A72AB6" w:rsidRPr="003155E5" w:rsidRDefault="00A72AB6" w:rsidP="00A72AB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Smjernice za izvješćivanje, pitanje 5, C428, 20.12.2019., str. 8. i sljedeće.</w:t>
      </w:r>
    </w:p>
  </w:footnote>
  <w:footnote w:id="28">
    <w:p w14:paraId="55D89AF4" w14:textId="77777777" w:rsidR="00C97875" w:rsidRPr="0086220A" w:rsidRDefault="00C97875" w:rsidP="00C9787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Direktivom 2007/60/EZ zahtijevaju se redovite revizije preliminarnih procjena rizicima od poplava i planova upravljanja rizicima od poplava; isto tako, planove upravljanja riječnim slivovima potrebno je ažurirati svakih šest godina u skladu s Direktivom 2000/60/EZ. </w:t>
      </w:r>
    </w:p>
  </w:footnote>
  <w:footnote w:id="29">
    <w:p w14:paraId="2E56F629" w14:textId="2EA15747" w:rsidR="00A72AB6" w:rsidRPr="005B334B" w:rsidRDefault="00A72AB6" w:rsidP="0009380E">
      <w:pPr>
        <w:pStyle w:val="FootnoteText"/>
        <w:jc w:val="both"/>
      </w:pPr>
      <w:r>
        <w:rPr>
          <w:rStyle w:val="FootnoteReference"/>
          <w:rFonts w:ascii="Times New Roman" w:hAnsi="Times New Roman" w:cs="Times New Roman"/>
        </w:rPr>
        <w:footnoteRef/>
      </w:r>
      <w:r>
        <w:rPr>
          <w:rFonts w:ascii="Times New Roman" w:hAnsi="Times New Roman"/>
        </w:rPr>
        <w:t xml:space="preserve"> Iako je prikazivanje opasnosti od poplava i rizika od poplava na kartama obvezno za sve države članice EU-a u skladu s Direktivom 2007/60/EZ o procjeni i upravljanju rizicima od poplava (SL L 288, 6.11.2007., str. 186.), nisu sve države članice u sažetim izvješćima o upravljanju rizicima od katastrofa izvijestile o dostupnosti karata rizika od poplava.   </w:t>
      </w:r>
    </w:p>
  </w:footnote>
  <w:footnote w:id="30">
    <w:p w14:paraId="26E5E072" w14:textId="10FBBDD9" w:rsidR="00103AA8" w:rsidRPr="00082385" w:rsidRDefault="00103AA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Radni dokument službi Komisije, (SEC(2010) 1626 od 21.12.2010.).</w:t>
      </w:r>
    </w:p>
  </w:footnote>
  <w:footnote w:id="31">
    <w:p w14:paraId="592E50F8" w14:textId="72131FD1" w:rsidR="00A72AB6" w:rsidRPr="0049475D" w:rsidRDefault="00A72AB6" w:rsidP="0009380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Popratni radni dokument službi Komisije, pitanja 3, 13, 15, 16, 21 i 22.</w:t>
      </w:r>
    </w:p>
  </w:footnote>
  <w:footnote w:id="32">
    <w:p w14:paraId="60E51E45" w14:textId="62B89786" w:rsidR="00A72AB6" w:rsidRPr="00580E3E" w:rsidRDefault="00A72AB6" w:rsidP="0009380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Zemlje nisu obvezne staviti na raspolaganje Komisiji </w:t>
      </w:r>
      <w:r>
        <w:rPr>
          <w:rFonts w:ascii="Times New Roman" w:hAnsi="Times New Roman"/>
          <w:u w:val="single"/>
        </w:rPr>
        <w:t>planove upravljanja rizicima</w:t>
      </w:r>
      <w:r>
        <w:rPr>
          <w:rFonts w:ascii="Times New Roman" w:hAnsi="Times New Roman"/>
        </w:rPr>
        <w:t xml:space="preserve">, kao ni sažetke informacija o njima. Sveobuhvatna procjena napretka u području </w:t>
      </w:r>
      <w:r>
        <w:rPr>
          <w:rFonts w:ascii="Times New Roman" w:hAnsi="Times New Roman"/>
          <w:i/>
        </w:rPr>
        <w:t>daljnjeg razvoja i poboljšanja planiranja upravljanja rizicima od katastrofa</w:t>
      </w:r>
      <w:r>
        <w:rPr>
          <w:rFonts w:ascii="Times New Roman" w:hAnsi="Times New Roman"/>
        </w:rPr>
        <w:t xml:space="preserve"> stoga nije moguća.</w:t>
      </w:r>
    </w:p>
  </w:footnote>
  <w:footnote w:id="33">
    <w:p w14:paraId="0EA4FE5C" w14:textId="209974EF" w:rsidR="00A72AB6" w:rsidRPr="00580E3E" w:rsidRDefault="00A72AB6" w:rsidP="007E525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Popratni radni dokument službi Komisije, pitanja 3, 13, 16, 21 i 22.</w:t>
      </w:r>
    </w:p>
  </w:footnote>
  <w:footnote w:id="34">
    <w:p w14:paraId="6ABEBFE6" w14:textId="3DEBB37D" w:rsidR="00A72AB6" w:rsidRPr="00B2203D" w:rsidRDefault="00A72AB6" w:rsidP="007E525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SL L 288, 6.11.2007., str. 186.</w:t>
      </w:r>
    </w:p>
  </w:footnote>
  <w:footnote w:id="35">
    <w:p w14:paraId="32D4C867" w14:textId="3CC5B51E" w:rsidR="00A72AB6" w:rsidRPr="00B2203D" w:rsidRDefault="00A72AB6" w:rsidP="007E525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Direktiva 2021/18/EU, SL L 197, 24.7.2012., str. 1.</w:t>
      </w:r>
    </w:p>
  </w:footnote>
  <w:footnote w:id="36">
    <w:p w14:paraId="2818D5D6" w14:textId="07C22727" w:rsidR="00A72AB6" w:rsidRPr="00B2203D" w:rsidRDefault="00A72AB6" w:rsidP="007E525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Direktiva</w:t>
      </w:r>
      <w:r>
        <w:rPr>
          <w:rFonts w:ascii="Times New Roman" w:hAnsi="Times New Roman"/>
          <w:color w:val="333333"/>
          <w:shd w:val="clear" w:color="auto" w:fill="FFFFFF"/>
        </w:rPr>
        <w:t xml:space="preserve"> (EU) 2022/2557</w:t>
      </w:r>
      <w:r>
        <w:rPr>
          <w:rFonts w:ascii="Times New Roman" w:hAnsi="Times New Roman"/>
        </w:rPr>
        <w:t xml:space="preserve">. </w:t>
      </w:r>
      <w:r>
        <w:rPr>
          <w:rStyle w:val="Emphasis"/>
          <w:rFonts w:ascii="Times New Roman" w:hAnsi="Times New Roman"/>
          <w:i w:val="0"/>
          <w:color w:val="333333"/>
          <w:shd w:val="clear" w:color="auto" w:fill="FFFFFF"/>
        </w:rPr>
        <w:t>SL L 333, 27.12.2022., str. 164</w:t>
      </w:r>
      <w:r>
        <w:rPr>
          <w:rFonts w:ascii="Times New Roman" w:hAnsi="Times New Roman"/>
        </w:rPr>
        <w:t>.</w:t>
      </w:r>
    </w:p>
  </w:footnote>
  <w:footnote w:id="37">
    <w:p w14:paraId="5BD031FB" w14:textId="05B5FE72" w:rsidR="00A72AB6" w:rsidRPr="00013EA4" w:rsidRDefault="00A72AB6" w:rsidP="00A72AB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Popratni radni dokument službi Komisije, pitanja 8, 17, 19 i 20.</w:t>
      </w:r>
    </w:p>
  </w:footnote>
  <w:footnote w:id="38">
    <w:p w14:paraId="5D1A4FB6" w14:textId="3C9C85DF" w:rsidR="00A72AB6" w:rsidRPr="00F7722E" w:rsidRDefault="00A72AB6" w:rsidP="00A72AB6">
      <w:pPr>
        <w:pStyle w:val="FootnoteText"/>
      </w:pPr>
      <w:r>
        <w:rPr>
          <w:rStyle w:val="FootnoteReference"/>
          <w:rFonts w:ascii="Times New Roman" w:hAnsi="Times New Roman" w:cs="Times New Roman"/>
        </w:rPr>
        <w:footnoteRef/>
      </w:r>
      <w:r>
        <w:rPr>
          <w:rFonts w:ascii="Times New Roman" w:hAnsi="Times New Roman"/>
        </w:rPr>
        <w:t xml:space="preserve"> Direktiva (EU) 2018/1972 o Europskom zakoniku elektroničkih komunikacija</w:t>
      </w:r>
      <w:r>
        <w:t>.</w:t>
      </w:r>
      <w:r>
        <w:rPr>
          <w:rFonts w:ascii="Times New Roman" w:hAnsi="Times New Roman"/>
        </w:rPr>
        <w:t xml:space="preserve"> </w:t>
      </w:r>
      <w:hyperlink r:id="rId1" w:history="1">
        <w:r>
          <w:rPr>
            <w:rStyle w:val="Hyperlink"/>
            <w:rFonts w:ascii="Times New Roman" w:hAnsi="Times New Roman"/>
          </w:rPr>
          <w:t>SL L 321, 17.12.2018., str. 36.</w:t>
        </w:r>
      </w:hyperlink>
    </w:p>
  </w:footnote>
  <w:footnote w:id="39">
    <w:p w14:paraId="5D28DE9F" w14:textId="0C4A6BA9" w:rsidR="00206F29" w:rsidRPr="00B2203D" w:rsidRDefault="00206F2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Kemijske, biološke, radiološke, nuklearne.</w:t>
      </w:r>
    </w:p>
  </w:footnote>
  <w:footnote w:id="40">
    <w:p w14:paraId="0C81133C" w14:textId="0D03489E" w:rsidR="007012E0" w:rsidRPr="007531C5" w:rsidRDefault="007012E0" w:rsidP="007531C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 skladu s preporukama i daljnjim mjerama s radionice o civilnoj zaštiti španjolskog predsjedništva naslovljene „Jačanje upravljanja rizicima od katastrofa u Europi” održane 5. i 6. srpnja 2023. </w:t>
      </w:r>
    </w:p>
  </w:footnote>
  <w:footnote w:id="41">
    <w:p w14:paraId="6DFFAF4D" w14:textId="3C40454F" w:rsidR="007012E0" w:rsidRPr="0049475D" w:rsidRDefault="007012E0" w:rsidP="007531C5">
      <w:pPr>
        <w:pStyle w:val="FootnoteText"/>
        <w:jc w:val="both"/>
      </w:pPr>
      <w:r>
        <w:rPr>
          <w:rStyle w:val="FootnoteReference"/>
          <w:rFonts w:ascii="Times New Roman" w:hAnsi="Times New Roman" w:cs="Times New Roman"/>
        </w:rPr>
        <w:footnoteRef/>
      </w:r>
      <w:r>
        <w:rPr>
          <w:rFonts w:ascii="Times New Roman" w:hAnsi="Times New Roman"/>
        </w:rPr>
        <w:t xml:space="preserve"> Vidjeti prethodno navedeno.</w:t>
      </w:r>
      <w:r>
        <w:t xml:space="preserve"> </w:t>
      </w:r>
    </w:p>
  </w:footnote>
  <w:footnote w:id="42">
    <w:p w14:paraId="5570D7AD" w14:textId="1CF59FFA" w:rsidR="00A72AB6" w:rsidRPr="003662FE" w:rsidRDefault="00A72AB6" w:rsidP="00D07A8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Popratni radni dokument službi Komisije, pitanja 2, 3, 4, 12, 13, 14, 15 i 16.</w:t>
      </w:r>
    </w:p>
  </w:footnote>
  <w:footnote w:id="43">
    <w:p w14:paraId="650EEA87" w14:textId="2B88BAEB" w:rsidR="00A72AB6" w:rsidRPr="003361B5" w:rsidRDefault="00A72AB6" w:rsidP="00D07A89">
      <w:pPr>
        <w:pStyle w:val="FootnoteText"/>
        <w:jc w:val="both"/>
        <w:rPr>
          <w:sz w:val="18"/>
          <w:szCs w:val="18"/>
        </w:rPr>
      </w:pPr>
      <w:r>
        <w:rPr>
          <w:rStyle w:val="FootnoteReference"/>
          <w:rFonts w:ascii="Times New Roman" w:hAnsi="Times New Roman" w:cs="Times New Roman"/>
        </w:rPr>
        <w:footnoteRef/>
      </w:r>
      <w:r>
        <w:rPr>
          <w:rFonts w:ascii="Times New Roman" w:hAnsi="Times New Roman"/>
        </w:rPr>
        <w:t xml:space="preserve"> U Prilogu Smjernicama za izvješćivanje prikazana je politička situacija u EU-u prije europskog zelenog plana.</w:t>
      </w:r>
      <w:r>
        <w:rPr>
          <w:sz w:val="18"/>
        </w:rPr>
        <w:t xml:space="preserve"> </w:t>
      </w:r>
    </w:p>
  </w:footnote>
  <w:footnote w:id="44">
    <w:p w14:paraId="08481F5A" w14:textId="3ABB27D8" w:rsidR="00A72AB6" w:rsidRPr="00104D00" w:rsidRDefault="00A72AB6" w:rsidP="00EC5BC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Razlike u zaštiti klime SWD(2021) 123 </w:t>
      </w:r>
      <w:r w:rsidRPr="003C3E33">
        <w:rPr>
          <w:rFonts w:ascii="Times New Roman" w:hAnsi="Times New Roman"/>
          <w:iCs/>
        </w:rPr>
        <w:t>final</w:t>
      </w:r>
      <w:r>
        <w:rPr>
          <w:rFonts w:ascii="Times New Roman" w:hAnsi="Times New Roman"/>
        </w:rPr>
        <w:t xml:space="preserve"> od 27.5.2021.</w:t>
      </w:r>
    </w:p>
  </w:footnote>
  <w:footnote w:id="45">
    <w:p w14:paraId="3A6BA4ED" w14:textId="41ACD8A8" w:rsidR="00A72AB6" w:rsidRPr="00104D00" w:rsidRDefault="00A72AB6" w:rsidP="00EC5BC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Popratni radni dokument službi Komisije, pitanja 8, 17, 19 i 20.</w:t>
      </w:r>
    </w:p>
  </w:footnote>
  <w:footnote w:id="46">
    <w:p w14:paraId="4EA2FBE7" w14:textId="3674D3F0" w:rsidR="00A72AB6" w:rsidRPr="00D07A89" w:rsidRDefault="00A72AB6" w:rsidP="00EC5BCC">
      <w:pPr>
        <w:pStyle w:val="FootnoteText"/>
        <w:jc w:val="both"/>
        <w:rPr>
          <w:rFonts w:ascii="Times New Roman" w:hAnsi="Times New Roman" w:cs="Times New Roman"/>
          <w:i/>
          <w:iCs/>
          <w:highlight w:val="yellow"/>
        </w:rPr>
      </w:pPr>
      <w:r>
        <w:rPr>
          <w:rStyle w:val="FootnoteReference"/>
          <w:rFonts w:ascii="Times New Roman" w:hAnsi="Times New Roman" w:cs="Times New Roman"/>
        </w:rPr>
        <w:footnoteRef/>
      </w:r>
      <w:r>
        <w:rPr>
          <w:rFonts w:ascii="Times New Roman" w:hAnsi="Times New Roman"/>
        </w:rPr>
        <w:t xml:space="preserve"> SWD(2021) 123</w:t>
      </w:r>
      <w:r w:rsidRPr="003C3E33">
        <w:rPr>
          <w:rFonts w:ascii="Times New Roman" w:hAnsi="Times New Roman"/>
          <w:iCs/>
        </w:rPr>
        <w:t xml:space="preserve"> final</w:t>
      </w:r>
      <w:r>
        <w:rPr>
          <w:rFonts w:ascii="Times New Roman" w:hAnsi="Times New Roman"/>
        </w:rPr>
        <w:t xml:space="preserve"> od 27.5.2021. „Smanjenje razlika u zaštiti klime – razmatranje nedostataka u politikama i podacima”.</w:t>
      </w:r>
    </w:p>
  </w:footnote>
  <w:footnote w:id="47">
    <w:p w14:paraId="1785BCC7" w14:textId="4470C6AD" w:rsidR="00612C6C" w:rsidRPr="00612C6C" w:rsidRDefault="00612C6C" w:rsidP="00EC5BCC">
      <w:pPr>
        <w:pStyle w:val="FootnoteText"/>
        <w:jc w:val="both"/>
      </w:pPr>
      <w:r>
        <w:rPr>
          <w:rStyle w:val="FootnoteReference"/>
        </w:rPr>
        <w:footnoteRef/>
      </w:r>
      <w:r>
        <w:t xml:space="preserve"> </w:t>
      </w:r>
      <w:r>
        <w:rPr>
          <w:rFonts w:ascii="Times New Roman" w:hAnsi="Times New Roman"/>
        </w:rPr>
        <w:t xml:space="preserve">Naime, 18 trenutačnih država članica EU-a iskoristilo je sredstva iz strukturnih fondova i fondova kohezijske politike za upravljanje rizicima od katastrofa (2014. – 2020.). </w:t>
      </w:r>
    </w:p>
  </w:footnote>
  <w:footnote w:id="48">
    <w:p w14:paraId="5D07B5C5" w14:textId="77312890" w:rsidR="00A72AB6" w:rsidRPr="00303B4C" w:rsidRDefault="00A72AB6" w:rsidP="00EC5BCC">
      <w:pPr>
        <w:pStyle w:val="FootnoteText"/>
        <w:jc w:val="both"/>
      </w:pPr>
      <w:r>
        <w:rPr>
          <w:rStyle w:val="FootnoteReference"/>
          <w:rFonts w:ascii="Times New Roman" w:hAnsi="Times New Roman" w:cs="Times New Roman"/>
        </w:rPr>
        <w:footnoteRef/>
      </w:r>
      <w:r>
        <w:rPr>
          <w:rFonts w:ascii="Times New Roman" w:hAnsi="Times New Roman"/>
        </w:rPr>
        <w:t xml:space="preserve"> Kako bi se državama članicama omogućio pristup fondovima kohezijske politike EU-a, u Prilogu IV. Uredbi (EU) 2021/1060 (SL L 231, 30.6.2021., str. 159.) utvrđeni su uvjeti povezani s usklađenošću država članica EU-a s pravom EU-a. Kad je riječ o upravljanju rizicima od katastrofa, ti uvjeti uključuju podnošenje izvješća u skladu s člankom 6. i pružanje informacija o utvrđivanju rizika, određivanju prioriteta mjera, mehanizmima financiranja i planiranju.</w:t>
      </w:r>
    </w:p>
  </w:footnote>
  <w:footnote w:id="49">
    <w:p w14:paraId="543419F6" w14:textId="74AF8C3A" w:rsidR="00830F11" w:rsidRPr="00DE0C61" w:rsidRDefault="00830F1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Europski zakon o klimi (europa.eu)</w:t>
        </w:r>
      </w:hyperlink>
      <w:r>
        <w:rPr>
          <w:rFonts w:ascii="Roboto" w:hAnsi="Roboto"/>
          <w:sz w:val="21"/>
        </w:rPr>
        <w:t xml:space="preserve"> </w:t>
      </w:r>
      <w:r>
        <w:rPr>
          <w:rStyle w:val="Emphasis"/>
          <w:rFonts w:ascii="Times New Roman" w:hAnsi="Times New Roman"/>
          <w:i w:val="0"/>
        </w:rPr>
        <w:t>SL L 243, 9.7.2021., str. 1.</w:t>
      </w:r>
    </w:p>
  </w:footnote>
  <w:footnote w:id="50">
    <w:p w14:paraId="2E5DAB50" w14:textId="4AC5AAE5" w:rsidR="00830F11" w:rsidRPr="00CF683B" w:rsidRDefault="00830F11" w:rsidP="00830F1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27" w:name="_Hlk157502476"/>
      <w:r w:rsidR="00100FDC" w:rsidRPr="00F2565F">
        <w:rPr>
          <w:rFonts w:ascii="Times New Roman" w:hAnsi="Times New Roman" w:cs="Times New Roman"/>
        </w:rPr>
        <w:fldChar w:fldCharType="begin"/>
      </w:r>
      <w:r w:rsidR="00100FDC" w:rsidRPr="00F2565F">
        <w:rPr>
          <w:rFonts w:ascii="Times New Roman" w:hAnsi="Times New Roman" w:cs="Times New Roman"/>
        </w:rPr>
        <w:instrText>HYPERLINK "https://climate-adapt.eea.europa.eu/en/eu-adaptation-policy/key-eu-actions/climate_risk_assessment/index_html/"</w:instrText>
      </w:r>
      <w:r w:rsidR="00100FDC" w:rsidRPr="00F2565F">
        <w:rPr>
          <w:rFonts w:ascii="Times New Roman" w:hAnsi="Times New Roman" w:cs="Times New Roman"/>
        </w:rPr>
        <w:fldChar w:fldCharType="separate"/>
      </w:r>
      <w:r>
        <w:rPr>
          <w:rStyle w:val="Hyperlink"/>
          <w:rFonts w:ascii="Times New Roman" w:hAnsi="Times New Roman"/>
        </w:rPr>
        <w:t>https://climate-adapt.eea.europa.eu/en/eu-adaptation-policy/key-eu-actions/climate_risk_assessment/index_html/</w:t>
      </w:r>
      <w:r w:rsidR="00100FDC" w:rsidRPr="00F2565F">
        <w:rPr>
          <w:rFonts w:ascii="Times New Roman" w:hAnsi="Times New Roman" w:cs="Times New Roman"/>
        </w:rPr>
        <w:fldChar w:fldCharType="end"/>
      </w:r>
      <w:bookmarkEnd w:id="27"/>
    </w:p>
  </w:footnote>
  <w:footnote w:id="51">
    <w:p w14:paraId="1A4A5780" w14:textId="2227383F" w:rsidR="004C6E55" w:rsidRPr="00CF683B" w:rsidRDefault="004C6E5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29" w:name="_Hlk159237609"/>
      <w:r>
        <w:rPr>
          <w:rStyle w:val="Emphasis"/>
          <w:rFonts w:ascii="Times New Roman" w:hAnsi="Times New Roman"/>
          <w:i w:val="0"/>
          <w:color w:val="333333"/>
          <w:shd w:val="clear" w:color="auto" w:fill="FFFFFF"/>
        </w:rPr>
        <w:t>SL L 333, 27.12.2022., str. 164.</w:t>
      </w:r>
      <w:bookmarkEnd w:id="29"/>
    </w:p>
  </w:footnote>
  <w:footnote w:id="52">
    <w:p w14:paraId="66A0D492" w14:textId="06328ABE" w:rsidR="008503BE" w:rsidRPr="007B433C" w:rsidRDefault="008503BE">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SL L 333, 27.12.2022., str. 80.</w:t>
      </w:r>
    </w:p>
  </w:footnote>
  <w:footnote w:id="53">
    <w:p w14:paraId="67FC80EA" w14:textId="46346C37" w:rsidR="00CF2D3A" w:rsidRPr="00CF683B" w:rsidRDefault="00CF2D3A" w:rsidP="00CF2D3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Direktive 2007/60/EZ i 2000/60/EZ. </w:t>
      </w:r>
      <w:hyperlink r:id="rId3" w:anchor="ref-6th-implementation-report-2021" w:history="1">
        <w:r>
          <w:rPr>
            <w:rStyle w:val="Hyperlink"/>
            <w:rFonts w:ascii="Times New Roman" w:hAnsi="Times New Roman"/>
          </w:rPr>
          <w:t>Izvješća o provedbi – Europska komisija (europa.eu)</w:t>
        </w:r>
      </w:hyperlink>
    </w:p>
  </w:footnote>
  <w:footnote w:id="54">
    <w:p w14:paraId="0F3E3779" w14:textId="2A366B01" w:rsidR="00E94BA1" w:rsidRPr="00CF683B" w:rsidRDefault="00E94BA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Direktiva (EU) 2020/2184, SL L 435, 23.12.2020., str. 1. </w:t>
      </w:r>
    </w:p>
  </w:footnote>
  <w:footnote w:id="55">
    <w:p w14:paraId="0CE1FC8E" w14:textId="26F55833" w:rsidR="00E94BA1" w:rsidRPr="00F2565F" w:rsidRDefault="00E94BA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Uredba (EU) 2020/741, SL L 177, 5.6.2020., str. 32.</w:t>
      </w:r>
    </w:p>
  </w:footnote>
  <w:footnote w:id="56">
    <w:p w14:paraId="64CED672" w14:textId="7B02EC03" w:rsidR="00CF683B" w:rsidRPr="00B76D24" w:rsidRDefault="00CF683B">
      <w:pPr>
        <w:pStyle w:val="FootnoteText"/>
      </w:pPr>
      <w:r>
        <w:rPr>
          <w:rStyle w:val="FootnoteReference"/>
          <w:rFonts w:ascii="Times New Roman" w:hAnsi="Times New Roman" w:cs="Times New Roman"/>
        </w:rPr>
        <w:footnoteRef/>
      </w:r>
      <w:r>
        <w:rPr>
          <w:rFonts w:ascii="Times New Roman" w:hAnsi="Times New Roman"/>
        </w:rPr>
        <w:t xml:space="preserve"> COM(2021) 572</w:t>
      </w:r>
      <w:r>
        <w:t>.</w:t>
      </w:r>
    </w:p>
  </w:footnote>
  <w:footnote w:id="57">
    <w:p w14:paraId="2B315C6A" w14:textId="24F068C6" w:rsidR="009907F8" w:rsidRPr="005C549F" w:rsidRDefault="009907F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SL L 321, 17.12.2018., str. 36.</w:t>
      </w:r>
    </w:p>
  </w:footnote>
  <w:footnote w:id="58">
    <w:p w14:paraId="0959E50C" w14:textId="77777777" w:rsidR="00DA51C8" w:rsidRPr="00B76D24" w:rsidRDefault="00DA51C8" w:rsidP="00DA51C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Uredba (EU) 2020/852, SL L 198, 22.6.2020., str. 13.</w:t>
      </w:r>
    </w:p>
  </w:footnote>
  <w:footnote w:id="59">
    <w:p w14:paraId="58B4A1A0" w14:textId="77777777" w:rsidR="00DA51C8" w:rsidRPr="00B76D24" w:rsidRDefault="00DA51C8" w:rsidP="00DA51C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390 </w:t>
      </w:r>
      <w:r w:rsidRPr="003C3E33">
        <w:rPr>
          <w:rFonts w:ascii="Times New Roman" w:hAnsi="Times New Roman"/>
          <w:iCs/>
        </w:rPr>
        <w:t>final.</w:t>
      </w:r>
    </w:p>
  </w:footnote>
  <w:footnote w:id="60">
    <w:p w14:paraId="5E1F15A3" w14:textId="22486DD6" w:rsidR="0040234F" w:rsidRPr="00D12195" w:rsidRDefault="0040234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Instrument za tehničku potporu (TSI) (europa.eu)</w:t>
        </w:r>
      </w:hyperlink>
    </w:p>
  </w:footnote>
  <w:footnote w:id="61">
    <w:p w14:paraId="5CA39AB2" w14:textId="6CED50FE" w:rsidR="0040234F" w:rsidRPr="0040234F" w:rsidRDefault="0040234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Projekti prevencije i pripravnosti u području civilne zaštite – Europska komisija (europa.eu)</w:t>
        </w:r>
      </w:hyperlink>
    </w:p>
  </w:footnote>
  <w:footnote w:id="62">
    <w:p w14:paraId="17F5D3E6" w14:textId="5C014D99" w:rsidR="001126BF" w:rsidRPr="008451D6" w:rsidRDefault="001126BF">
      <w:pPr>
        <w:pStyle w:val="FootnoteText"/>
        <w:rPr>
          <w:rFonts w:ascii="Times New Roman" w:hAnsi="Times New Roman" w:cs="Times New Roman"/>
        </w:rPr>
      </w:pPr>
      <w:r>
        <w:rPr>
          <w:rStyle w:val="FootnoteReference"/>
        </w:rPr>
        <w:footnoteRef/>
      </w:r>
      <w:r>
        <w:t xml:space="preserve"> </w:t>
      </w:r>
      <w:hyperlink r:id="rId6" w:history="1">
        <w:r>
          <w:rPr>
            <w:rStyle w:val="Hyperlink"/>
            <w:rFonts w:ascii="Times New Roman" w:hAnsi="Times New Roman"/>
          </w:rPr>
          <w:t>Financiranje u području rizika od katastrofa:</w:t>
        </w:r>
      </w:hyperlink>
      <w:hyperlink r:id="rId7" w:history="1">
        <w:r>
          <w:rPr>
            <w:rStyle w:val="Hyperlink"/>
            <w:rFonts w:ascii="Times New Roman" w:hAnsi="Times New Roman"/>
          </w:rPr>
          <w:t xml:space="preserve"> glavni koncepti i dokazi iz država članica EU-a (europa.eu)</w:t>
        </w:r>
      </w:hyperlink>
      <w:r>
        <w:rPr>
          <w:rStyle w:val="Hyperlink"/>
          <w:rFonts w:ascii="Times New Roman" w:hAnsi="Times New Roman"/>
        </w:rPr>
        <w:t xml:space="preserve"> (2021.) i </w:t>
      </w:r>
      <w:hyperlink r:id="rId8" w:history="1">
        <w:r>
          <w:rPr>
            <w:rStyle w:val="Hyperlink"/>
            <w:rFonts w:ascii="Times New Roman" w:hAnsi="Times New Roman"/>
          </w:rPr>
          <w:t>Financiranje u području rizika od katastrofa:</w:t>
        </w:r>
      </w:hyperlink>
      <w:hyperlink r:id="rId9" w:history="1">
        <w:r>
          <w:rPr>
            <w:rStyle w:val="Hyperlink"/>
            <w:rFonts w:ascii="Times New Roman" w:hAnsi="Times New Roman"/>
          </w:rPr>
          <w:t xml:space="preserve"> ograničavanje fiskalnih troškova katastrofa</w:t>
        </w:r>
      </w:hyperlink>
      <w:r>
        <w:rPr>
          <w:rStyle w:val="Hyperlink"/>
          <w:rFonts w:ascii="Times New Roman" w:hAnsi="Times New Roman"/>
        </w:rPr>
        <w:t xml:space="preserve"> (europa.eu) (2022.)</w:t>
      </w:r>
    </w:p>
  </w:footnote>
  <w:footnote w:id="63">
    <w:p w14:paraId="458055CE" w14:textId="55C2E6BE" w:rsidR="001126BF" w:rsidRPr="00987014" w:rsidRDefault="001126BF">
      <w:pPr>
        <w:pStyle w:val="FootnoteText"/>
      </w:pPr>
      <w:r>
        <w:rPr>
          <w:rStyle w:val="FootnoteReference"/>
          <w:rFonts w:ascii="Times New Roman" w:hAnsi="Times New Roman" w:cs="Times New Roman"/>
        </w:rPr>
        <w:footnoteRef/>
      </w:r>
      <w:r>
        <w:rPr>
          <w:rFonts w:ascii="Times New Roman" w:hAnsi="Times New Roman"/>
        </w:rPr>
        <w:t xml:space="preserve"> SWD(2023) 151 </w:t>
      </w:r>
      <w:r w:rsidRPr="003C3E33">
        <w:rPr>
          <w:rFonts w:ascii="Times New Roman" w:hAnsi="Times New Roman"/>
          <w:iCs/>
        </w:rPr>
        <w:t>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810D" w14:textId="77777777" w:rsidR="00D46BAC" w:rsidRPr="00D46BAC" w:rsidRDefault="00D46BAC" w:rsidP="00D46BA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962B" w14:textId="77777777" w:rsidR="00D46BAC" w:rsidRPr="00D46BAC" w:rsidRDefault="00D46BAC" w:rsidP="00D46BA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46D6" w14:textId="77777777" w:rsidR="00D46BAC" w:rsidRPr="00D46BAC" w:rsidRDefault="00D46BAC" w:rsidP="00D46BA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C69D" w14:textId="77777777" w:rsidR="00A72AB6" w:rsidRDefault="00A72A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C12D" w14:textId="77777777" w:rsidR="00A72AB6" w:rsidRDefault="00A72A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6B903" w14:textId="77777777" w:rsidR="00A72AB6" w:rsidRDefault="00A72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FB"/>
    <w:multiLevelType w:val="hybridMultilevel"/>
    <w:tmpl w:val="101AF9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E74EC"/>
    <w:multiLevelType w:val="hybridMultilevel"/>
    <w:tmpl w:val="A55C2EA6"/>
    <w:lvl w:ilvl="0" w:tplc="0884F13E">
      <w:start w:val="1"/>
      <w:numFmt w:val="bullet"/>
      <w:lvlText w:val=""/>
      <w:lvlJc w:val="left"/>
      <w:pPr>
        <w:ind w:left="720" w:hanging="360"/>
      </w:pPr>
      <w:rPr>
        <w:rFonts w:ascii="Symbol" w:hAnsi="Symbol"/>
      </w:rPr>
    </w:lvl>
    <w:lvl w:ilvl="1" w:tplc="680280DC">
      <w:start w:val="1"/>
      <w:numFmt w:val="bullet"/>
      <w:lvlText w:val=""/>
      <w:lvlJc w:val="left"/>
      <w:pPr>
        <w:ind w:left="720" w:hanging="360"/>
      </w:pPr>
      <w:rPr>
        <w:rFonts w:ascii="Symbol" w:hAnsi="Symbol"/>
      </w:rPr>
    </w:lvl>
    <w:lvl w:ilvl="2" w:tplc="E6366ACE">
      <w:start w:val="1"/>
      <w:numFmt w:val="bullet"/>
      <w:lvlText w:val=""/>
      <w:lvlJc w:val="left"/>
      <w:pPr>
        <w:ind w:left="720" w:hanging="360"/>
      </w:pPr>
      <w:rPr>
        <w:rFonts w:ascii="Symbol" w:hAnsi="Symbol"/>
      </w:rPr>
    </w:lvl>
    <w:lvl w:ilvl="3" w:tplc="EFFAE044">
      <w:start w:val="1"/>
      <w:numFmt w:val="bullet"/>
      <w:lvlText w:val=""/>
      <w:lvlJc w:val="left"/>
      <w:pPr>
        <w:ind w:left="720" w:hanging="360"/>
      </w:pPr>
      <w:rPr>
        <w:rFonts w:ascii="Symbol" w:hAnsi="Symbol"/>
      </w:rPr>
    </w:lvl>
    <w:lvl w:ilvl="4" w:tplc="1596641C">
      <w:start w:val="1"/>
      <w:numFmt w:val="bullet"/>
      <w:lvlText w:val=""/>
      <w:lvlJc w:val="left"/>
      <w:pPr>
        <w:ind w:left="720" w:hanging="360"/>
      </w:pPr>
      <w:rPr>
        <w:rFonts w:ascii="Symbol" w:hAnsi="Symbol"/>
      </w:rPr>
    </w:lvl>
    <w:lvl w:ilvl="5" w:tplc="F68E5D8E">
      <w:start w:val="1"/>
      <w:numFmt w:val="bullet"/>
      <w:lvlText w:val=""/>
      <w:lvlJc w:val="left"/>
      <w:pPr>
        <w:ind w:left="720" w:hanging="360"/>
      </w:pPr>
      <w:rPr>
        <w:rFonts w:ascii="Symbol" w:hAnsi="Symbol"/>
      </w:rPr>
    </w:lvl>
    <w:lvl w:ilvl="6" w:tplc="64B6F416">
      <w:start w:val="1"/>
      <w:numFmt w:val="bullet"/>
      <w:lvlText w:val=""/>
      <w:lvlJc w:val="left"/>
      <w:pPr>
        <w:ind w:left="720" w:hanging="360"/>
      </w:pPr>
      <w:rPr>
        <w:rFonts w:ascii="Symbol" w:hAnsi="Symbol"/>
      </w:rPr>
    </w:lvl>
    <w:lvl w:ilvl="7" w:tplc="771A8630">
      <w:start w:val="1"/>
      <w:numFmt w:val="bullet"/>
      <w:lvlText w:val=""/>
      <w:lvlJc w:val="left"/>
      <w:pPr>
        <w:ind w:left="720" w:hanging="360"/>
      </w:pPr>
      <w:rPr>
        <w:rFonts w:ascii="Symbol" w:hAnsi="Symbol"/>
      </w:rPr>
    </w:lvl>
    <w:lvl w:ilvl="8" w:tplc="4AEEFF56">
      <w:start w:val="1"/>
      <w:numFmt w:val="bullet"/>
      <w:lvlText w:val=""/>
      <w:lvlJc w:val="left"/>
      <w:pPr>
        <w:ind w:left="720" w:hanging="360"/>
      </w:pPr>
      <w:rPr>
        <w:rFonts w:ascii="Symbol" w:hAnsi="Symbol"/>
      </w:rPr>
    </w:lvl>
  </w:abstractNum>
  <w:abstractNum w:abstractNumId="2" w15:restartNumberingAfterBreak="0">
    <w:nsid w:val="099F473E"/>
    <w:multiLevelType w:val="hybridMultilevel"/>
    <w:tmpl w:val="992E2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C226CA"/>
    <w:multiLevelType w:val="hybridMultilevel"/>
    <w:tmpl w:val="886E8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0B142D"/>
    <w:multiLevelType w:val="hybridMultilevel"/>
    <w:tmpl w:val="465C84FC"/>
    <w:lvl w:ilvl="0" w:tplc="4070755E">
      <w:start w:val="1"/>
      <w:numFmt w:val="decimal"/>
      <w:pStyle w:val="Figurelabel-numbered"/>
      <w:lvlText w:val="Figure %1."/>
      <w:lvlJc w:val="left"/>
      <w:pPr>
        <w:ind w:left="3054"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909DF"/>
    <w:multiLevelType w:val="hybridMultilevel"/>
    <w:tmpl w:val="95D6B0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BBA37CC"/>
    <w:multiLevelType w:val="hybridMultilevel"/>
    <w:tmpl w:val="B65A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003E98"/>
    <w:multiLevelType w:val="multilevel"/>
    <w:tmpl w:val="2BC48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56219B"/>
    <w:multiLevelType w:val="hybridMultilevel"/>
    <w:tmpl w:val="22B2584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49935521"/>
    <w:multiLevelType w:val="hybridMultilevel"/>
    <w:tmpl w:val="59846E1E"/>
    <w:lvl w:ilvl="0" w:tplc="05025CAC">
      <w:start w:val="1"/>
      <w:numFmt w:val="bullet"/>
      <w:lvlText w:val=""/>
      <w:lvlJc w:val="left"/>
      <w:pPr>
        <w:ind w:left="720" w:hanging="360"/>
      </w:pPr>
      <w:rPr>
        <w:rFonts w:ascii="Symbol" w:hAnsi="Symbol"/>
      </w:rPr>
    </w:lvl>
    <w:lvl w:ilvl="1" w:tplc="9FF60984">
      <w:start w:val="1"/>
      <w:numFmt w:val="bullet"/>
      <w:lvlText w:val=""/>
      <w:lvlJc w:val="left"/>
      <w:pPr>
        <w:ind w:left="720" w:hanging="360"/>
      </w:pPr>
      <w:rPr>
        <w:rFonts w:ascii="Symbol" w:hAnsi="Symbol"/>
      </w:rPr>
    </w:lvl>
    <w:lvl w:ilvl="2" w:tplc="8BE66B9E">
      <w:start w:val="1"/>
      <w:numFmt w:val="bullet"/>
      <w:lvlText w:val=""/>
      <w:lvlJc w:val="left"/>
      <w:pPr>
        <w:ind w:left="720" w:hanging="360"/>
      </w:pPr>
      <w:rPr>
        <w:rFonts w:ascii="Symbol" w:hAnsi="Symbol"/>
      </w:rPr>
    </w:lvl>
    <w:lvl w:ilvl="3" w:tplc="1A0A7BEA">
      <w:start w:val="1"/>
      <w:numFmt w:val="bullet"/>
      <w:lvlText w:val=""/>
      <w:lvlJc w:val="left"/>
      <w:pPr>
        <w:ind w:left="720" w:hanging="360"/>
      </w:pPr>
      <w:rPr>
        <w:rFonts w:ascii="Symbol" w:hAnsi="Symbol"/>
      </w:rPr>
    </w:lvl>
    <w:lvl w:ilvl="4" w:tplc="34C25AEA">
      <w:start w:val="1"/>
      <w:numFmt w:val="bullet"/>
      <w:lvlText w:val=""/>
      <w:lvlJc w:val="left"/>
      <w:pPr>
        <w:ind w:left="720" w:hanging="360"/>
      </w:pPr>
      <w:rPr>
        <w:rFonts w:ascii="Symbol" w:hAnsi="Symbol"/>
      </w:rPr>
    </w:lvl>
    <w:lvl w:ilvl="5" w:tplc="1ACA2540">
      <w:start w:val="1"/>
      <w:numFmt w:val="bullet"/>
      <w:lvlText w:val=""/>
      <w:lvlJc w:val="left"/>
      <w:pPr>
        <w:ind w:left="720" w:hanging="360"/>
      </w:pPr>
      <w:rPr>
        <w:rFonts w:ascii="Symbol" w:hAnsi="Symbol"/>
      </w:rPr>
    </w:lvl>
    <w:lvl w:ilvl="6" w:tplc="8892E1FE">
      <w:start w:val="1"/>
      <w:numFmt w:val="bullet"/>
      <w:lvlText w:val=""/>
      <w:lvlJc w:val="left"/>
      <w:pPr>
        <w:ind w:left="720" w:hanging="360"/>
      </w:pPr>
      <w:rPr>
        <w:rFonts w:ascii="Symbol" w:hAnsi="Symbol"/>
      </w:rPr>
    </w:lvl>
    <w:lvl w:ilvl="7" w:tplc="7AF0D7DA">
      <w:start w:val="1"/>
      <w:numFmt w:val="bullet"/>
      <w:lvlText w:val=""/>
      <w:lvlJc w:val="left"/>
      <w:pPr>
        <w:ind w:left="720" w:hanging="360"/>
      </w:pPr>
      <w:rPr>
        <w:rFonts w:ascii="Symbol" w:hAnsi="Symbol"/>
      </w:rPr>
    </w:lvl>
    <w:lvl w:ilvl="8" w:tplc="3E84E332">
      <w:start w:val="1"/>
      <w:numFmt w:val="bullet"/>
      <w:lvlText w:val=""/>
      <w:lvlJc w:val="left"/>
      <w:pPr>
        <w:ind w:left="720" w:hanging="360"/>
      </w:pPr>
      <w:rPr>
        <w:rFonts w:ascii="Symbol" w:hAnsi="Symbol"/>
      </w:rPr>
    </w:lvl>
  </w:abstractNum>
  <w:abstractNum w:abstractNumId="10" w15:restartNumberingAfterBreak="0">
    <w:nsid w:val="4B1A6FC8"/>
    <w:multiLevelType w:val="hybridMultilevel"/>
    <w:tmpl w:val="53A68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C0E0708"/>
    <w:multiLevelType w:val="hybridMultilevel"/>
    <w:tmpl w:val="F6D29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8C51440"/>
    <w:multiLevelType w:val="hybridMultilevel"/>
    <w:tmpl w:val="12CA4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EA56DF6"/>
    <w:multiLevelType w:val="multilevel"/>
    <w:tmpl w:val="5F12B8B4"/>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1288" w:hanging="720"/>
      </w:pPr>
      <w:rPr>
        <w:rFonts w:hint="default"/>
      </w:rPr>
    </w:lvl>
    <w:lvl w:ilvl="2">
      <w:start w:val="1"/>
      <w:numFmt w:val="decimal"/>
      <w:isLgl/>
      <w:lvlText w:val="%1.%2.%3"/>
      <w:lvlJc w:val="left"/>
      <w:pPr>
        <w:ind w:left="93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num w:numId="1">
    <w:abstractNumId w:val="13"/>
  </w:num>
  <w:num w:numId="2">
    <w:abstractNumId w:val="2"/>
  </w:num>
  <w:num w:numId="3">
    <w:abstractNumId w:val="0"/>
  </w:num>
  <w:num w:numId="4">
    <w:abstractNumId w:val="11"/>
  </w:num>
  <w:num w:numId="5">
    <w:abstractNumId w:val="10"/>
  </w:num>
  <w:num w:numId="6">
    <w:abstractNumId w:val="6"/>
  </w:num>
  <w:num w:numId="7">
    <w:abstractNumId w:val="12"/>
  </w:num>
  <w:num w:numId="8">
    <w:abstractNumId w:val="4"/>
  </w:num>
  <w:num w:numId="9">
    <w:abstractNumId w:val="3"/>
  </w:num>
  <w:num w:numId="10">
    <w:abstractNumId w:val="5"/>
  </w:num>
  <w:num w:numId="11">
    <w:abstractNumId w:val="8"/>
  </w:num>
  <w:num w:numId="12">
    <w:abstractNumId w:val="7"/>
  </w:num>
  <w:num w:numId="13">
    <w:abstractNumId w:val="1"/>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60273BA-7BBA-4812-A7A7-92D9E3929550"/>
    <w:docVar w:name="LW_COVERPAGE_TYPE" w:val="1"/>
    <w:docVar w:name="LW_CROSSREFERENCE" w:val="&lt;UNUSED&gt;"/>
    <w:docVar w:name="LW_DocType" w:val="NORMAL"/>
    <w:docVar w:name="LW_EMISSION" w:val="12.3.2024."/>
    <w:docVar w:name="LW_EMISSION_ISODATE" w:val="2024-03-12"/>
    <w:docVar w:name="LW_EMISSION_LOCATION" w:val="BRX"/>
    <w:docVar w:name="LW_EMISSION_PREFIX" w:val="Bruxelles, "/>
    <w:docVar w:name="LW_EMISSION_SUFFIX" w:val="&lt;EMPTY&gt;"/>
    <w:docVar w:name="LW_ID_DOCTYPE_NONLW" w:val="CP-006"/>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4) 1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 napretku u provedbi \u269?lanka 6. Mehanizma Unije za civilnu za\u353?titu&lt;/FMT&gt;_x000d__x000d__x000d__x000b_&lt;FMT:Bold&gt;(Odluka br. 1313/2012/EU)&lt;/FMT&gt;_x000d__x000d__x000d__x000d__x000d__x000d__x000d__x000d__x000d__x000d__x000d__x000d__x000b__x000d__x000d__x000d__x000d__x000d__x000d__x000d__x000d__x000d__x000d__x000d__x000b_&lt;FMT:Bold&gt;Prevencija i upravljanje rizicima od katastrofa u Europi&lt;/FMT&gt;_x000d__x000d__x000d__x000d__x000d__x000d__x000d__x000d__x000d__x000d__x000d__x000d__x000b__x000d__x000d__x000d__x000d__x000d__x000d__x000d__x000d__x000d__x000d__x000d__x000d__x000b_"/>
    <w:docVar w:name="LW_TYPE.DOC.CP" w:val="IZVJE\u352?\u262?E KOMISIJE EUROPSKOM PARLAMENTU I VIJE\u262?U"/>
    <w:docVar w:name="LwApiVersions" w:val="LW4CoDe 1.24.5.0; LW 9.0, Build 20240221"/>
  </w:docVars>
  <w:rsids>
    <w:rsidRoot w:val="00A72AB6"/>
    <w:rsid w:val="00000938"/>
    <w:rsid w:val="0000306C"/>
    <w:rsid w:val="00004F3E"/>
    <w:rsid w:val="00012087"/>
    <w:rsid w:val="00013D36"/>
    <w:rsid w:val="00013EA4"/>
    <w:rsid w:val="000156D7"/>
    <w:rsid w:val="000160FE"/>
    <w:rsid w:val="000174EB"/>
    <w:rsid w:val="000210B1"/>
    <w:rsid w:val="00022A32"/>
    <w:rsid w:val="00026D3A"/>
    <w:rsid w:val="00026FA2"/>
    <w:rsid w:val="00031861"/>
    <w:rsid w:val="00031E43"/>
    <w:rsid w:val="00033632"/>
    <w:rsid w:val="000348FE"/>
    <w:rsid w:val="000407CF"/>
    <w:rsid w:val="000409C4"/>
    <w:rsid w:val="00044C80"/>
    <w:rsid w:val="00045BB1"/>
    <w:rsid w:val="0004642F"/>
    <w:rsid w:val="0005083D"/>
    <w:rsid w:val="00050CD4"/>
    <w:rsid w:val="00051745"/>
    <w:rsid w:val="00054320"/>
    <w:rsid w:val="000549A0"/>
    <w:rsid w:val="00057347"/>
    <w:rsid w:val="00060472"/>
    <w:rsid w:val="00060C9C"/>
    <w:rsid w:val="00061838"/>
    <w:rsid w:val="00061F22"/>
    <w:rsid w:val="0006284B"/>
    <w:rsid w:val="000646B2"/>
    <w:rsid w:val="00065ACF"/>
    <w:rsid w:val="000667E6"/>
    <w:rsid w:val="00067CE6"/>
    <w:rsid w:val="00070DB3"/>
    <w:rsid w:val="000712B1"/>
    <w:rsid w:val="00071C7D"/>
    <w:rsid w:val="00071D71"/>
    <w:rsid w:val="00071FBC"/>
    <w:rsid w:val="00072EF2"/>
    <w:rsid w:val="00073E4C"/>
    <w:rsid w:val="0007472B"/>
    <w:rsid w:val="000755A0"/>
    <w:rsid w:val="00077DCE"/>
    <w:rsid w:val="00080809"/>
    <w:rsid w:val="00081957"/>
    <w:rsid w:val="00082385"/>
    <w:rsid w:val="00083276"/>
    <w:rsid w:val="00084946"/>
    <w:rsid w:val="000867FF"/>
    <w:rsid w:val="0009380E"/>
    <w:rsid w:val="00093F68"/>
    <w:rsid w:val="00094870"/>
    <w:rsid w:val="00095BD9"/>
    <w:rsid w:val="00097970"/>
    <w:rsid w:val="00097C91"/>
    <w:rsid w:val="000A1023"/>
    <w:rsid w:val="000A161F"/>
    <w:rsid w:val="000A385F"/>
    <w:rsid w:val="000A3DAE"/>
    <w:rsid w:val="000A4729"/>
    <w:rsid w:val="000A4ADC"/>
    <w:rsid w:val="000A4C01"/>
    <w:rsid w:val="000A556C"/>
    <w:rsid w:val="000A78EA"/>
    <w:rsid w:val="000A7D0B"/>
    <w:rsid w:val="000B0E29"/>
    <w:rsid w:val="000B1323"/>
    <w:rsid w:val="000B1738"/>
    <w:rsid w:val="000B1D9E"/>
    <w:rsid w:val="000B3329"/>
    <w:rsid w:val="000B3B98"/>
    <w:rsid w:val="000B4A48"/>
    <w:rsid w:val="000B5CC5"/>
    <w:rsid w:val="000B6DF3"/>
    <w:rsid w:val="000B7138"/>
    <w:rsid w:val="000B7B26"/>
    <w:rsid w:val="000C11B0"/>
    <w:rsid w:val="000C1B31"/>
    <w:rsid w:val="000C2E25"/>
    <w:rsid w:val="000C34A1"/>
    <w:rsid w:val="000C39D1"/>
    <w:rsid w:val="000C4C74"/>
    <w:rsid w:val="000C6705"/>
    <w:rsid w:val="000C6F69"/>
    <w:rsid w:val="000D0E97"/>
    <w:rsid w:val="000D4B19"/>
    <w:rsid w:val="000E1AB8"/>
    <w:rsid w:val="000E3B68"/>
    <w:rsid w:val="000E4108"/>
    <w:rsid w:val="000E434E"/>
    <w:rsid w:val="000E4F4F"/>
    <w:rsid w:val="000E5295"/>
    <w:rsid w:val="000E680C"/>
    <w:rsid w:val="000F199E"/>
    <w:rsid w:val="000F1F7D"/>
    <w:rsid w:val="000F2806"/>
    <w:rsid w:val="000F323B"/>
    <w:rsid w:val="000F337A"/>
    <w:rsid w:val="000F34FF"/>
    <w:rsid w:val="000F47EB"/>
    <w:rsid w:val="000F6DDA"/>
    <w:rsid w:val="00100874"/>
    <w:rsid w:val="00100FDC"/>
    <w:rsid w:val="001012C5"/>
    <w:rsid w:val="00103AA8"/>
    <w:rsid w:val="00103B5E"/>
    <w:rsid w:val="00104D00"/>
    <w:rsid w:val="001053E0"/>
    <w:rsid w:val="00106BB2"/>
    <w:rsid w:val="00106CA0"/>
    <w:rsid w:val="00106E84"/>
    <w:rsid w:val="001109AB"/>
    <w:rsid w:val="00110D5B"/>
    <w:rsid w:val="00110DF8"/>
    <w:rsid w:val="0011240E"/>
    <w:rsid w:val="001126BF"/>
    <w:rsid w:val="0011613D"/>
    <w:rsid w:val="00117E79"/>
    <w:rsid w:val="00121A98"/>
    <w:rsid w:val="00121F36"/>
    <w:rsid w:val="00122465"/>
    <w:rsid w:val="0012410A"/>
    <w:rsid w:val="001253EE"/>
    <w:rsid w:val="00125448"/>
    <w:rsid w:val="00125878"/>
    <w:rsid w:val="00125C1B"/>
    <w:rsid w:val="00126209"/>
    <w:rsid w:val="00130A00"/>
    <w:rsid w:val="00131997"/>
    <w:rsid w:val="00131B4B"/>
    <w:rsid w:val="00132B25"/>
    <w:rsid w:val="00134A32"/>
    <w:rsid w:val="001356D2"/>
    <w:rsid w:val="00136494"/>
    <w:rsid w:val="00137D28"/>
    <w:rsid w:val="00141D30"/>
    <w:rsid w:val="0014273B"/>
    <w:rsid w:val="001433A7"/>
    <w:rsid w:val="00144A0B"/>
    <w:rsid w:val="00145579"/>
    <w:rsid w:val="00145DE6"/>
    <w:rsid w:val="00145F0E"/>
    <w:rsid w:val="00147A2C"/>
    <w:rsid w:val="00150580"/>
    <w:rsid w:val="00150A41"/>
    <w:rsid w:val="00152C1D"/>
    <w:rsid w:val="00163A3B"/>
    <w:rsid w:val="0016571E"/>
    <w:rsid w:val="00165D15"/>
    <w:rsid w:val="00165E59"/>
    <w:rsid w:val="0016766F"/>
    <w:rsid w:val="00167831"/>
    <w:rsid w:val="00170D30"/>
    <w:rsid w:val="00171282"/>
    <w:rsid w:val="00172951"/>
    <w:rsid w:val="00173D7B"/>
    <w:rsid w:val="001747FA"/>
    <w:rsid w:val="00175580"/>
    <w:rsid w:val="00175E23"/>
    <w:rsid w:val="0018069F"/>
    <w:rsid w:val="0018078B"/>
    <w:rsid w:val="00181B7D"/>
    <w:rsid w:val="0018248F"/>
    <w:rsid w:val="001825DA"/>
    <w:rsid w:val="00182A87"/>
    <w:rsid w:val="00183189"/>
    <w:rsid w:val="001833B8"/>
    <w:rsid w:val="00184F70"/>
    <w:rsid w:val="001853A6"/>
    <w:rsid w:val="0018571D"/>
    <w:rsid w:val="001859DB"/>
    <w:rsid w:val="00186167"/>
    <w:rsid w:val="0018724E"/>
    <w:rsid w:val="00187A75"/>
    <w:rsid w:val="00193633"/>
    <w:rsid w:val="00193876"/>
    <w:rsid w:val="00194CFF"/>
    <w:rsid w:val="00195762"/>
    <w:rsid w:val="001A454B"/>
    <w:rsid w:val="001A648E"/>
    <w:rsid w:val="001A756F"/>
    <w:rsid w:val="001B2BF3"/>
    <w:rsid w:val="001B2CF1"/>
    <w:rsid w:val="001B3EE4"/>
    <w:rsid w:val="001B4056"/>
    <w:rsid w:val="001B536C"/>
    <w:rsid w:val="001B549E"/>
    <w:rsid w:val="001B5D88"/>
    <w:rsid w:val="001B69B3"/>
    <w:rsid w:val="001B701E"/>
    <w:rsid w:val="001B7777"/>
    <w:rsid w:val="001B793E"/>
    <w:rsid w:val="001B7E7A"/>
    <w:rsid w:val="001C0F69"/>
    <w:rsid w:val="001C22ED"/>
    <w:rsid w:val="001C308C"/>
    <w:rsid w:val="001C3F23"/>
    <w:rsid w:val="001D1113"/>
    <w:rsid w:val="001D28DD"/>
    <w:rsid w:val="001D29D0"/>
    <w:rsid w:val="001D2EC9"/>
    <w:rsid w:val="001D5177"/>
    <w:rsid w:val="001E224F"/>
    <w:rsid w:val="001E36FA"/>
    <w:rsid w:val="001E6744"/>
    <w:rsid w:val="001E687B"/>
    <w:rsid w:val="001E753F"/>
    <w:rsid w:val="001E76E4"/>
    <w:rsid w:val="001F0678"/>
    <w:rsid w:val="001F3D72"/>
    <w:rsid w:val="001F3EDD"/>
    <w:rsid w:val="001F5BED"/>
    <w:rsid w:val="002005C1"/>
    <w:rsid w:val="00200810"/>
    <w:rsid w:val="00200FE9"/>
    <w:rsid w:val="00202204"/>
    <w:rsid w:val="00202DF2"/>
    <w:rsid w:val="0020391C"/>
    <w:rsid w:val="00205E66"/>
    <w:rsid w:val="002066EE"/>
    <w:rsid w:val="00206B9D"/>
    <w:rsid w:val="00206F29"/>
    <w:rsid w:val="002073B8"/>
    <w:rsid w:val="002121E0"/>
    <w:rsid w:val="00212CAC"/>
    <w:rsid w:val="0021470E"/>
    <w:rsid w:val="00214B51"/>
    <w:rsid w:val="002153D0"/>
    <w:rsid w:val="002169C6"/>
    <w:rsid w:val="002212EA"/>
    <w:rsid w:val="0022244E"/>
    <w:rsid w:val="00222597"/>
    <w:rsid w:val="00222DBE"/>
    <w:rsid w:val="00224EE2"/>
    <w:rsid w:val="00224F9F"/>
    <w:rsid w:val="00225A73"/>
    <w:rsid w:val="002261DF"/>
    <w:rsid w:val="00231629"/>
    <w:rsid w:val="00231E6F"/>
    <w:rsid w:val="002325D3"/>
    <w:rsid w:val="002337A8"/>
    <w:rsid w:val="002353F0"/>
    <w:rsid w:val="002359A0"/>
    <w:rsid w:val="00236219"/>
    <w:rsid w:val="00236461"/>
    <w:rsid w:val="0023683E"/>
    <w:rsid w:val="00236A23"/>
    <w:rsid w:val="00237F94"/>
    <w:rsid w:val="00244299"/>
    <w:rsid w:val="00245D5C"/>
    <w:rsid w:val="00247AB5"/>
    <w:rsid w:val="00250DB4"/>
    <w:rsid w:val="00250FC4"/>
    <w:rsid w:val="0025147E"/>
    <w:rsid w:val="00251730"/>
    <w:rsid w:val="0025203A"/>
    <w:rsid w:val="00252A85"/>
    <w:rsid w:val="00254EEE"/>
    <w:rsid w:val="00254F81"/>
    <w:rsid w:val="00256143"/>
    <w:rsid w:val="00256C76"/>
    <w:rsid w:val="00257EAE"/>
    <w:rsid w:val="00262FF1"/>
    <w:rsid w:val="002644DB"/>
    <w:rsid w:val="0026549E"/>
    <w:rsid w:val="00270094"/>
    <w:rsid w:val="00271A01"/>
    <w:rsid w:val="002744D2"/>
    <w:rsid w:val="00275E70"/>
    <w:rsid w:val="00277715"/>
    <w:rsid w:val="00277E86"/>
    <w:rsid w:val="002802D7"/>
    <w:rsid w:val="00284B63"/>
    <w:rsid w:val="002860B3"/>
    <w:rsid w:val="0028792A"/>
    <w:rsid w:val="00290642"/>
    <w:rsid w:val="002919DE"/>
    <w:rsid w:val="002941AB"/>
    <w:rsid w:val="002948E2"/>
    <w:rsid w:val="00294B83"/>
    <w:rsid w:val="00297883"/>
    <w:rsid w:val="002A106A"/>
    <w:rsid w:val="002A24C9"/>
    <w:rsid w:val="002A3D77"/>
    <w:rsid w:val="002A63D6"/>
    <w:rsid w:val="002A769A"/>
    <w:rsid w:val="002A7B41"/>
    <w:rsid w:val="002B0445"/>
    <w:rsid w:val="002B122C"/>
    <w:rsid w:val="002B29DA"/>
    <w:rsid w:val="002B3361"/>
    <w:rsid w:val="002B358F"/>
    <w:rsid w:val="002B7245"/>
    <w:rsid w:val="002C09C0"/>
    <w:rsid w:val="002C3B0F"/>
    <w:rsid w:val="002C4818"/>
    <w:rsid w:val="002C485E"/>
    <w:rsid w:val="002C68D5"/>
    <w:rsid w:val="002C743A"/>
    <w:rsid w:val="002D34FB"/>
    <w:rsid w:val="002D5C3B"/>
    <w:rsid w:val="002D5CBC"/>
    <w:rsid w:val="002D676E"/>
    <w:rsid w:val="002E0191"/>
    <w:rsid w:val="002E2F13"/>
    <w:rsid w:val="002E4404"/>
    <w:rsid w:val="002E6100"/>
    <w:rsid w:val="002E7683"/>
    <w:rsid w:val="002F047A"/>
    <w:rsid w:val="002F1DFA"/>
    <w:rsid w:val="002F31CD"/>
    <w:rsid w:val="002F6313"/>
    <w:rsid w:val="003000E3"/>
    <w:rsid w:val="00300467"/>
    <w:rsid w:val="00300D98"/>
    <w:rsid w:val="0030182A"/>
    <w:rsid w:val="0030201A"/>
    <w:rsid w:val="00303529"/>
    <w:rsid w:val="003064C2"/>
    <w:rsid w:val="003067FE"/>
    <w:rsid w:val="00306E0B"/>
    <w:rsid w:val="00307605"/>
    <w:rsid w:val="00307AD1"/>
    <w:rsid w:val="00310462"/>
    <w:rsid w:val="00310CD8"/>
    <w:rsid w:val="00311A5E"/>
    <w:rsid w:val="003155E5"/>
    <w:rsid w:val="003173CE"/>
    <w:rsid w:val="00322378"/>
    <w:rsid w:val="0032337D"/>
    <w:rsid w:val="0032439E"/>
    <w:rsid w:val="00324B5F"/>
    <w:rsid w:val="00324EF2"/>
    <w:rsid w:val="0032766B"/>
    <w:rsid w:val="00327A3B"/>
    <w:rsid w:val="00332C46"/>
    <w:rsid w:val="00333476"/>
    <w:rsid w:val="0033422C"/>
    <w:rsid w:val="00334408"/>
    <w:rsid w:val="00334A49"/>
    <w:rsid w:val="00335DDD"/>
    <w:rsid w:val="00336BE7"/>
    <w:rsid w:val="00337447"/>
    <w:rsid w:val="00337AE6"/>
    <w:rsid w:val="00340F36"/>
    <w:rsid w:val="0034308E"/>
    <w:rsid w:val="00344EA0"/>
    <w:rsid w:val="00345E1A"/>
    <w:rsid w:val="00346CF0"/>
    <w:rsid w:val="00351408"/>
    <w:rsid w:val="00353039"/>
    <w:rsid w:val="00356255"/>
    <w:rsid w:val="0035706E"/>
    <w:rsid w:val="003574E9"/>
    <w:rsid w:val="00357773"/>
    <w:rsid w:val="00361BC6"/>
    <w:rsid w:val="003631B6"/>
    <w:rsid w:val="00364FA3"/>
    <w:rsid w:val="00365747"/>
    <w:rsid w:val="0036589A"/>
    <w:rsid w:val="00365CC3"/>
    <w:rsid w:val="003662FE"/>
    <w:rsid w:val="00367769"/>
    <w:rsid w:val="003723F7"/>
    <w:rsid w:val="00372F8C"/>
    <w:rsid w:val="0037535E"/>
    <w:rsid w:val="003759B6"/>
    <w:rsid w:val="00375A54"/>
    <w:rsid w:val="00375ACA"/>
    <w:rsid w:val="003765E1"/>
    <w:rsid w:val="00376B87"/>
    <w:rsid w:val="00376BC2"/>
    <w:rsid w:val="00376D22"/>
    <w:rsid w:val="00377FF1"/>
    <w:rsid w:val="00380799"/>
    <w:rsid w:val="00383C6F"/>
    <w:rsid w:val="00386CEA"/>
    <w:rsid w:val="003870E9"/>
    <w:rsid w:val="003917D8"/>
    <w:rsid w:val="00392128"/>
    <w:rsid w:val="003932F8"/>
    <w:rsid w:val="003937F1"/>
    <w:rsid w:val="003939C6"/>
    <w:rsid w:val="003950AE"/>
    <w:rsid w:val="00395463"/>
    <w:rsid w:val="00397426"/>
    <w:rsid w:val="00397865"/>
    <w:rsid w:val="003A0A00"/>
    <w:rsid w:val="003A177D"/>
    <w:rsid w:val="003A2068"/>
    <w:rsid w:val="003A309A"/>
    <w:rsid w:val="003A3E7D"/>
    <w:rsid w:val="003A4F98"/>
    <w:rsid w:val="003A5AB5"/>
    <w:rsid w:val="003A6479"/>
    <w:rsid w:val="003B19B6"/>
    <w:rsid w:val="003B4F43"/>
    <w:rsid w:val="003B53D3"/>
    <w:rsid w:val="003B792A"/>
    <w:rsid w:val="003C39E9"/>
    <w:rsid w:val="003C3E33"/>
    <w:rsid w:val="003C5284"/>
    <w:rsid w:val="003C562B"/>
    <w:rsid w:val="003C5DDF"/>
    <w:rsid w:val="003C69F4"/>
    <w:rsid w:val="003C6FF2"/>
    <w:rsid w:val="003C71AE"/>
    <w:rsid w:val="003C722D"/>
    <w:rsid w:val="003D23D7"/>
    <w:rsid w:val="003D276E"/>
    <w:rsid w:val="003D2A48"/>
    <w:rsid w:val="003D2AE9"/>
    <w:rsid w:val="003D3E8E"/>
    <w:rsid w:val="003D4859"/>
    <w:rsid w:val="003D4A88"/>
    <w:rsid w:val="003D5C64"/>
    <w:rsid w:val="003D6CFB"/>
    <w:rsid w:val="003D6E59"/>
    <w:rsid w:val="003E1F92"/>
    <w:rsid w:val="003E2501"/>
    <w:rsid w:val="003E42CB"/>
    <w:rsid w:val="003E45F2"/>
    <w:rsid w:val="003E5077"/>
    <w:rsid w:val="003E7BAD"/>
    <w:rsid w:val="003F1DBC"/>
    <w:rsid w:val="003F254D"/>
    <w:rsid w:val="003F3842"/>
    <w:rsid w:val="003F5537"/>
    <w:rsid w:val="003F79FE"/>
    <w:rsid w:val="00401509"/>
    <w:rsid w:val="00401539"/>
    <w:rsid w:val="0040234F"/>
    <w:rsid w:val="004035AC"/>
    <w:rsid w:val="00403C41"/>
    <w:rsid w:val="0040443D"/>
    <w:rsid w:val="0040506C"/>
    <w:rsid w:val="00407FFA"/>
    <w:rsid w:val="00411884"/>
    <w:rsid w:val="00413181"/>
    <w:rsid w:val="0041351B"/>
    <w:rsid w:val="00413599"/>
    <w:rsid w:val="00415C5B"/>
    <w:rsid w:val="0041621C"/>
    <w:rsid w:val="00417380"/>
    <w:rsid w:val="0042061F"/>
    <w:rsid w:val="00421D32"/>
    <w:rsid w:val="00422A19"/>
    <w:rsid w:val="00423F3D"/>
    <w:rsid w:val="00424642"/>
    <w:rsid w:val="00426005"/>
    <w:rsid w:val="00433939"/>
    <w:rsid w:val="00433ED7"/>
    <w:rsid w:val="004402AF"/>
    <w:rsid w:val="0044541F"/>
    <w:rsid w:val="00446F4C"/>
    <w:rsid w:val="0044741B"/>
    <w:rsid w:val="00450E2B"/>
    <w:rsid w:val="00454540"/>
    <w:rsid w:val="004546DF"/>
    <w:rsid w:val="00454F5F"/>
    <w:rsid w:val="00460A24"/>
    <w:rsid w:val="00461586"/>
    <w:rsid w:val="0046168A"/>
    <w:rsid w:val="00461714"/>
    <w:rsid w:val="00461771"/>
    <w:rsid w:val="00461BE4"/>
    <w:rsid w:val="004625D6"/>
    <w:rsid w:val="004673BE"/>
    <w:rsid w:val="00470752"/>
    <w:rsid w:val="00471688"/>
    <w:rsid w:val="00473A59"/>
    <w:rsid w:val="0048015C"/>
    <w:rsid w:val="00482F70"/>
    <w:rsid w:val="0048462F"/>
    <w:rsid w:val="004848C6"/>
    <w:rsid w:val="004862F5"/>
    <w:rsid w:val="00490194"/>
    <w:rsid w:val="00491169"/>
    <w:rsid w:val="00491DE8"/>
    <w:rsid w:val="00492A23"/>
    <w:rsid w:val="00494499"/>
    <w:rsid w:val="0049475D"/>
    <w:rsid w:val="004958C6"/>
    <w:rsid w:val="004959BA"/>
    <w:rsid w:val="004A02B0"/>
    <w:rsid w:val="004A0E49"/>
    <w:rsid w:val="004A22F1"/>
    <w:rsid w:val="004A354A"/>
    <w:rsid w:val="004A387C"/>
    <w:rsid w:val="004A4567"/>
    <w:rsid w:val="004A5BFF"/>
    <w:rsid w:val="004A6199"/>
    <w:rsid w:val="004B2266"/>
    <w:rsid w:val="004B2372"/>
    <w:rsid w:val="004B2882"/>
    <w:rsid w:val="004B3E88"/>
    <w:rsid w:val="004B4DFE"/>
    <w:rsid w:val="004B579C"/>
    <w:rsid w:val="004B5D4A"/>
    <w:rsid w:val="004B5F38"/>
    <w:rsid w:val="004B7093"/>
    <w:rsid w:val="004B7494"/>
    <w:rsid w:val="004B7613"/>
    <w:rsid w:val="004C023A"/>
    <w:rsid w:val="004C3AA8"/>
    <w:rsid w:val="004C4A4F"/>
    <w:rsid w:val="004C6E55"/>
    <w:rsid w:val="004D4140"/>
    <w:rsid w:val="004D4913"/>
    <w:rsid w:val="004D5214"/>
    <w:rsid w:val="004E17FD"/>
    <w:rsid w:val="004E2C26"/>
    <w:rsid w:val="004E4A69"/>
    <w:rsid w:val="004E6669"/>
    <w:rsid w:val="004E7384"/>
    <w:rsid w:val="004F0464"/>
    <w:rsid w:val="004F0FA9"/>
    <w:rsid w:val="004F458B"/>
    <w:rsid w:val="004F47B6"/>
    <w:rsid w:val="004F4FE7"/>
    <w:rsid w:val="004F6902"/>
    <w:rsid w:val="004F75FA"/>
    <w:rsid w:val="004F778D"/>
    <w:rsid w:val="004F792C"/>
    <w:rsid w:val="005014AC"/>
    <w:rsid w:val="0050215C"/>
    <w:rsid w:val="0050459D"/>
    <w:rsid w:val="0050582B"/>
    <w:rsid w:val="0050790B"/>
    <w:rsid w:val="00511ED0"/>
    <w:rsid w:val="00512077"/>
    <w:rsid w:val="0051260A"/>
    <w:rsid w:val="00514BB6"/>
    <w:rsid w:val="00517B22"/>
    <w:rsid w:val="0052089B"/>
    <w:rsid w:val="00522D7B"/>
    <w:rsid w:val="00523242"/>
    <w:rsid w:val="005233B2"/>
    <w:rsid w:val="00523DD6"/>
    <w:rsid w:val="00524D5F"/>
    <w:rsid w:val="00525E3D"/>
    <w:rsid w:val="00527E85"/>
    <w:rsid w:val="005309A0"/>
    <w:rsid w:val="00531F13"/>
    <w:rsid w:val="0053280A"/>
    <w:rsid w:val="00532F8F"/>
    <w:rsid w:val="005334C2"/>
    <w:rsid w:val="005336FC"/>
    <w:rsid w:val="00533F03"/>
    <w:rsid w:val="0053482D"/>
    <w:rsid w:val="005348F8"/>
    <w:rsid w:val="00534BFC"/>
    <w:rsid w:val="0053522D"/>
    <w:rsid w:val="00535A01"/>
    <w:rsid w:val="005375D1"/>
    <w:rsid w:val="00540137"/>
    <w:rsid w:val="005435F4"/>
    <w:rsid w:val="00544334"/>
    <w:rsid w:val="00544EB2"/>
    <w:rsid w:val="005455FF"/>
    <w:rsid w:val="00545DBC"/>
    <w:rsid w:val="00546975"/>
    <w:rsid w:val="00546B86"/>
    <w:rsid w:val="00547965"/>
    <w:rsid w:val="00547C6E"/>
    <w:rsid w:val="00550081"/>
    <w:rsid w:val="005514EA"/>
    <w:rsid w:val="00551AD4"/>
    <w:rsid w:val="00553FF7"/>
    <w:rsid w:val="005556D0"/>
    <w:rsid w:val="00555B52"/>
    <w:rsid w:val="00556106"/>
    <w:rsid w:val="00557298"/>
    <w:rsid w:val="005617A8"/>
    <w:rsid w:val="00563932"/>
    <w:rsid w:val="005666B5"/>
    <w:rsid w:val="00567163"/>
    <w:rsid w:val="005675B5"/>
    <w:rsid w:val="005747CC"/>
    <w:rsid w:val="00575080"/>
    <w:rsid w:val="00575F8D"/>
    <w:rsid w:val="00575FE3"/>
    <w:rsid w:val="00576C64"/>
    <w:rsid w:val="005770EF"/>
    <w:rsid w:val="0057744C"/>
    <w:rsid w:val="0057747E"/>
    <w:rsid w:val="00580445"/>
    <w:rsid w:val="00580E3E"/>
    <w:rsid w:val="00582B38"/>
    <w:rsid w:val="00582F14"/>
    <w:rsid w:val="00583073"/>
    <w:rsid w:val="00583535"/>
    <w:rsid w:val="00584DB1"/>
    <w:rsid w:val="00585809"/>
    <w:rsid w:val="00585E5A"/>
    <w:rsid w:val="00586647"/>
    <w:rsid w:val="00590922"/>
    <w:rsid w:val="00591E48"/>
    <w:rsid w:val="00593E5D"/>
    <w:rsid w:val="00595AA8"/>
    <w:rsid w:val="00596990"/>
    <w:rsid w:val="00597605"/>
    <w:rsid w:val="005A1ACA"/>
    <w:rsid w:val="005A2154"/>
    <w:rsid w:val="005A3886"/>
    <w:rsid w:val="005A4651"/>
    <w:rsid w:val="005A509F"/>
    <w:rsid w:val="005A582B"/>
    <w:rsid w:val="005A7AA4"/>
    <w:rsid w:val="005B08AE"/>
    <w:rsid w:val="005B271D"/>
    <w:rsid w:val="005B3BB9"/>
    <w:rsid w:val="005B48DD"/>
    <w:rsid w:val="005B4A00"/>
    <w:rsid w:val="005B50A6"/>
    <w:rsid w:val="005B5151"/>
    <w:rsid w:val="005B5374"/>
    <w:rsid w:val="005C0970"/>
    <w:rsid w:val="005C0E3C"/>
    <w:rsid w:val="005C1988"/>
    <w:rsid w:val="005C2932"/>
    <w:rsid w:val="005C2C97"/>
    <w:rsid w:val="005C3588"/>
    <w:rsid w:val="005C549F"/>
    <w:rsid w:val="005C61A4"/>
    <w:rsid w:val="005C66AA"/>
    <w:rsid w:val="005C7503"/>
    <w:rsid w:val="005C7A10"/>
    <w:rsid w:val="005D0A34"/>
    <w:rsid w:val="005D1C45"/>
    <w:rsid w:val="005D1CBD"/>
    <w:rsid w:val="005D1FF1"/>
    <w:rsid w:val="005D436F"/>
    <w:rsid w:val="005D4629"/>
    <w:rsid w:val="005D5019"/>
    <w:rsid w:val="005D6326"/>
    <w:rsid w:val="005D7F7F"/>
    <w:rsid w:val="005E0074"/>
    <w:rsid w:val="005E091A"/>
    <w:rsid w:val="005E2780"/>
    <w:rsid w:val="005E3750"/>
    <w:rsid w:val="005E3BEE"/>
    <w:rsid w:val="005E460E"/>
    <w:rsid w:val="005E4706"/>
    <w:rsid w:val="005E4846"/>
    <w:rsid w:val="005E4FD6"/>
    <w:rsid w:val="005E6537"/>
    <w:rsid w:val="005E6E64"/>
    <w:rsid w:val="005F1E36"/>
    <w:rsid w:val="005F2D38"/>
    <w:rsid w:val="005F3DEF"/>
    <w:rsid w:val="005F5842"/>
    <w:rsid w:val="005F703A"/>
    <w:rsid w:val="005F72B8"/>
    <w:rsid w:val="005F7533"/>
    <w:rsid w:val="006008CE"/>
    <w:rsid w:val="00601E07"/>
    <w:rsid w:val="00603487"/>
    <w:rsid w:val="006039AD"/>
    <w:rsid w:val="00604671"/>
    <w:rsid w:val="00604FE9"/>
    <w:rsid w:val="00607CA8"/>
    <w:rsid w:val="0061007A"/>
    <w:rsid w:val="00611B2F"/>
    <w:rsid w:val="00611CE6"/>
    <w:rsid w:val="0061250E"/>
    <w:rsid w:val="00612969"/>
    <w:rsid w:val="00612C6C"/>
    <w:rsid w:val="006134DA"/>
    <w:rsid w:val="00615653"/>
    <w:rsid w:val="006161A1"/>
    <w:rsid w:val="006230AA"/>
    <w:rsid w:val="006234EF"/>
    <w:rsid w:val="006278D0"/>
    <w:rsid w:val="00632703"/>
    <w:rsid w:val="0063386D"/>
    <w:rsid w:val="00634A1C"/>
    <w:rsid w:val="00636048"/>
    <w:rsid w:val="00641783"/>
    <w:rsid w:val="00645181"/>
    <w:rsid w:val="0064626A"/>
    <w:rsid w:val="00647438"/>
    <w:rsid w:val="006521D1"/>
    <w:rsid w:val="00654800"/>
    <w:rsid w:val="00660BBA"/>
    <w:rsid w:val="006614BC"/>
    <w:rsid w:val="00661B17"/>
    <w:rsid w:val="00663E37"/>
    <w:rsid w:val="006654A3"/>
    <w:rsid w:val="00666BF2"/>
    <w:rsid w:val="00671625"/>
    <w:rsid w:val="00671FAD"/>
    <w:rsid w:val="00674F94"/>
    <w:rsid w:val="00676086"/>
    <w:rsid w:val="006808BB"/>
    <w:rsid w:val="00681C80"/>
    <w:rsid w:val="00681DC5"/>
    <w:rsid w:val="006855C4"/>
    <w:rsid w:val="00686604"/>
    <w:rsid w:val="006928C5"/>
    <w:rsid w:val="00692BF4"/>
    <w:rsid w:val="006951BB"/>
    <w:rsid w:val="00695FBB"/>
    <w:rsid w:val="0069673E"/>
    <w:rsid w:val="00696D76"/>
    <w:rsid w:val="00697555"/>
    <w:rsid w:val="006A052E"/>
    <w:rsid w:val="006A33D7"/>
    <w:rsid w:val="006A4F1B"/>
    <w:rsid w:val="006A72BC"/>
    <w:rsid w:val="006B163B"/>
    <w:rsid w:val="006B1B1E"/>
    <w:rsid w:val="006B1D4C"/>
    <w:rsid w:val="006B2155"/>
    <w:rsid w:val="006B22DE"/>
    <w:rsid w:val="006B58EE"/>
    <w:rsid w:val="006B60F3"/>
    <w:rsid w:val="006B6B66"/>
    <w:rsid w:val="006B7B05"/>
    <w:rsid w:val="006B7F54"/>
    <w:rsid w:val="006C0CD6"/>
    <w:rsid w:val="006C3FA7"/>
    <w:rsid w:val="006C6427"/>
    <w:rsid w:val="006C6CA8"/>
    <w:rsid w:val="006D002B"/>
    <w:rsid w:val="006D2D4F"/>
    <w:rsid w:val="006D32B0"/>
    <w:rsid w:val="006D5568"/>
    <w:rsid w:val="006D70A6"/>
    <w:rsid w:val="006D7E70"/>
    <w:rsid w:val="006E191E"/>
    <w:rsid w:val="006E3E8D"/>
    <w:rsid w:val="006E4BF9"/>
    <w:rsid w:val="006E7D92"/>
    <w:rsid w:val="006F01C0"/>
    <w:rsid w:val="006F08C3"/>
    <w:rsid w:val="006F10CB"/>
    <w:rsid w:val="006F14F5"/>
    <w:rsid w:val="006F170C"/>
    <w:rsid w:val="006F1B36"/>
    <w:rsid w:val="006F20E8"/>
    <w:rsid w:val="006F35C7"/>
    <w:rsid w:val="006F658D"/>
    <w:rsid w:val="006F6BD1"/>
    <w:rsid w:val="006F6F4D"/>
    <w:rsid w:val="007012E0"/>
    <w:rsid w:val="0070252A"/>
    <w:rsid w:val="007036FE"/>
    <w:rsid w:val="00704380"/>
    <w:rsid w:val="00706FFC"/>
    <w:rsid w:val="0070767C"/>
    <w:rsid w:val="007127ED"/>
    <w:rsid w:val="0071395C"/>
    <w:rsid w:val="00714400"/>
    <w:rsid w:val="00716C24"/>
    <w:rsid w:val="007261C1"/>
    <w:rsid w:val="00727661"/>
    <w:rsid w:val="007315A6"/>
    <w:rsid w:val="007329EC"/>
    <w:rsid w:val="007332BE"/>
    <w:rsid w:val="00733454"/>
    <w:rsid w:val="007344A8"/>
    <w:rsid w:val="007346BA"/>
    <w:rsid w:val="00734AD8"/>
    <w:rsid w:val="007354FD"/>
    <w:rsid w:val="00736C85"/>
    <w:rsid w:val="007402F6"/>
    <w:rsid w:val="00740566"/>
    <w:rsid w:val="007419CF"/>
    <w:rsid w:val="00742E3A"/>
    <w:rsid w:val="00744321"/>
    <w:rsid w:val="007459C7"/>
    <w:rsid w:val="00746379"/>
    <w:rsid w:val="0075126D"/>
    <w:rsid w:val="00751EBE"/>
    <w:rsid w:val="0075305C"/>
    <w:rsid w:val="007531C5"/>
    <w:rsid w:val="00755057"/>
    <w:rsid w:val="00755886"/>
    <w:rsid w:val="007604D9"/>
    <w:rsid w:val="0076093D"/>
    <w:rsid w:val="00760953"/>
    <w:rsid w:val="00763377"/>
    <w:rsid w:val="007639FA"/>
    <w:rsid w:val="00766BD9"/>
    <w:rsid w:val="00767108"/>
    <w:rsid w:val="007678A7"/>
    <w:rsid w:val="00767F7D"/>
    <w:rsid w:val="0077349B"/>
    <w:rsid w:val="00775071"/>
    <w:rsid w:val="00776AF8"/>
    <w:rsid w:val="00776D13"/>
    <w:rsid w:val="0077769F"/>
    <w:rsid w:val="007778E3"/>
    <w:rsid w:val="00777963"/>
    <w:rsid w:val="00784856"/>
    <w:rsid w:val="00786F62"/>
    <w:rsid w:val="00791BA9"/>
    <w:rsid w:val="007937FC"/>
    <w:rsid w:val="007943E2"/>
    <w:rsid w:val="007945EF"/>
    <w:rsid w:val="007949CD"/>
    <w:rsid w:val="00794DCA"/>
    <w:rsid w:val="00795351"/>
    <w:rsid w:val="00797C83"/>
    <w:rsid w:val="007A13CD"/>
    <w:rsid w:val="007A7DF0"/>
    <w:rsid w:val="007B14A3"/>
    <w:rsid w:val="007B25CC"/>
    <w:rsid w:val="007B433C"/>
    <w:rsid w:val="007B4C79"/>
    <w:rsid w:val="007B5FE7"/>
    <w:rsid w:val="007B75BF"/>
    <w:rsid w:val="007B7683"/>
    <w:rsid w:val="007B7742"/>
    <w:rsid w:val="007B7770"/>
    <w:rsid w:val="007B7828"/>
    <w:rsid w:val="007C01E9"/>
    <w:rsid w:val="007C08D4"/>
    <w:rsid w:val="007C0BD2"/>
    <w:rsid w:val="007C2CFB"/>
    <w:rsid w:val="007C3D4F"/>
    <w:rsid w:val="007C4906"/>
    <w:rsid w:val="007D007A"/>
    <w:rsid w:val="007D08EE"/>
    <w:rsid w:val="007D09D5"/>
    <w:rsid w:val="007D3925"/>
    <w:rsid w:val="007D40B6"/>
    <w:rsid w:val="007D50B7"/>
    <w:rsid w:val="007D6821"/>
    <w:rsid w:val="007D6CB4"/>
    <w:rsid w:val="007E1DF6"/>
    <w:rsid w:val="007E2250"/>
    <w:rsid w:val="007E3A97"/>
    <w:rsid w:val="007E47CE"/>
    <w:rsid w:val="007E5256"/>
    <w:rsid w:val="007F0152"/>
    <w:rsid w:val="007F0A8D"/>
    <w:rsid w:val="007F21CE"/>
    <w:rsid w:val="007F3094"/>
    <w:rsid w:val="007F39D8"/>
    <w:rsid w:val="007F3A50"/>
    <w:rsid w:val="007F3CE9"/>
    <w:rsid w:val="007F4D13"/>
    <w:rsid w:val="007F58CA"/>
    <w:rsid w:val="007F6B3B"/>
    <w:rsid w:val="007F6C4A"/>
    <w:rsid w:val="00801196"/>
    <w:rsid w:val="00802059"/>
    <w:rsid w:val="0080267B"/>
    <w:rsid w:val="00804330"/>
    <w:rsid w:val="00805D03"/>
    <w:rsid w:val="0081005D"/>
    <w:rsid w:val="00811355"/>
    <w:rsid w:val="00811CC3"/>
    <w:rsid w:val="0081256E"/>
    <w:rsid w:val="00812FE1"/>
    <w:rsid w:val="008147EB"/>
    <w:rsid w:val="00814B75"/>
    <w:rsid w:val="008167FC"/>
    <w:rsid w:val="00820047"/>
    <w:rsid w:val="0082161B"/>
    <w:rsid w:val="0082198D"/>
    <w:rsid w:val="00821BB4"/>
    <w:rsid w:val="008224E0"/>
    <w:rsid w:val="00823802"/>
    <w:rsid w:val="008239D8"/>
    <w:rsid w:val="00824238"/>
    <w:rsid w:val="008263B4"/>
    <w:rsid w:val="00826CA3"/>
    <w:rsid w:val="00826E07"/>
    <w:rsid w:val="00830016"/>
    <w:rsid w:val="00830167"/>
    <w:rsid w:val="00830425"/>
    <w:rsid w:val="00830A70"/>
    <w:rsid w:val="00830F11"/>
    <w:rsid w:val="00833188"/>
    <w:rsid w:val="00833424"/>
    <w:rsid w:val="008349C0"/>
    <w:rsid w:val="00836DE7"/>
    <w:rsid w:val="0084058B"/>
    <w:rsid w:val="00841912"/>
    <w:rsid w:val="008430FB"/>
    <w:rsid w:val="00843E4C"/>
    <w:rsid w:val="008451D6"/>
    <w:rsid w:val="00845398"/>
    <w:rsid w:val="00845707"/>
    <w:rsid w:val="00847F61"/>
    <w:rsid w:val="008503BE"/>
    <w:rsid w:val="008513CF"/>
    <w:rsid w:val="00851626"/>
    <w:rsid w:val="00855F57"/>
    <w:rsid w:val="00856D1B"/>
    <w:rsid w:val="0086220A"/>
    <w:rsid w:val="00862A10"/>
    <w:rsid w:val="00862A66"/>
    <w:rsid w:val="0086329A"/>
    <w:rsid w:val="00863F8A"/>
    <w:rsid w:val="0086658D"/>
    <w:rsid w:val="00866D7C"/>
    <w:rsid w:val="00874489"/>
    <w:rsid w:val="00875414"/>
    <w:rsid w:val="00875563"/>
    <w:rsid w:val="008758F1"/>
    <w:rsid w:val="00875C35"/>
    <w:rsid w:val="0087689F"/>
    <w:rsid w:val="00877C5F"/>
    <w:rsid w:val="00877DC6"/>
    <w:rsid w:val="00881897"/>
    <w:rsid w:val="00881A5F"/>
    <w:rsid w:val="00881CF7"/>
    <w:rsid w:val="0088279C"/>
    <w:rsid w:val="00883815"/>
    <w:rsid w:val="0088477B"/>
    <w:rsid w:val="00885571"/>
    <w:rsid w:val="00885871"/>
    <w:rsid w:val="00885E7B"/>
    <w:rsid w:val="0088616E"/>
    <w:rsid w:val="008865C8"/>
    <w:rsid w:val="0089294C"/>
    <w:rsid w:val="00892EAB"/>
    <w:rsid w:val="008965EF"/>
    <w:rsid w:val="008973F3"/>
    <w:rsid w:val="008A0DF7"/>
    <w:rsid w:val="008A0EF7"/>
    <w:rsid w:val="008A1E4B"/>
    <w:rsid w:val="008A2001"/>
    <w:rsid w:val="008A7771"/>
    <w:rsid w:val="008A7AC9"/>
    <w:rsid w:val="008B022B"/>
    <w:rsid w:val="008B075C"/>
    <w:rsid w:val="008B2AF9"/>
    <w:rsid w:val="008B3DFC"/>
    <w:rsid w:val="008B42BE"/>
    <w:rsid w:val="008B5865"/>
    <w:rsid w:val="008B6384"/>
    <w:rsid w:val="008B68D6"/>
    <w:rsid w:val="008B6B3F"/>
    <w:rsid w:val="008B72CD"/>
    <w:rsid w:val="008B732C"/>
    <w:rsid w:val="008B79FB"/>
    <w:rsid w:val="008C019D"/>
    <w:rsid w:val="008C1F1B"/>
    <w:rsid w:val="008C3600"/>
    <w:rsid w:val="008C3A9C"/>
    <w:rsid w:val="008C58A9"/>
    <w:rsid w:val="008C5BA4"/>
    <w:rsid w:val="008C6A97"/>
    <w:rsid w:val="008D10F4"/>
    <w:rsid w:val="008D2567"/>
    <w:rsid w:val="008D2792"/>
    <w:rsid w:val="008D3F4B"/>
    <w:rsid w:val="008D5AE2"/>
    <w:rsid w:val="008E0288"/>
    <w:rsid w:val="008E1CDB"/>
    <w:rsid w:val="008E44CD"/>
    <w:rsid w:val="008E7CFB"/>
    <w:rsid w:val="008F11CB"/>
    <w:rsid w:val="008F40F3"/>
    <w:rsid w:val="008F4E12"/>
    <w:rsid w:val="008F5692"/>
    <w:rsid w:val="008F7ACD"/>
    <w:rsid w:val="0090102C"/>
    <w:rsid w:val="0090200F"/>
    <w:rsid w:val="009044FB"/>
    <w:rsid w:val="0090749A"/>
    <w:rsid w:val="009079E9"/>
    <w:rsid w:val="00911176"/>
    <w:rsid w:val="009129C6"/>
    <w:rsid w:val="00912BAE"/>
    <w:rsid w:val="00913B24"/>
    <w:rsid w:val="00920AF1"/>
    <w:rsid w:val="00920B5C"/>
    <w:rsid w:val="00920E2D"/>
    <w:rsid w:val="009227E7"/>
    <w:rsid w:val="009232F8"/>
    <w:rsid w:val="00924E53"/>
    <w:rsid w:val="0093085B"/>
    <w:rsid w:val="00930E5B"/>
    <w:rsid w:val="00935730"/>
    <w:rsid w:val="009362F3"/>
    <w:rsid w:val="009368DC"/>
    <w:rsid w:val="00937CEB"/>
    <w:rsid w:val="00941451"/>
    <w:rsid w:val="0094158C"/>
    <w:rsid w:val="00941C06"/>
    <w:rsid w:val="009424A0"/>
    <w:rsid w:val="00943A45"/>
    <w:rsid w:val="00944EE0"/>
    <w:rsid w:val="00945A58"/>
    <w:rsid w:val="00945B4B"/>
    <w:rsid w:val="0094602B"/>
    <w:rsid w:val="0094689B"/>
    <w:rsid w:val="00946F69"/>
    <w:rsid w:val="00947EF6"/>
    <w:rsid w:val="009514D1"/>
    <w:rsid w:val="00951BE7"/>
    <w:rsid w:val="009540E9"/>
    <w:rsid w:val="0095434D"/>
    <w:rsid w:val="00956FCD"/>
    <w:rsid w:val="009614C7"/>
    <w:rsid w:val="00963171"/>
    <w:rsid w:val="00964982"/>
    <w:rsid w:val="00965CB8"/>
    <w:rsid w:val="009671B3"/>
    <w:rsid w:val="0097260B"/>
    <w:rsid w:val="00972A75"/>
    <w:rsid w:val="0097392D"/>
    <w:rsid w:val="00974EBE"/>
    <w:rsid w:val="009760D0"/>
    <w:rsid w:val="00977CEB"/>
    <w:rsid w:val="009801CB"/>
    <w:rsid w:val="009811AD"/>
    <w:rsid w:val="00982E88"/>
    <w:rsid w:val="009832E4"/>
    <w:rsid w:val="00983476"/>
    <w:rsid w:val="00983D00"/>
    <w:rsid w:val="00985C74"/>
    <w:rsid w:val="00985FA8"/>
    <w:rsid w:val="00987014"/>
    <w:rsid w:val="0098736A"/>
    <w:rsid w:val="00987B0E"/>
    <w:rsid w:val="009907BB"/>
    <w:rsid w:val="009907F8"/>
    <w:rsid w:val="00990CAF"/>
    <w:rsid w:val="00991934"/>
    <w:rsid w:val="0099464E"/>
    <w:rsid w:val="0099704F"/>
    <w:rsid w:val="00997246"/>
    <w:rsid w:val="009A2A53"/>
    <w:rsid w:val="009A41F6"/>
    <w:rsid w:val="009A481A"/>
    <w:rsid w:val="009A7B13"/>
    <w:rsid w:val="009A7DDF"/>
    <w:rsid w:val="009B038B"/>
    <w:rsid w:val="009B4BE3"/>
    <w:rsid w:val="009B52FA"/>
    <w:rsid w:val="009B5817"/>
    <w:rsid w:val="009B6C11"/>
    <w:rsid w:val="009B75F6"/>
    <w:rsid w:val="009C0EA1"/>
    <w:rsid w:val="009C1E4F"/>
    <w:rsid w:val="009C1F14"/>
    <w:rsid w:val="009C5DCE"/>
    <w:rsid w:val="009C6E4E"/>
    <w:rsid w:val="009D15C4"/>
    <w:rsid w:val="009D528C"/>
    <w:rsid w:val="009D5952"/>
    <w:rsid w:val="009D5A33"/>
    <w:rsid w:val="009D5F0E"/>
    <w:rsid w:val="009D60BE"/>
    <w:rsid w:val="009E0368"/>
    <w:rsid w:val="009E3382"/>
    <w:rsid w:val="009E3DA2"/>
    <w:rsid w:val="009E3DA9"/>
    <w:rsid w:val="009E4A9F"/>
    <w:rsid w:val="009E5853"/>
    <w:rsid w:val="009E6024"/>
    <w:rsid w:val="009F08DC"/>
    <w:rsid w:val="009F4B46"/>
    <w:rsid w:val="009F4F3C"/>
    <w:rsid w:val="009F5500"/>
    <w:rsid w:val="009F5753"/>
    <w:rsid w:val="009F5BDA"/>
    <w:rsid w:val="009F7225"/>
    <w:rsid w:val="009F7AD6"/>
    <w:rsid w:val="009F7AE9"/>
    <w:rsid w:val="00A00EC2"/>
    <w:rsid w:val="00A036E5"/>
    <w:rsid w:val="00A049DD"/>
    <w:rsid w:val="00A0548A"/>
    <w:rsid w:val="00A10879"/>
    <w:rsid w:val="00A1103D"/>
    <w:rsid w:val="00A1344D"/>
    <w:rsid w:val="00A15423"/>
    <w:rsid w:val="00A17E82"/>
    <w:rsid w:val="00A207A9"/>
    <w:rsid w:val="00A213E1"/>
    <w:rsid w:val="00A216D2"/>
    <w:rsid w:val="00A21C9C"/>
    <w:rsid w:val="00A236E2"/>
    <w:rsid w:val="00A27CCA"/>
    <w:rsid w:val="00A32C02"/>
    <w:rsid w:val="00A33BD8"/>
    <w:rsid w:val="00A342AB"/>
    <w:rsid w:val="00A342C4"/>
    <w:rsid w:val="00A34911"/>
    <w:rsid w:val="00A34A8C"/>
    <w:rsid w:val="00A34F47"/>
    <w:rsid w:val="00A37CC4"/>
    <w:rsid w:val="00A406CB"/>
    <w:rsid w:val="00A40D17"/>
    <w:rsid w:val="00A4179C"/>
    <w:rsid w:val="00A43551"/>
    <w:rsid w:val="00A44E0C"/>
    <w:rsid w:val="00A44ECE"/>
    <w:rsid w:val="00A4598C"/>
    <w:rsid w:val="00A477C8"/>
    <w:rsid w:val="00A47B14"/>
    <w:rsid w:val="00A47FF0"/>
    <w:rsid w:val="00A5012C"/>
    <w:rsid w:val="00A52733"/>
    <w:rsid w:val="00A55692"/>
    <w:rsid w:val="00A578EF"/>
    <w:rsid w:val="00A604E5"/>
    <w:rsid w:val="00A606BF"/>
    <w:rsid w:val="00A60CFF"/>
    <w:rsid w:val="00A611FF"/>
    <w:rsid w:val="00A622BA"/>
    <w:rsid w:val="00A62553"/>
    <w:rsid w:val="00A635F8"/>
    <w:rsid w:val="00A63CCC"/>
    <w:rsid w:val="00A6478C"/>
    <w:rsid w:val="00A64D15"/>
    <w:rsid w:val="00A655D6"/>
    <w:rsid w:val="00A668D5"/>
    <w:rsid w:val="00A71C41"/>
    <w:rsid w:val="00A71F06"/>
    <w:rsid w:val="00A72AB6"/>
    <w:rsid w:val="00A730B2"/>
    <w:rsid w:val="00A749EA"/>
    <w:rsid w:val="00A764BE"/>
    <w:rsid w:val="00A76612"/>
    <w:rsid w:val="00A81B4A"/>
    <w:rsid w:val="00A81C8B"/>
    <w:rsid w:val="00A82962"/>
    <w:rsid w:val="00A83372"/>
    <w:rsid w:val="00A84A46"/>
    <w:rsid w:val="00A84FA7"/>
    <w:rsid w:val="00A878E4"/>
    <w:rsid w:val="00A9023D"/>
    <w:rsid w:val="00A90771"/>
    <w:rsid w:val="00A93243"/>
    <w:rsid w:val="00A93B39"/>
    <w:rsid w:val="00A93E8A"/>
    <w:rsid w:val="00A94E7E"/>
    <w:rsid w:val="00A9545F"/>
    <w:rsid w:val="00A96AA6"/>
    <w:rsid w:val="00A9709D"/>
    <w:rsid w:val="00A975F9"/>
    <w:rsid w:val="00AA0664"/>
    <w:rsid w:val="00AA088F"/>
    <w:rsid w:val="00AA4C6E"/>
    <w:rsid w:val="00AA7BFE"/>
    <w:rsid w:val="00AB106F"/>
    <w:rsid w:val="00AB1B9A"/>
    <w:rsid w:val="00AB31CA"/>
    <w:rsid w:val="00AB34D9"/>
    <w:rsid w:val="00AB3A38"/>
    <w:rsid w:val="00AB7E6C"/>
    <w:rsid w:val="00AC0D8E"/>
    <w:rsid w:val="00AC1E4D"/>
    <w:rsid w:val="00AC48C7"/>
    <w:rsid w:val="00AC76A1"/>
    <w:rsid w:val="00AC7EAA"/>
    <w:rsid w:val="00AD029E"/>
    <w:rsid w:val="00AD196B"/>
    <w:rsid w:val="00AD255A"/>
    <w:rsid w:val="00AD5C27"/>
    <w:rsid w:val="00AD5EEE"/>
    <w:rsid w:val="00AE02EC"/>
    <w:rsid w:val="00AE07FA"/>
    <w:rsid w:val="00AE31D0"/>
    <w:rsid w:val="00AF0A93"/>
    <w:rsid w:val="00AF17D3"/>
    <w:rsid w:val="00AF2BF5"/>
    <w:rsid w:val="00B0211D"/>
    <w:rsid w:val="00B023D8"/>
    <w:rsid w:val="00B05256"/>
    <w:rsid w:val="00B05CC7"/>
    <w:rsid w:val="00B069D5"/>
    <w:rsid w:val="00B07415"/>
    <w:rsid w:val="00B07ECA"/>
    <w:rsid w:val="00B118BE"/>
    <w:rsid w:val="00B13735"/>
    <w:rsid w:val="00B14C10"/>
    <w:rsid w:val="00B15458"/>
    <w:rsid w:val="00B17FB3"/>
    <w:rsid w:val="00B2203D"/>
    <w:rsid w:val="00B22AEC"/>
    <w:rsid w:val="00B247ED"/>
    <w:rsid w:val="00B276B1"/>
    <w:rsid w:val="00B27E4D"/>
    <w:rsid w:val="00B312F0"/>
    <w:rsid w:val="00B31E2B"/>
    <w:rsid w:val="00B34214"/>
    <w:rsid w:val="00B34DDB"/>
    <w:rsid w:val="00B35F78"/>
    <w:rsid w:val="00B37B7A"/>
    <w:rsid w:val="00B413E9"/>
    <w:rsid w:val="00B41584"/>
    <w:rsid w:val="00B42DBC"/>
    <w:rsid w:val="00B43803"/>
    <w:rsid w:val="00B44BCE"/>
    <w:rsid w:val="00B5137B"/>
    <w:rsid w:val="00B5231F"/>
    <w:rsid w:val="00B54281"/>
    <w:rsid w:val="00B54D9D"/>
    <w:rsid w:val="00B56721"/>
    <w:rsid w:val="00B56AE5"/>
    <w:rsid w:val="00B674C6"/>
    <w:rsid w:val="00B70B5B"/>
    <w:rsid w:val="00B71D86"/>
    <w:rsid w:val="00B74F00"/>
    <w:rsid w:val="00B74FCB"/>
    <w:rsid w:val="00B75A92"/>
    <w:rsid w:val="00B76C93"/>
    <w:rsid w:val="00B76D24"/>
    <w:rsid w:val="00B8153B"/>
    <w:rsid w:val="00B81A12"/>
    <w:rsid w:val="00B83C2A"/>
    <w:rsid w:val="00B850AA"/>
    <w:rsid w:val="00B85BBD"/>
    <w:rsid w:val="00B85C5C"/>
    <w:rsid w:val="00B87958"/>
    <w:rsid w:val="00B906D4"/>
    <w:rsid w:val="00B906F6"/>
    <w:rsid w:val="00B9397B"/>
    <w:rsid w:val="00B966B6"/>
    <w:rsid w:val="00B967AF"/>
    <w:rsid w:val="00BA012B"/>
    <w:rsid w:val="00BA0147"/>
    <w:rsid w:val="00BA0A25"/>
    <w:rsid w:val="00BA1E4B"/>
    <w:rsid w:val="00BA412D"/>
    <w:rsid w:val="00BA4216"/>
    <w:rsid w:val="00BA42A7"/>
    <w:rsid w:val="00BA5227"/>
    <w:rsid w:val="00BB0A81"/>
    <w:rsid w:val="00BB22F8"/>
    <w:rsid w:val="00BB3D99"/>
    <w:rsid w:val="00BB43EC"/>
    <w:rsid w:val="00BB51B1"/>
    <w:rsid w:val="00BB5E10"/>
    <w:rsid w:val="00BB63C8"/>
    <w:rsid w:val="00BB77D9"/>
    <w:rsid w:val="00BB7C12"/>
    <w:rsid w:val="00BC11A1"/>
    <w:rsid w:val="00BC4ED9"/>
    <w:rsid w:val="00BC53F6"/>
    <w:rsid w:val="00BC5E63"/>
    <w:rsid w:val="00BC7ACC"/>
    <w:rsid w:val="00BD06ED"/>
    <w:rsid w:val="00BD639E"/>
    <w:rsid w:val="00BD64DE"/>
    <w:rsid w:val="00BD6B71"/>
    <w:rsid w:val="00BE00F1"/>
    <w:rsid w:val="00BE029F"/>
    <w:rsid w:val="00BE0F57"/>
    <w:rsid w:val="00BE17C6"/>
    <w:rsid w:val="00BE51C8"/>
    <w:rsid w:val="00BE58A9"/>
    <w:rsid w:val="00BE5907"/>
    <w:rsid w:val="00BE6711"/>
    <w:rsid w:val="00BE7FFA"/>
    <w:rsid w:val="00BF1E40"/>
    <w:rsid w:val="00BF2452"/>
    <w:rsid w:val="00BF333F"/>
    <w:rsid w:val="00BF4061"/>
    <w:rsid w:val="00BF76CE"/>
    <w:rsid w:val="00BF7735"/>
    <w:rsid w:val="00BF79B4"/>
    <w:rsid w:val="00BF7BE8"/>
    <w:rsid w:val="00C00376"/>
    <w:rsid w:val="00C0579A"/>
    <w:rsid w:val="00C0633D"/>
    <w:rsid w:val="00C11855"/>
    <w:rsid w:val="00C11F60"/>
    <w:rsid w:val="00C14DA3"/>
    <w:rsid w:val="00C166D7"/>
    <w:rsid w:val="00C16E5B"/>
    <w:rsid w:val="00C1760E"/>
    <w:rsid w:val="00C20AE2"/>
    <w:rsid w:val="00C210AB"/>
    <w:rsid w:val="00C21976"/>
    <w:rsid w:val="00C21AAB"/>
    <w:rsid w:val="00C22453"/>
    <w:rsid w:val="00C22C7B"/>
    <w:rsid w:val="00C22F82"/>
    <w:rsid w:val="00C25DE2"/>
    <w:rsid w:val="00C25FF0"/>
    <w:rsid w:val="00C27F8B"/>
    <w:rsid w:val="00C305E1"/>
    <w:rsid w:val="00C32DAE"/>
    <w:rsid w:val="00C34769"/>
    <w:rsid w:val="00C34F11"/>
    <w:rsid w:val="00C370E0"/>
    <w:rsid w:val="00C41AF8"/>
    <w:rsid w:val="00C43554"/>
    <w:rsid w:val="00C437EB"/>
    <w:rsid w:val="00C502F9"/>
    <w:rsid w:val="00C5129B"/>
    <w:rsid w:val="00C514CD"/>
    <w:rsid w:val="00C559F1"/>
    <w:rsid w:val="00C55A34"/>
    <w:rsid w:val="00C56375"/>
    <w:rsid w:val="00C57D03"/>
    <w:rsid w:val="00C60AA0"/>
    <w:rsid w:val="00C60C84"/>
    <w:rsid w:val="00C676A9"/>
    <w:rsid w:val="00C6772D"/>
    <w:rsid w:val="00C67F34"/>
    <w:rsid w:val="00C71433"/>
    <w:rsid w:val="00C74373"/>
    <w:rsid w:val="00C75811"/>
    <w:rsid w:val="00C83EE5"/>
    <w:rsid w:val="00C84DF9"/>
    <w:rsid w:val="00C852F1"/>
    <w:rsid w:val="00C8552E"/>
    <w:rsid w:val="00C86722"/>
    <w:rsid w:val="00C90A9F"/>
    <w:rsid w:val="00C92F88"/>
    <w:rsid w:val="00C9482F"/>
    <w:rsid w:val="00C95339"/>
    <w:rsid w:val="00C97875"/>
    <w:rsid w:val="00CA127D"/>
    <w:rsid w:val="00CA27E8"/>
    <w:rsid w:val="00CA2FF5"/>
    <w:rsid w:val="00CA52AC"/>
    <w:rsid w:val="00CA5364"/>
    <w:rsid w:val="00CA5967"/>
    <w:rsid w:val="00CA6C2D"/>
    <w:rsid w:val="00CB03DB"/>
    <w:rsid w:val="00CB1009"/>
    <w:rsid w:val="00CB1199"/>
    <w:rsid w:val="00CB384F"/>
    <w:rsid w:val="00CB38A1"/>
    <w:rsid w:val="00CB53AD"/>
    <w:rsid w:val="00CC0A3F"/>
    <w:rsid w:val="00CC1932"/>
    <w:rsid w:val="00CC3F56"/>
    <w:rsid w:val="00CC481F"/>
    <w:rsid w:val="00CC4E85"/>
    <w:rsid w:val="00CC7C9B"/>
    <w:rsid w:val="00CC7CD7"/>
    <w:rsid w:val="00CD0909"/>
    <w:rsid w:val="00CD3102"/>
    <w:rsid w:val="00CD3F3B"/>
    <w:rsid w:val="00CD443D"/>
    <w:rsid w:val="00CD4B7E"/>
    <w:rsid w:val="00CD5A5B"/>
    <w:rsid w:val="00CE00F5"/>
    <w:rsid w:val="00CE1ABD"/>
    <w:rsid w:val="00CE1B91"/>
    <w:rsid w:val="00CE2B43"/>
    <w:rsid w:val="00CE40A0"/>
    <w:rsid w:val="00CE4A42"/>
    <w:rsid w:val="00CE5725"/>
    <w:rsid w:val="00CE57DB"/>
    <w:rsid w:val="00CE6BD7"/>
    <w:rsid w:val="00CF0CA8"/>
    <w:rsid w:val="00CF111A"/>
    <w:rsid w:val="00CF1911"/>
    <w:rsid w:val="00CF27BC"/>
    <w:rsid w:val="00CF2BF8"/>
    <w:rsid w:val="00CF2D3A"/>
    <w:rsid w:val="00CF2F74"/>
    <w:rsid w:val="00CF3012"/>
    <w:rsid w:val="00CF40CB"/>
    <w:rsid w:val="00CF4A9C"/>
    <w:rsid w:val="00CF683B"/>
    <w:rsid w:val="00CF6AD6"/>
    <w:rsid w:val="00CF7236"/>
    <w:rsid w:val="00D0012B"/>
    <w:rsid w:val="00D00D5F"/>
    <w:rsid w:val="00D00F6C"/>
    <w:rsid w:val="00D02066"/>
    <w:rsid w:val="00D02D28"/>
    <w:rsid w:val="00D034A1"/>
    <w:rsid w:val="00D03FB6"/>
    <w:rsid w:val="00D058DE"/>
    <w:rsid w:val="00D07A89"/>
    <w:rsid w:val="00D07F2B"/>
    <w:rsid w:val="00D120BF"/>
    <w:rsid w:val="00D12195"/>
    <w:rsid w:val="00D14CBE"/>
    <w:rsid w:val="00D15977"/>
    <w:rsid w:val="00D17354"/>
    <w:rsid w:val="00D201F7"/>
    <w:rsid w:val="00D21C9C"/>
    <w:rsid w:val="00D225CD"/>
    <w:rsid w:val="00D22B55"/>
    <w:rsid w:val="00D23AB8"/>
    <w:rsid w:val="00D24D63"/>
    <w:rsid w:val="00D24E6C"/>
    <w:rsid w:val="00D2757E"/>
    <w:rsid w:val="00D27D86"/>
    <w:rsid w:val="00D307D3"/>
    <w:rsid w:val="00D3128C"/>
    <w:rsid w:val="00D31BFB"/>
    <w:rsid w:val="00D31F01"/>
    <w:rsid w:val="00D333FC"/>
    <w:rsid w:val="00D37CEF"/>
    <w:rsid w:val="00D43A1A"/>
    <w:rsid w:val="00D457A4"/>
    <w:rsid w:val="00D46BAC"/>
    <w:rsid w:val="00D4796A"/>
    <w:rsid w:val="00D504D6"/>
    <w:rsid w:val="00D50B97"/>
    <w:rsid w:val="00D50E52"/>
    <w:rsid w:val="00D517E1"/>
    <w:rsid w:val="00D52943"/>
    <w:rsid w:val="00D533BF"/>
    <w:rsid w:val="00D53706"/>
    <w:rsid w:val="00D54423"/>
    <w:rsid w:val="00D55B1E"/>
    <w:rsid w:val="00D55C6D"/>
    <w:rsid w:val="00D5604D"/>
    <w:rsid w:val="00D560A8"/>
    <w:rsid w:val="00D579C2"/>
    <w:rsid w:val="00D60FD9"/>
    <w:rsid w:val="00D63A45"/>
    <w:rsid w:val="00D6467A"/>
    <w:rsid w:val="00D64F64"/>
    <w:rsid w:val="00D665FD"/>
    <w:rsid w:val="00D67767"/>
    <w:rsid w:val="00D71801"/>
    <w:rsid w:val="00D72206"/>
    <w:rsid w:val="00D73C37"/>
    <w:rsid w:val="00D749F1"/>
    <w:rsid w:val="00D7515C"/>
    <w:rsid w:val="00D758FF"/>
    <w:rsid w:val="00D80377"/>
    <w:rsid w:val="00D81478"/>
    <w:rsid w:val="00D82EFE"/>
    <w:rsid w:val="00D836CB"/>
    <w:rsid w:val="00D845AC"/>
    <w:rsid w:val="00D85C09"/>
    <w:rsid w:val="00D861C2"/>
    <w:rsid w:val="00D8782E"/>
    <w:rsid w:val="00D879D3"/>
    <w:rsid w:val="00D90E29"/>
    <w:rsid w:val="00D96292"/>
    <w:rsid w:val="00D963CB"/>
    <w:rsid w:val="00D96E69"/>
    <w:rsid w:val="00DA1023"/>
    <w:rsid w:val="00DA18DD"/>
    <w:rsid w:val="00DA1973"/>
    <w:rsid w:val="00DA20FF"/>
    <w:rsid w:val="00DA2D0C"/>
    <w:rsid w:val="00DA32BC"/>
    <w:rsid w:val="00DA33CC"/>
    <w:rsid w:val="00DA3621"/>
    <w:rsid w:val="00DA4214"/>
    <w:rsid w:val="00DA51C8"/>
    <w:rsid w:val="00DA5D26"/>
    <w:rsid w:val="00DA74DB"/>
    <w:rsid w:val="00DB3263"/>
    <w:rsid w:val="00DB4203"/>
    <w:rsid w:val="00DB4BC3"/>
    <w:rsid w:val="00DB7013"/>
    <w:rsid w:val="00DB768C"/>
    <w:rsid w:val="00DB76D4"/>
    <w:rsid w:val="00DC0A61"/>
    <w:rsid w:val="00DC10BC"/>
    <w:rsid w:val="00DC1BCC"/>
    <w:rsid w:val="00DC5378"/>
    <w:rsid w:val="00DC633E"/>
    <w:rsid w:val="00DC74AA"/>
    <w:rsid w:val="00DC7E46"/>
    <w:rsid w:val="00DD0926"/>
    <w:rsid w:val="00DD0DE1"/>
    <w:rsid w:val="00DD1CA6"/>
    <w:rsid w:val="00DD2463"/>
    <w:rsid w:val="00DD3C09"/>
    <w:rsid w:val="00DD4AD3"/>
    <w:rsid w:val="00DD52D5"/>
    <w:rsid w:val="00DD6B03"/>
    <w:rsid w:val="00DD7443"/>
    <w:rsid w:val="00DD7A93"/>
    <w:rsid w:val="00DE008F"/>
    <w:rsid w:val="00DE009A"/>
    <w:rsid w:val="00DE0C61"/>
    <w:rsid w:val="00DE5443"/>
    <w:rsid w:val="00DF0773"/>
    <w:rsid w:val="00DF078E"/>
    <w:rsid w:val="00DF103D"/>
    <w:rsid w:val="00DF1101"/>
    <w:rsid w:val="00DF728F"/>
    <w:rsid w:val="00E000CE"/>
    <w:rsid w:val="00E00B51"/>
    <w:rsid w:val="00E022F8"/>
    <w:rsid w:val="00E03BE0"/>
    <w:rsid w:val="00E054C1"/>
    <w:rsid w:val="00E05B28"/>
    <w:rsid w:val="00E0626F"/>
    <w:rsid w:val="00E06973"/>
    <w:rsid w:val="00E07730"/>
    <w:rsid w:val="00E07A49"/>
    <w:rsid w:val="00E10075"/>
    <w:rsid w:val="00E13A22"/>
    <w:rsid w:val="00E14179"/>
    <w:rsid w:val="00E15945"/>
    <w:rsid w:val="00E21179"/>
    <w:rsid w:val="00E238FB"/>
    <w:rsid w:val="00E23BE7"/>
    <w:rsid w:val="00E2438C"/>
    <w:rsid w:val="00E2729E"/>
    <w:rsid w:val="00E27855"/>
    <w:rsid w:val="00E3687A"/>
    <w:rsid w:val="00E37DB0"/>
    <w:rsid w:val="00E43EB9"/>
    <w:rsid w:val="00E4464E"/>
    <w:rsid w:val="00E44909"/>
    <w:rsid w:val="00E46080"/>
    <w:rsid w:val="00E51FE8"/>
    <w:rsid w:val="00E52310"/>
    <w:rsid w:val="00E53B85"/>
    <w:rsid w:val="00E54499"/>
    <w:rsid w:val="00E544B4"/>
    <w:rsid w:val="00E626C8"/>
    <w:rsid w:val="00E62B69"/>
    <w:rsid w:val="00E650CC"/>
    <w:rsid w:val="00E66860"/>
    <w:rsid w:val="00E66D44"/>
    <w:rsid w:val="00E66EDC"/>
    <w:rsid w:val="00E6733F"/>
    <w:rsid w:val="00E67AB8"/>
    <w:rsid w:val="00E67E3C"/>
    <w:rsid w:val="00E705D7"/>
    <w:rsid w:val="00E71486"/>
    <w:rsid w:val="00E73CBD"/>
    <w:rsid w:val="00E756BA"/>
    <w:rsid w:val="00E762B7"/>
    <w:rsid w:val="00E76472"/>
    <w:rsid w:val="00E770B2"/>
    <w:rsid w:val="00E83A9D"/>
    <w:rsid w:val="00E8421C"/>
    <w:rsid w:val="00E84ABE"/>
    <w:rsid w:val="00E84F73"/>
    <w:rsid w:val="00E862E4"/>
    <w:rsid w:val="00E876DF"/>
    <w:rsid w:val="00E9225D"/>
    <w:rsid w:val="00E92271"/>
    <w:rsid w:val="00E939D2"/>
    <w:rsid w:val="00E94BA1"/>
    <w:rsid w:val="00E963D3"/>
    <w:rsid w:val="00EA290B"/>
    <w:rsid w:val="00EA40C3"/>
    <w:rsid w:val="00EA49B1"/>
    <w:rsid w:val="00EA7D3E"/>
    <w:rsid w:val="00EA7DBC"/>
    <w:rsid w:val="00EB10A0"/>
    <w:rsid w:val="00EB12B0"/>
    <w:rsid w:val="00EB1895"/>
    <w:rsid w:val="00EB2DD1"/>
    <w:rsid w:val="00EB45B9"/>
    <w:rsid w:val="00EB4B6C"/>
    <w:rsid w:val="00EC136B"/>
    <w:rsid w:val="00EC21A3"/>
    <w:rsid w:val="00EC2BFA"/>
    <w:rsid w:val="00EC4054"/>
    <w:rsid w:val="00EC4289"/>
    <w:rsid w:val="00EC45E3"/>
    <w:rsid w:val="00EC4B97"/>
    <w:rsid w:val="00EC500B"/>
    <w:rsid w:val="00EC5BCC"/>
    <w:rsid w:val="00EC69BA"/>
    <w:rsid w:val="00EC79CE"/>
    <w:rsid w:val="00ED16D7"/>
    <w:rsid w:val="00ED3653"/>
    <w:rsid w:val="00ED3929"/>
    <w:rsid w:val="00ED61A2"/>
    <w:rsid w:val="00ED6519"/>
    <w:rsid w:val="00ED77C4"/>
    <w:rsid w:val="00ED7C68"/>
    <w:rsid w:val="00ED7E27"/>
    <w:rsid w:val="00EE25C3"/>
    <w:rsid w:val="00EE3C9F"/>
    <w:rsid w:val="00EE49E9"/>
    <w:rsid w:val="00EE59E4"/>
    <w:rsid w:val="00EE6628"/>
    <w:rsid w:val="00EE7E04"/>
    <w:rsid w:val="00EF17D1"/>
    <w:rsid w:val="00EF1B3D"/>
    <w:rsid w:val="00EF3D20"/>
    <w:rsid w:val="00EF41A2"/>
    <w:rsid w:val="00EF688B"/>
    <w:rsid w:val="00F00351"/>
    <w:rsid w:val="00F0042E"/>
    <w:rsid w:val="00F00EB1"/>
    <w:rsid w:val="00F01D09"/>
    <w:rsid w:val="00F0229B"/>
    <w:rsid w:val="00F028BB"/>
    <w:rsid w:val="00F04604"/>
    <w:rsid w:val="00F05648"/>
    <w:rsid w:val="00F07B57"/>
    <w:rsid w:val="00F12246"/>
    <w:rsid w:val="00F13385"/>
    <w:rsid w:val="00F171E8"/>
    <w:rsid w:val="00F20C5D"/>
    <w:rsid w:val="00F2141D"/>
    <w:rsid w:val="00F215D8"/>
    <w:rsid w:val="00F2321A"/>
    <w:rsid w:val="00F23B5B"/>
    <w:rsid w:val="00F2565F"/>
    <w:rsid w:val="00F26464"/>
    <w:rsid w:val="00F275A6"/>
    <w:rsid w:val="00F27E17"/>
    <w:rsid w:val="00F300F1"/>
    <w:rsid w:val="00F309F3"/>
    <w:rsid w:val="00F31237"/>
    <w:rsid w:val="00F31C5F"/>
    <w:rsid w:val="00F31FD3"/>
    <w:rsid w:val="00F32EB1"/>
    <w:rsid w:val="00F345D6"/>
    <w:rsid w:val="00F355A9"/>
    <w:rsid w:val="00F35EA3"/>
    <w:rsid w:val="00F373B3"/>
    <w:rsid w:val="00F37E12"/>
    <w:rsid w:val="00F401B5"/>
    <w:rsid w:val="00F402CF"/>
    <w:rsid w:val="00F40D49"/>
    <w:rsid w:val="00F40DF1"/>
    <w:rsid w:val="00F41269"/>
    <w:rsid w:val="00F44887"/>
    <w:rsid w:val="00F45A2E"/>
    <w:rsid w:val="00F4621C"/>
    <w:rsid w:val="00F46462"/>
    <w:rsid w:val="00F47F34"/>
    <w:rsid w:val="00F53E3E"/>
    <w:rsid w:val="00F54547"/>
    <w:rsid w:val="00F54990"/>
    <w:rsid w:val="00F54D8F"/>
    <w:rsid w:val="00F54E8A"/>
    <w:rsid w:val="00F55246"/>
    <w:rsid w:val="00F5700D"/>
    <w:rsid w:val="00F60D7D"/>
    <w:rsid w:val="00F62C54"/>
    <w:rsid w:val="00F63DBC"/>
    <w:rsid w:val="00F6669B"/>
    <w:rsid w:val="00F6682B"/>
    <w:rsid w:val="00F66F9C"/>
    <w:rsid w:val="00F66FE6"/>
    <w:rsid w:val="00F675C0"/>
    <w:rsid w:val="00F67EFE"/>
    <w:rsid w:val="00F7072E"/>
    <w:rsid w:val="00F70AC9"/>
    <w:rsid w:val="00F718A1"/>
    <w:rsid w:val="00F71C0E"/>
    <w:rsid w:val="00F72475"/>
    <w:rsid w:val="00F75027"/>
    <w:rsid w:val="00F7722E"/>
    <w:rsid w:val="00F77633"/>
    <w:rsid w:val="00F77BA8"/>
    <w:rsid w:val="00F85326"/>
    <w:rsid w:val="00F87F7C"/>
    <w:rsid w:val="00F91068"/>
    <w:rsid w:val="00F92220"/>
    <w:rsid w:val="00F92B1F"/>
    <w:rsid w:val="00F9465C"/>
    <w:rsid w:val="00F948D5"/>
    <w:rsid w:val="00F96EFE"/>
    <w:rsid w:val="00FA0F98"/>
    <w:rsid w:val="00FA1F5C"/>
    <w:rsid w:val="00FA2522"/>
    <w:rsid w:val="00FA4B5D"/>
    <w:rsid w:val="00FA6246"/>
    <w:rsid w:val="00FA65FD"/>
    <w:rsid w:val="00FA6FF5"/>
    <w:rsid w:val="00FA7A47"/>
    <w:rsid w:val="00FB0507"/>
    <w:rsid w:val="00FB24C3"/>
    <w:rsid w:val="00FB58EF"/>
    <w:rsid w:val="00FC0484"/>
    <w:rsid w:val="00FC0986"/>
    <w:rsid w:val="00FC1B63"/>
    <w:rsid w:val="00FC46C6"/>
    <w:rsid w:val="00FC6B26"/>
    <w:rsid w:val="00FD2D2A"/>
    <w:rsid w:val="00FD4C6D"/>
    <w:rsid w:val="00FE0293"/>
    <w:rsid w:val="00FE4A30"/>
    <w:rsid w:val="00FE529A"/>
    <w:rsid w:val="00FE5794"/>
    <w:rsid w:val="00FF1B0C"/>
    <w:rsid w:val="00FF494F"/>
    <w:rsid w:val="00FF4BC6"/>
    <w:rsid w:val="00FF5518"/>
    <w:rsid w:val="00FF57CC"/>
    <w:rsid w:val="00FF58C8"/>
    <w:rsid w:val="00FF58CC"/>
    <w:rsid w:val="0383385E"/>
    <w:rsid w:val="0468AF08"/>
    <w:rsid w:val="04C834E9"/>
    <w:rsid w:val="051F1A48"/>
    <w:rsid w:val="0D7238C1"/>
    <w:rsid w:val="0D8D63F4"/>
    <w:rsid w:val="0DEFF2E0"/>
    <w:rsid w:val="10A7E145"/>
    <w:rsid w:val="11242021"/>
    <w:rsid w:val="112A5A9F"/>
    <w:rsid w:val="115615D1"/>
    <w:rsid w:val="12EB39F3"/>
    <w:rsid w:val="14671205"/>
    <w:rsid w:val="157974D0"/>
    <w:rsid w:val="17E703B5"/>
    <w:rsid w:val="180F3A9C"/>
    <w:rsid w:val="1879A69E"/>
    <w:rsid w:val="1B148BE2"/>
    <w:rsid w:val="1B3771CA"/>
    <w:rsid w:val="1BA40966"/>
    <w:rsid w:val="1D43E774"/>
    <w:rsid w:val="1E03A9E0"/>
    <w:rsid w:val="1EAB757F"/>
    <w:rsid w:val="1EAE9CF3"/>
    <w:rsid w:val="202115F2"/>
    <w:rsid w:val="2122E1F6"/>
    <w:rsid w:val="21CD8AAD"/>
    <w:rsid w:val="239754AF"/>
    <w:rsid w:val="23B8D77C"/>
    <w:rsid w:val="2501F8AE"/>
    <w:rsid w:val="260E244D"/>
    <w:rsid w:val="2694B033"/>
    <w:rsid w:val="2710F708"/>
    <w:rsid w:val="27EC6612"/>
    <w:rsid w:val="281DE258"/>
    <w:rsid w:val="28AE5025"/>
    <w:rsid w:val="2A067A82"/>
    <w:rsid w:val="2A8AB8FF"/>
    <w:rsid w:val="2ABC52A3"/>
    <w:rsid w:val="2ADF5FC9"/>
    <w:rsid w:val="2B2FAEB0"/>
    <w:rsid w:val="2D828360"/>
    <w:rsid w:val="2E1E23C8"/>
    <w:rsid w:val="2F14D0A5"/>
    <w:rsid w:val="2FFC8D38"/>
    <w:rsid w:val="3130BE7A"/>
    <w:rsid w:val="31BE0608"/>
    <w:rsid w:val="33C63B34"/>
    <w:rsid w:val="33F9F74C"/>
    <w:rsid w:val="345A7E15"/>
    <w:rsid w:val="34A4CA76"/>
    <w:rsid w:val="377163FE"/>
    <w:rsid w:val="379FC341"/>
    <w:rsid w:val="37B9280C"/>
    <w:rsid w:val="39426202"/>
    <w:rsid w:val="3A16F786"/>
    <w:rsid w:val="3AB4240C"/>
    <w:rsid w:val="3AEF3537"/>
    <w:rsid w:val="3BB6F6C7"/>
    <w:rsid w:val="3C2724D0"/>
    <w:rsid w:val="3CF318E0"/>
    <w:rsid w:val="3EE3122E"/>
    <w:rsid w:val="40AEDA91"/>
    <w:rsid w:val="42C25D1F"/>
    <w:rsid w:val="436D37AC"/>
    <w:rsid w:val="438093C4"/>
    <w:rsid w:val="474BB7E7"/>
    <w:rsid w:val="48E85196"/>
    <w:rsid w:val="48ED49C4"/>
    <w:rsid w:val="49067160"/>
    <w:rsid w:val="498B022F"/>
    <w:rsid w:val="4B930585"/>
    <w:rsid w:val="4BF8847C"/>
    <w:rsid w:val="4DB14C95"/>
    <w:rsid w:val="4F8FD726"/>
    <w:rsid w:val="50F28846"/>
    <w:rsid w:val="5139E111"/>
    <w:rsid w:val="519A42F4"/>
    <w:rsid w:val="5295F272"/>
    <w:rsid w:val="52FB3400"/>
    <w:rsid w:val="533E9758"/>
    <w:rsid w:val="5371AF66"/>
    <w:rsid w:val="546D6B76"/>
    <w:rsid w:val="54B22F94"/>
    <w:rsid w:val="57867B06"/>
    <w:rsid w:val="591EF2D0"/>
    <w:rsid w:val="5973F6A1"/>
    <w:rsid w:val="5981022B"/>
    <w:rsid w:val="59A8ADDD"/>
    <w:rsid w:val="5A7477A2"/>
    <w:rsid w:val="5D09E71D"/>
    <w:rsid w:val="5FFA6749"/>
    <w:rsid w:val="6172EBB3"/>
    <w:rsid w:val="61CFDC0F"/>
    <w:rsid w:val="645EB11A"/>
    <w:rsid w:val="67740E04"/>
    <w:rsid w:val="67C198D8"/>
    <w:rsid w:val="685E4542"/>
    <w:rsid w:val="6A9DFFC4"/>
    <w:rsid w:val="6B0C8F9E"/>
    <w:rsid w:val="6DDFB91B"/>
    <w:rsid w:val="6E013D16"/>
    <w:rsid w:val="6EB6B2DB"/>
    <w:rsid w:val="6EE51B8C"/>
    <w:rsid w:val="6F17113C"/>
    <w:rsid w:val="710029BE"/>
    <w:rsid w:val="72611380"/>
    <w:rsid w:val="7341DD79"/>
    <w:rsid w:val="756CAD0B"/>
    <w:rsid w:val="7804459B"/>
    <w:rsid w:val="780E889D"/>
    <w:rsid w:val="78268EA8"/>
    <w:rsid w:val="7A91A348"/>
    <w:rsid w:val="7AB193D8"/>
    <w:rsid w:val="7AF78B85"/>
    <w:rsid w:val="7C0A8C59"/>
    <w:rsid w:val="7C5878ED"/>
    <w:rsid w:val="7CC5C7D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F633E1"/>
  <w15:chartTrackingRefBased/>
  <w15:docId w15:val="{54818716-CCF5-4D7A-984B-261DAF25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2AB6"/>
    <w:pPr>
      <w:keepNext/>
      <w:keepLines/>
      <w:numPr>
        <w:numId w:val="1"/>
      </w:numPr>
      <w:spacing w:before="240" w:after="240" w:line="276" w:lineRule="auto"/>
      <w:ind w:left="357" w:hanging="357"/>
      <w:outlineLvl w:val="0"/>
    </w:pPr>
    <w:rPr>
      <w:rFonts w:ascii="Times New Roman" w:eastAsiaTheme="majorEastAsia" w:hAnsi="Times New Roman" w:cstheme="majorBidi"/>
      <w:b/>
      <w:color w:val="000000" w:themeColor="text1"/>
      <w:sz w:val="24"/>
      <w:szCs w:val="32"/>
    </w:rPr>
  </w:style>
  <w:style w:type="paragraph" w:styleId="Heading2">
    <w:name w:val="heading 2"/>
    <w:next w:val="Normal"/>
    <w:link w:val="Heading2Char"/>
    <w:uiPriority w:val="9"/>
    <w:unhideWhenUsed/>
    <w:qFormat/>
    <w:rsid w:val="00446F4C"/>
    <w:pPr>
      <w:keepNext/>
      <w:keepLines/>
      <w:spacing w:before="240" w:line="276"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A72AB6"/>
    <w:pPr>
      <w:keepNext/>
      <w:keepLines/>
      <w:spacing w:before="40" w:after="0" w:line="276" w:lineRule="auto"/>
      <w:outlineLvl w:val="2"/>
    </w:pPr>
    <w:rPr>
      <w:rFonts w:ascii="Times New Roman" w:eastAsiaTheme="majorEastAsia" w:hAnsi="Times New Roman" w:cs="Times New Roman"/>
      <w:i/>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AB6"/>
  </w:style>
  <w:style w:type="paragraph" w:styleId="Footer">
    <w:name w:val="footer"/>
    <w:basedOn w:val="Normal"/>
    <w:link w:val="FooterChar"/>
    <w:uiPriority w:val="99"/>
    <w:unhideWhenUsed/>
    <w:rsid w:val="00A72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AB6"/>
  </w:style>
  <w:style w:type="paragraph" w:customStyle="1" w:styleId="Pagedecouverture">
    <w:name w:val="Page de couverture"/>
    <w:basedOn w:val="Normal"/>
    <w:next w:val="Normal"/>
    <w:rsid w:val="00A72AB6"/>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A72AB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72AB6"/>
    <w:rPr>
      <w:rFonts w:ascii="Times New Roman" w:hAnsi="Times New Roman" w:cs="Times New Roman"/>
      <w:sz w:val="24"/>
    </w:rPr>
  </w:style>
  <w:style w:type="paragraph" w:customStyle="1" w:styleId="FooterSensitivity">
    <w:name w:val="Footer Sensitivity"/>
    <w:basedOn w:val="Normal"/>
    <w:link w:val="FooterSensitivityChar"/>
    <w:rsid w:val="00A72AB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72AB6"/>
    <w:rPr>
      <w:rFonts w:ascii="Times New Roman" w:hAnsi="Times New Roman" w:cs="Times New Roman"/>
      <w:b/>
      <w:sz w:val="32"/>
    </w:rPr>
  </w:style>
  <w:style w:type="paragraph" w:customStyle="1" w:styleId="HeaderCoverPage">
    <w:name w:val="Header Cover Page"/>
    <w:basedOn w:val="Normal"/>
    <w:link w:val="HeaderCoverPageChar"/>
    <w:rsid w:val="00A72AB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72AB6"/>
    <w:rPr>
      <w:rFonts w:ascii="Times New Roman" w:hAnsi="Times New Roman" w:cs="Times New Roman"/>
      <w:sz w:val="24"/>
    </w:rPr>
  </w:style>
  <w:style w:type="paragraph" w:customStyle="1" w:styleId="HeaderSensitivity">
    <w:name w:val="Header Sensitivity"/>
    <w:basedOn w:val="Normal"/>
    <w:link w:val="HeaderSensitivityChar"/>
    <w:rsid w:val="00A72AB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72AB6"/>
    <w:rPr>
      <w:rFonts w:ascii="Times New Roman" w:hAnsi="Times New Roman" w:cs="Times New Roman"/>
      <w:b/>
      <w:sz w:val="32"/>
    </w:rPr>
  </w:style>
  <w:style w:type="paragraph" w:customStyle="1" w:styleId="HeaderSensitivityRight">
    <w:name w:val="Header Sensitivity Right"/>
    <w:basedOn w:val="Normal"/>
    <w:link w:val="HeaderSensitivityRightChar"/>
    <w:rsid w:val="00A72AB6"/>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72AB6"/>
    <w:rPr>
      <w:rFonts w:ascii="Times New Roman" w:hAnsi="Times New Roman" w:cs="Times New Roman"/>
      <w:sz w:val="28"/>
    </w:rPr>
  </w:style>
  <w:style w:type="character" w:customStyle="1" w:styleId="Heading1Char">
    <w:name w:val="Heading 1 Char"/>
    <w:basedOn w:val="DefaultParagraphFont"/>
    <w:link w:val="Heading1"/>
    <w:uiPriority w:val="9"/>
    <w:rsid w:val="00A72AB6"/>
    <w:rPr>
      <w:rFonts w:ascii="Times New Roman" w:eastAsiaTheme="majorEastAsia" w:hAnsi="Times New Roman" w:cstheme="majorBidi"/>
      <w:b/>
      <w:color w:val="000000" w:themeColor="text1"/>
      <w:sz w:val="24"/>
      <w:szCs w:val="32"/>
      <w:lang w:val="hr-HR"/>
    </w:rPr>
  </w:style>
  <w:style w:type="character" w:customStyle="1" w:styleId="Heading2Char">
    <w:name w:val="Heading 2 Char"/>
    <w:basedOn w:val="DefaultParagraphFont"/>
    <w:link w:val="Heading2"/>
    <w:uiPriority w:val="9"/>
    <w:rsid w:val="00446F4C"/>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A72AB6"/>
    <w:rPr>
      <w:rFonts w:ascii="Times New Roman" w:eastAsiaTheme="majorEastAsia" w:hAnsi="Times New Roman" w:cs="Times New Roman"/>
      <w:i/>
      <w:color w:val="000000" w:themeColor="text1"/>
      <w:sz w:val="24"/>
      <w:szCs w:val="24"/>
      <w:lang w:val="hr-HR"/>
    </w:rPr>
  </w:style>
  <w:style w:type="paragraph" w:styleId="Title">
    <w:name w:val="Title"/>
    <w:basedOn w:val="Normal"/>
    <w:next w:val="Normal"/>
    <w:link w:val="TitleChar"/>
    <w:uiPriority w:val="10"/>
    <w:qFormat/>
    <w:rsid w:val="00A72A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AB6"/>
    <w:rPr>
      <w:rFonts w:asciiTheme="majorHAnsi" w:eastAsiaTheme="majorEastAsia" w:hAnsiTheme="majorHAnsi" w:cstheme="majorBidi"/>
      <w:spacing w:val="-10"/>
      <w:kern w:val="28"/>
      <w:sz w:val="56"/>
      <w:szCs w:val="56"/>
      <w:lang w:val="hr-HR"/>
    </w:rPr>
  </w:style>
  <w:style w:type="paragraph" w:customStyle="1" w:styleId="Text1">
    <w:name w:val="Text 1"/>
    <w:basedOn w:val="Normal"/>
    <w:uiPriority w:val="1"/>
    <w:qFormat/>
    <w:rsid w:val="00A72AB6"/>
    <w:pPr>
      <w:spacing w:after="240" w:line="240" w:lineRule="auto"/>
      <w:ind w:left="482"/>
      <w:jc w:val="both"/>
    </w:pPr>
    <w:rPr>
      <w:rFonts w:ascii="Times New Roman" w:eastAsia="Times New Roman" w:hAnsi="Times New Roman" w:cs="Times New Roman"/>
      <w:sz w:val="24"/>
      <w:szCs w:val="20"/>
      <w:lang w:eastAsia="en-GB"/>
    </w:rPr>
  </w:style>
  <w:style w:type="paragraph" w:styleId="ListParagraph">
    <w:name w:val="List Paragraph"/>
    <w:aliases w:val="Inhaltsverzeichnis"/>
    <w:basedOn w:val="Normal"/>
    <w:uiPriority w:val="34"/>
    <w:qFormat/>
    <w:rsid w:val="00A72AB6"/>
    <w:pPr>
      <w:spacing w:after="200" w:line="276" w:lineRule="auto"/>
      <w:ind w:left="720"/>
      <w:contextualSpacing/>
    </w:pPr>
  </w:style>
  <w:style w:type="paragraph" w:styleId="FootnoteText">
    <w:name w:val="footnote text"/>
    <w:basedOn w:val="Normal"/>
    <w:link w:val="FootnoteTextChar"/>
    <w:uiPriority w:val="99"/>
    <w:semiHidden/>
    <w:unhideWhenUsed/>
    <w:rsid w:val="00A72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AB6"/>
    <w:rPr>
      <w:sz w:val="20"/>
      <w:szCs w:val="20"/>
      <w:lang w:val="hr-HR"/>
    </w:rPr>
  </w:style>
  <w:style w:type="character" w:styleId="FootnoteReference">
    <w:name w:val="footnote reference"/>
    <w:aliases w:val="Titre 4 Car1, BVI fnr,BVI fnr, BVI fnr Car Car,BVI fnr Car, BVI fnr Car Car Car Car, BVI fnr Car Car Car Car Char,Footnote symbol,Footnote reference number,Footnote,Times 10 Point,Exposant 3 Point,Ref,de nota al pie,note TESI,SUPERS"/>
    <w:basedOn w:val="DefaultParagraphFont"/>
    <w:link w:val="Char2"/>
    <w:uiPriority w:val="99"/>
    <w:unhideWhenUsed/>
    <w:qFormat/>
    <w:rsid w:val="00A72AB6"/>
    <w:rPr>
      <w:vertAlign w:val="superscript"/>
    </w:rPr>
  </w:style>
  <w:style w:type="character" w:styleId="Strong">
    <w:name w:val="Strong"/>
    <w:basedOn w:val="DefaultParagraphFont"/>
    <w:uiPriority w:val="22"/>
    <w:qFormat/>
    <w:rsid w:val="00A72AB6"/>
    <w:rPr>
      <w:b/>
      <w:bCs/>
    </w:rPr>
  </w:style>
  <w:style w:type="character" w:styleId="Hyperlink">
    <w:name w:val="Hyperlink"/>
    <w:basedOn w:val="DefaultParagraphFont"/>
    <w:uiPriority w:val="99"/>
    <w:unhideWhenUsed/>
    <w:rsid w:val="00A72AB6"/>
    <w:rPr>
      <w:color w:val="0563C1" w:themeColor="hyperlink"/>
      <w:u w:val="single"/>
    </w:rPr>
  </w:style>
  <w:style w:type="character" w:styleId="CommentReference">
    <w:name w:val="annotation reference"/>
    <w:basedOn w:val="DefaultParagraphFont"/>
    <w:uiPriority w:val="99"/>
    <w:semiHidden/>
    <w:unhideWhenUsed/>
    <w:rsid w:val="00A72AB6"/>
    <w:rPr>
      <w:sz w:val="16"/>
      <w:szCs w:val="16"/>
    </w:rPr>
  </w:style>
  <w:style w:type="paragraph" w:styleId="CommentText">
    <w:name w:val="annotation text"/>
    <w:basedOn w:val="Normal"/>
    <w:link w:val="CommentTextChar"/>
    <w:uiPriority w:val="99"/>
    <w:unhideWhenUsed/>
    <w:rsid w:val="00A72AB6"/>
    <w:pPr>
      <w:spacing w:after="200" w:line="240" w:lineRule="auto"/>
    </w:pPr>
    <w:rPr>
      <w:sz w:val="20"/>
      <w:szCs w:val="20"/>
    </w:rPr>
  </w:style>
  <w:style w:type="character" w:customStyle="1" w:styleId="CommentTextChar">
    <w:name w:val="Comment Text Char"/>
    <w:basedOn w:val="DefaultParagraphFont"/>
    <w:link w:val="CommentText"/>
    <w:uiPriority w:val="99"/>
    <w:rsid w:val="00A72AB6"/>
    <w:rPr>
      <w:sz w:val="20"/>
      <w:szCs w:val="20"/>
      <w:lang w:val="hr-HR"/>
    </w:rPr>
  </w:style>
  <w:style w:type="paragraph" w:styleId="CommentSubject">
    <w:name w:val="annotation subject"/>
    <w:basedOn w:val="CommentText"/>
    <w:next w:val="CommentText"/>
    <w:link w:val="CommentSubjectChar"/>
    <w:uiPriority w:val="99"/>
    <w:semiHidden/>
    <w:unhideWhenUsed/>
    <w:rsid w:val="00A72AB6"/>
    <w:rPr>
      <w:b/>
      <w:bCs/>
    </w:rPr>
  </w:style>
  <w:style w:type="character" w:customStyle="1" w:styleId="CommentSubjectChar">
    <w:name w:val="Comment Subject Char"/>
    <w:basedOn w:val="CommentTextChar"/>
    <w:link w:val="CommentSubject"/>
    <w:uiPriority w:val="99"/>
    <w:semiHidden/>
    <w:rsid w:val="00A72AB6"/>
    <w:rPr>
      <w:b/>
      <w:bCs/>
      <w:sz w:val="20"/>
      <w:szCs w:val="20"/>
      <w:lang w:val="hr-HR"/>
    </w:rPr>
  </w:style>
  <w:style w:type="paragraph" w:styleId="BalloonText">
    <w:name w:val="Balloon Text"/>
    <w:basedOn w:val="Normal"/>
    <w:link w:val="BalloonTextChar"/>
    <w:uiPriority w:val="99"/>
    <w:semiHidden/>
    <w:unhideWhenUsed/>
    <w:rsid w:val="00A72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AB6"/>
    <w:rPr>
      <w:rFonts w:ascii="Segoe UI" w:hAnsi="Segoe UI" w:cs="Segoe UI"/>
      <w:sz w:val="18"/>
      <w:szCs w:val="18"/>
      <w:lang w:val="hr-HR"/>
    </w:rPr>
  </w:style>
  <w:style w:type="paragraph" w:customStyle="1" w:styleId="CM1">
    <w:name w:val="CM1"/>
    <w:basedOn w:val="Normal"/>
    <w:next w:val="Normal"/>
    <w:uiPriority w:val="99"/>
    <w:rsid w:val="00A72AB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A72AB6"/>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
    <w:next w:val="Normal"/>
    <w:uiPriority w:val="99"/>
    <w:rsid w:val="00A72AB6"/>
    <w:pPr>
      <w:autoSpaceDE w:val="0"/>
      <w:autoSpaceDN w:val="0"/>
      <w:adjustRightInd w:val="0"/>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72AB6"/>
    <w:rPr>
      <w:color w:val="954F72" w:themeColor="followedHyperlink"/>
      <w:u w:val="single"/>
    </w:rPr>
  </w:style>
  <w:style w:type="paragraph" w:styleId="TOCHeading">
    <w:name w:val="TOC Heading"/>
    <w:basedOn w:val="Heading1"/>
    <w:next w:val="Normal"/>
    <w:uiPriority w:val="39"/>
    <w:unhideWhenUsed/>
    <w:qFormat/>
    <w:rsid w:val="00A72AB6"/>
    <w:pPr>
      <w:numPr>
        <w:numId w:val="0"/>
      </w:numPr>
      <w:spacing w:line="259" w:lineRule="auto"/>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A72AB6"/>
    <w:pPr>
      <w:tabs>
        <w:tab w:val="left" w:pos="880"/>
        <w:tab w:val="right" w:leader="dot" w:pos="9062"/>
      </w:tabs>
      <w:spacing w:after="100"/>
      <w:ind w:left="220"/>
    </w:pPr>
    <w:rPr>
      <w:rFonts w:eastAsiaTheme="minorEastAsia" w:cs="Times New Roman"/>
    </w:rPr>
  </w:style>
  <w:style w:type="paragraph" w:styleId="TOC1">
    <w:name w:val="toc 1"/>
    <w:basedOn w:val="Normal"/>
    <w:next w:val="Normal"/>
    <w:autoRedefine/>
    <w:uiPriority w:val="39"/>
    <w:unhideWhenUsed/>
    <w:rsid w:val="00A72AB6"/>
    <w:pPr>
      <w:tabs>
        <w:tab w:val="left" w:pos="440"/>
        <w:tab w:val="right" w:leader="dot" w:pos="9062"/>
      </w:tabs>
      <w:spacing w:after="100"/>
    </w:pPr>
    <w:rPr>
      <w:rFonts w:eastAsiaTheme="minorEastAsia" w:cs="Times New Roman"/>
    </w:rPr>
  </w:style>
  <w:style w:type="paragraph" w:styleId="TOC3">
    <w:name w:val="toc 3"/>
    <w:basedOn w:val="Normal"/>
    <w:next w:val="Normal"/>
    <w:autoRedefine/>
    <w:uiPriority w:val="39"/>
    <w:unhideWhenUsed/>
    <w:rsid w:val="00A72AB6"/>
    <w:pPr>
      <w:spacing w:after="100"/>
      <w:ind w:left="440"/>
    </w:pPr>
    <w:rPr>
      <w:rFonts w:eastAsiaTheme="minorEastAsia" w:cs="Times New Roman"/>
    </w:rPr>
  </w:style>
  <w:style w:type="paragraph" w:customStyle="1" w:styleId="paragraph">
    <w:name w:val="paragraph"/>
    <w:basedOn w:val="Normal"/>
    <w:rsid w:val="00A72A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Bparagraph">
    <w:name w:val="EB paragraph"/>
    <w:basedOn w:val="Normal"/>
    <w:link w:val="EBparagraphChar"/>
    <w:qFormat/>
    <w:rsid w:val="00A72AB6"/>
    <w:pPr>
      <w:spacing w:after="120" w:line="240" w:lineRule="auto"/>
      <w:jc w:val="both"/>
    </w:pPr>
    <w:rPr>
      <w:rFonts w:ascii="EC Square Sans Pro" w:eastAsiaTheme="minorEastAsia" w:hAnsi="EC Square Sans Pro"/>
    </w:rPr>
  </w:style>
  <w:style w:type="paragraph" w:customStyle="1" w:styleId="EBfootnote">
    <w:name w:val="EB footnote"/>
    <w:basedOn w:val="FootnoteText"/>
    <w:link w:val="EBfootnoteChar"/>
    <w:qFormat/>
    <w:rsid w:val="00A72AB6"/>
    <w:pPr>
      <w:suppressAutoHyphens/>
      <w:autoSpaceDN w:val="0"/>
      <w:textAlignment w:val="baseline"/>
    </w:pPr>
    <w:rPr>
      <w:rFonts w:ascii="EC Square Sans Pro" w:eastAsia="Times New Roman" w:hAnsi="EC Square Sans Pro" w:cs="Times New Roman"/>
      <w:sz w:val="16"/>
      <w:szCs w:val="16"/>
    </w:rPr>
  </w:style>
  <w:style w:type="character" w:customStyle="1" w:styleId="EBfootnoteChar">
    <w:name w:val="EB footnote Char"/>
    <w:basedOn w:val="DefaultParagraphFont"/>
    <w:link w:val="EBfootnote"/>
    <w:rsid w:val="00A72AB6"/>
    <w:rPr>
      <w:rFonts w:ascii="EC Square Sans Pro" w:eastAsia="Times New Roman" w:hAnsi="EC Square Sans Pro" w:cs="Times New Roman"/>
      <w:sz w:val="16"/>
      <w:szCs w:val="16"/>
      <w:lang w:val="hr-HR"/>
    </w:rPr>
  </w:style>
  <w:style w:type="character" w:customStyle="1" w:styleId="EBparagraphChar">
    <w:name w:val="EB paragraph Char"/>
    <w:link w:val="EBparagraph"/>
    <w:qFormat/>
    <w:rsid w:val="00A72AB6"/>
    <w:rPr>
      <w:rFonts w:ascii="EC Square Sans Pro" w:eastAsiaTheme="minorEastAsia" w:hAnsi="EC Square Sans Pro"/>
      <w:lang w:val="hr-HR"/>
    </w:rPr>
  </w:style>
  <w:style w:type="paragraph" w:customStyle="1" w:styleId="EBvisual">
    <w:name w:val="EB visual"/>
    <w:basedOn w:val="EBparagraph"/>
    <w:qFormat/>
    <w:rsid w:val="00A72AB6"/>
    <w:pPr>
      <w:spacing w:after="0"/>
      <w:jc w:val="center"/>
    </w:pPr>
    <w:rPr>
      <w:i/>
      <w:noProof/>
      <w:sz w:val="18"/>
    </w:rPr>
  </w:style>
  <w:style w:type="paragraph" w:customStyle="1" w:styleId="Char2">
    <w:name w:val="Char2"/>
    <w:basedOn w:val="Normal"/>
    <w:link w:val="FootnoteReference"/>
    <w:uiPriority w:val="99"/>
    <w:rsid w:val="00A72AB6"/>
    <w:pPr>
      <w:spacing w:line="240" w:lineRule="exact"/>
    </w:pPr>
    <w:rPr>
      <w:vertAlign w:val="superscript"/>
    </w:rPr>
  </w:style>
  <w:style w:type="paragraph" w:styleId="Revision">
    <w:name w:val="Revision"/>
    <w:hidden/>
    <w:uiPriority w:val="99"/>
    <w:semiHidden/>
    <w:rsid w:val="00A72AB6"/>
    <w:pPr>
      <w:spacing w:after="0" w:line="240" w:lineRule="auto"/>
    </w:pPr>
  </w:style>
  <w:style w:type="table" w:styleId="TableGrid">
    <w:name w:val="Table Grid"/>
    <w:basedOn w:val="TableNormal"/>
    <w:uiPriority w:val="59"/>
    <w:rsid w:val="00A72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basedOn w:val="Normal"/>
    <w:uiPriority w:val="99"/>
    <w:rsid w:val="00A72AB6"/>
    <w:pPr>
      <w:spacing w:after="200" w:line="240" w:lineRule="exact"/>
      <w:jc w:val="both"/>
    </w:pPr>
    <w:rPr>
      <w:vertAlign w:val="superscript"/>
    </w:rPr>
  </w:style>
  <w:style w:type="paragraph" w:customStyle="1" w:styleId="FooterLandscape">
    <w:name w:val="FooterLandscape"/>
    <w:basedOn w:val="Normal"/>
    <w:rsid w:val="00A72AB6"/>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HeaderLandscape">
    <w:name w:val="HeaderLandscape"/>
    <w:basedOn w:val="Normal"/>
    <w:rsid w:val="00A72AB6"/>
    <w:pPr>
      <w:tabs>
        <w:tab w:val="center" w:pos="7285"/>
        <w:tab w:val="right" w:pos="14003"/>
      </w:tabs>
      <w:spacing w:after="120" w:line="240" w:lineRule="auto"/>
      <w:jc w:val="both"/>
    </w:pPr>
    <w:rPr>
      <w:rFonts w:ascii="Times New Roman" w:hAnsi="Times New Roman" w:cs="Times New Roman"/>
      <w:sz w:val="24"/>
    </w:rPr>
  </w:style>
  <w:style w:type="paragraph" w:customStyle="1" w:styleId="Figurelabel-numbered">
    <w:name w:val="Figure label-numbered"/>
    <w:basedOn w:val="Normal"/>
    <w:link w:val="Figurelabel-numberedChar"/>
    <w:qFormat/>
    <w:rsid w:val="002B358F"/>
    <w:pPr>
      <w:numPr>
        <w:numId w:val="8"/>
      </w:numPr>
      <w:spacing w:after="200" w:line="276" w:lineRule="auto"/>
      <w:jc w:val="both"/>
    </w:pPr>
    <w:rPr>
      <w:rFonts w:cstheme="minorHAnsi"/>
      <w:i/>
      <w:sz w:val="20"/>
      <w:szCs w:val="24"/>
    </w:rPr>
  </w:style>
  <w:style w:type="character" w:customStyle="1" w:styleId="Figurelabel-numberedChar">
    <w:name w:val="Figure label-numbered Char"/>
    <w:basedOn w:val="DefaultParagraphFont"/>
    <w:link w:val="Figurelabel-numbered"/>
    <w:rsid w:val="00303529"/>
    <w:rPr>
      <w:rFonts w:cstheme="minorHAnsi"/>
      <w:i/>
      <w:sz w:val="20"/>
      <w:szCs w:val="24"/>
      <w:lang w:val="hr-HR"/>
    </w:rPr>
  </w:style>
  <w:style w:type="paragraph" w:customStyle="1" w:styleId="Bodytext21">
    <w:name w:val="Body text|21"/>
    <w:basedOn w:val="Normal"/>
    <w:qFormat/>
    <w:rsid w:val="00303529"/>
    <w:pPr>
      <w:widowControl w:val="0"/>
      <w:shd w:val="clear" w:color="auto" w:fill="FFFFFF"/>
      <w:spacing w:before="1160" w:after="0" w:line="264" w:lineRule="exact"/>
      <w:ind w:hanging="360"/>
      <w:jc w:val="both"/>
    </w:pPr>
    <w:rPr>
      <w:rFonts w:ascii="Calibri" w:eastAsia="Calibri" w:hAnsi="Calibri" w:cs="Calibri"/>
      <w:color w:val="000000"/>
      <w:lang w:eastAsia="de-DE" w:bidi="de-DE"/>
    </w:rPr>
  </w:style>
  <w:style w:type="character" w:customStyle="1" w:styleId="cf01">
    <w:name w:val="cf01"/>
    <w:basedOn w:val="DefaultParagraphFont"/>
    <w:rsid w:val="00B850AA"/>
    <w:rPr>
      <w:rFonts w:ascii="Segoe UI" w:hAnsi="Segoe UI" w:cs="Segoe UI" w:hint="default"/>
      <w:sz w:val="18"/>
      <w:szCs w:val="18"/>
    </w:rPr>
  </w:style>
  <w:style w:type="character" w:styleId="Emphasis">
    <w:name w:val="Emphasis"/>
    <w:basedOn w:val="DefaultParagraphFont"/>
    <w:uiPriority w:val="20"/>
    <w:qFormat/>
    <w:rsid w:val="00EF41A2"/>
    <w:rPr>
      <w:i/>
      <w:iCs/>
    </w:rPr>
  </w:style>
  <w:style w:type="character" w:customStyle="1" w:styleId="UnresolvedMention1">
    <w:name w:val="Unresolved Mention1"/>
    <w:basedOn w:val="DefaultParagraphFont"/>
    <w:uiPriority w:val="99"/>
    <w:semiHidden/>
    <w:unhideWhenUsed/>
    <w:rsid w:val="00D00F6C"/>
    <w:rPr>
      <w:color w:val="605E5C"/>
      <w:shd w:val="clear" w:color="auto" w:fill="E1DFDD"/>
    </w:rPr>
  </w:style>
  <w:style w:type="character" w:styleId="HTMLCite">
    <w:name w:val="HTML Cite"/>
    <w:basedOn w:val="DefaultParagraphFont"/>
    <w:uiPriority w:val="99"/>
    <w:semiHidden/>
    <w:unhideWhenUsed/>
    <w:rsid w:val="008A0EF7"/>
    <w:rPr>
      <w:i/>
      <w:iCs/>
    </w:rPr>
  </w:style>
  <w:style w:type="paragraph" w:customStyle="1" w:styleId="Default">
    <w:name w:val="Default"/>
    <w:rsid w:val="008503BE"/>
    <w:pPr>
      <w:autoSpaceDE w:val="0"/>
      <w:autoSpaceDN w:val="0"/>
      <w:adjustRightInd w:val="0"/>
      <w:spacing w:after="0" w:line="240" w:lineRule="auto"/>
    </w:pPr>
    <w:rPr>
      <w:rFonts w:ascii="EUAlbertina" w:hAnsi="EUAlbertina" w:cs="EUAlbertina"/>
      <w:color w:val="000000"/>
      <w:sz w:val="24"/>
      <w:szCs w:val="24"/>
    </w:rPr>
  </w:style>
  <w:style w:type="character" w:customStyle="1" w:styleId="Marker">
    <w:name w:val="Marker"/>
    <w:basedOn w:val="DefaultParagraphFont"/>
    <w:rsid w:val="00F00EB1"/>
    <w:rPr>
      <w:color w:val="0000FF"/>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30009">
      <w:bodyDiv w:val="1"/>
      <w:marLeft w:val="0"/>
      <w:marRight w:val="0"/>
      <w:marTop w:val="0"/>
      <w:marBottom w:val="0"/>
      <w:divBdr>
        <w:top w:val="none" w:sz="0" w:space="0" w:color="auto"/>
        <w:left w:val="none" w:sz="0" w:space="0" w:color="auto"/>
        <w:bottom w:val="none" w:sz="0" w:space="0" w:color="auto"/>
        <w:right w:val="none" w:sz="0" w:space="0" w:color="auto"/>
      </w:divBdr>
    </w:div>
    <w:div w:id="1348369363">
      <w:bodyDiv w:val="1"/>
      <w:marLeft w:val="0"/>
      <w:marRight w:val="0"/>
      <w:marTop w:val="0"/>
      <w:marBottom w:val="0"/>
      <w:divBdr>
        <w:top w:val="none" w:sz="0" w:space="0" w:color="auto"/>
        <w:left w:val="none" w:sz="0" w:space="0" w:color="auto"/>
        <w:bottom w:val="none" w:sz="0" w:space="0" w:color="auto"/>
        <w:right w:val="none" w:sz="0" w:space="0" w:color="auto"/>
      </w:divBdr>
      <w:divsChild>
        <w:div w:id="386102759">
          <w:marLeft w:val="0"/>
          <w:marRight w:val="0"/>
          <w:marTop w:val="0"/>
          <w:marBottom w:val="0"/>
          <w:divBdr>
            <w:top w:val="none" w:sz="0" w:space="0" w:color="auto"/>
            <w:left w:val="none" w:sz="0" w:space="0" w:color="auto"/>
            <w:bottom w:val="none" w:sz="0" w:space="0" w:color="auto"/>
            <w:right w:val="none" w:sz="0" w:space="0" w:color="auto"/>
          </w:divBdr>
          <w:divsChild>
            <w:div w:id="1775900861">
              <w:marLeft w:val="0"/>
              <w:marRight w:val="0"/>
              <w:marTop w:val="0"/>
              <w:marBottom w:val="0"/>
              <w:divBdr>
                <w:top w:val="none" w:sz="0" w:space="0" w:color="auto"/>
                <w:left w:val="none" w:sz="0" w:space="0" w:color="auto"/>
                <w:bottom w:val="none" w:sz="0" w:space="0" w:color="auto"/>
                <w:right w:val="none" w:sz="0" w:space="0" w:color="auto"/>
              </w:divBdr>
              <w:divsChild>
                <w:div w:id="115075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conomy-finance.ec.europa.eu/system/files/2022-11/dp174_en.pdf" TargetMode="External"/><Relationship Id="rId3" Type="http://schemas.openxmlformats.org/officeDocument/2006/relationships/hyperlink" Target="https://environment.ec.europa.eu/topics/water/water-framework-directive/implementation-reports_en" TargetMode="External"/><Relationship Id="rId7" Type="http://schemas.openxmlformats.org/officeDocument/2006/relationships/hyperlink" Target="https://economy-finance.ec.europa.eu/publications/disaster-risk-financing-main-concepts-and-evidence-eu-member-states_en" TargetMode="External"/><Relationship Id="rId2" Type="http://schemas.openxmlformats.org/officeDocument/2006/relationships/hyperlink" Target="https://climate.ec.europa.eu/eu-action/european-climate-law_en" TargetMode="External"/><Relationship Id="rId1" Type="http://schemas.openxmlformats.org/officeDocument/2006/relationships/hyperlink" Target="https://eur-lex.europa.eu/legal-content/HR/TXT/?uri=uriserv%3AOJ.L_.2018.321.01.0036.01.HRV" TargetMode="External"/><Relationship Id="rId6" Type="http://schemas.openxmlformats.org/officeDocument/2006/relationships/hyperlink" Target="https://economy-finance.ec.europa.eu/publications/disaster-risk-financing-main-concepts-and-evidence-eu-member-states_en" TargetMode="External"/><Relationship Id="rId5" Type="http://schemas.openxmlformats.org/officeDocument/2006/relationships/hyperlink" Target="https://civil-protection-humanitarian-aid.ec.europa.eu/funding-evaluations/financing-civil-protection/prevention-and-preparedness-projects-civil-protection_en" TargetMode="External"/><Relationship Id="rId4" Type="http://schemas.openxmlformats.org/officeDocument/2006/relationships/hyperlink" Target="https://commission.europa.eu/funding-tenders/find-funding/eu-funding-programmes/technical-support-instrument/technical-support-instrument-tsi_hr" TargetMode="External"/><Relationship Id="rId9" Type="http://schemas.openxmlformats.org/officeDocument/2006/relationships/hyperlink" Target="https://economy-finance.ec.europa.eu/system/files/2022-11/dp17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B947-2429-4510-BEF0-96D4F424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8475</Words>
  <Characters>48312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2024-02-23T12:12:00Z</cp:lastPrinted>
  <dcterms:created xsi:type="dcterms:W3CDTF">2024-03-06T11:06:00Z</dcterms:created>
  <dcterms:modified xsi:type="dcterms:W3CDTF">2024-03-12T09:03:00Z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2023-10-24T09:26:05Z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aa3eab84-955a-462e-adb9-3b9bf4df6ece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ies>
</file>