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BE5E0" w14:textId="47E885B9" w:rsidR="008B6253" w:rsidRPr="00795FED" w:rsidRDefault="001073E5" w:rsidP="001073E5">
      <w:pPr>
        <w:pStyle w:val="Pagedecouverture"/>
        <w:rPr>
          <w:noProof/>
          <w:lang w:val="cs-CZ"/>
        </w:rPr>
      </w:pPr>
      <w:bookmarkStart w:id="0" w:name="LW_BM_COVERPAGE"/>
      <w:r>
        <w:rPr>
          <w:noProof/>
          <w:lang w:val="cs-CZ"/>
        </w:rPr>
        <w:pict w14:anchorId="6BF56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820C4A8-A62F-4AD2-9828-4A496102A8BA" style="width:455.25pt;height:393.75pt">
            <v:imagedata r:id="rId11" o:title=""/>
          </v:shape>
        </w:pict>
      </w:r>
    </w:p>
    <w:bookmarkEnd w:id="0"/>
    <w:p w14:paraId="01AEB2FF" w14:textId="77777777" w:rsidR="008B6253" w:rsidRPr="00795FED" w:rsidRDefault="008B6253" w:rsidP="008B6253">
      <w:pPr>
        <w:rPr>
          <w:noProof/>
          <w:lang w:val="cs-CZ"/>
        </w:rPr>
        <w:sectPr w:rsidR="008B6253" w:rsidRPr="00795FED" w:rsidSect="001073E5">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6159457" w14:textId="77777777" w:rsidR="008B6253" w:rsidRPr="00795FED" w:rsidRDefault="008B6253" w:rsidP="008B6253">
      <w:pPr>
        <w:pStyle w:val="TOCHeading"/>
        <w:rPr>
          <w:b w:val="0"/>
          <w:noProof/>
          <w:sz w:val="24"/>
          <w:lang w:val="cs-CZ"/>
        </w:rPr>
      </w:pPr>
      <w:bookmarkStart w:id="1" w:name="_GoBack"/>
      <w:bookmarkEnd w:id="1"/>
    </w:p>
    <w:sdt>
      <w:sdtPr>
        <w:rPr>
          <w:b w:val="0"/>
          <w:noProof/>
          <w:sz w:val="24"/>
          <w:lang w:val="cs-CZ"/>
        </w:rPr>
        <w:id w:val="-874687748"/>
        <w:docPartObj>
          <w:docPartGallery w:val="Table of Contents"/>
          <w:docPartUnique/>
        </w:docPartObj>
      </w:sdtPr>
      <w:sdtEndPr>
        <w:rPr>
          <w:sz w:val="22"/>
        </w:rPr>
      </w:sdtEndPr>
      <w:sdtContent>
        <w:p w14:paraId="24E88DD3" w14:textId="77777777" w:rsidR="008B6253" w:rsidRPr="00795FED" w:rsidRDefault="008B6253" w:rsidP="008B6253">
          <w:pPr>
            <w:pStyle w:val="TOCHeading"/>
            <w:rPr>
              <w:noProof/>
              <w:color w:val="034EA2" w:themeColor="accent1"/>
              <w:lang w:val="cs-CZ"/>
            </w:rPr>
          </w:pPr>
          <w:r w:rsidRPr="00795FED">
            <w:rPr>
              <w:noProof/>
              <w:color w:val="034EA2" w:themeColor="accent1"/>
              <w:lang w:val="cs-CZ"/>
            </w:rPr>
            <w:t>Obsah</w:t>
          </w:r>
        </w:p>
        <w:p w14:paraId="009984F6" w14:textId="2232F4BE" w:rsidR="00E42874" w:rsidRPr="00795FED" w:rsidRDefault="008B6253">
          <w:pPr>
            <w:pStyle w:val="TOC1"/>
            <w:rPr>
              <w:rFonts w:asciiTheme="minorHAnsi" w:eastAsiaTheme="minorEastAsia" w:hAnsiTheme="minorHAnsi" w:cstheme="minorBidi"/>
              <w:noProof/>
              <w:color w:val="034EA2" w:themeColor="accent1"/>
              <w:kern w:val="2"/>
              <w:szCs w:val="22"/>
              <w:lang w:val="cs-CZ"/>
              <w14:ligatures w14:val="standardContextual"/>
            </w:rPr>
          </w:pPr>
          <w:r w:rsidRPr="00795FED">
            <w:rPr>
              <w:noProof/>
              <w:lang w:val="cs-CZ"/>
            </w:rPr>
            <w:fldChar w:fldCharType="begin"/>
          </w:r>
          <w:r w:rsidRPr="00795FED">
            <w:rPr>
              <w:noProof/>
              <w:lang w:val="cs-CZ"/>
            </w:rPr>
            <w:instrText xml:space="preserve"> TOC \o "1-3" \h \z \u </w:instrText>
          </w:r>
          <w:r w:rsidRPr="00795FED">
            <w:rPr>
              <w:noProof/>
              <w:lang w:val="cs-CZ"/>
            </w:rPr>
            <w:fldChar w:fldCharType="separate"/>
          </w:r>
          <w:hyperlink w:anchor="_Toc161148989" w:history="1">
            <w:r w:rsidR="00E42874" w:rsidRPr="00795FED">
              <w:rPr>
                <w:rStyle w:val="Hyperlink"/>
                <w:noProof/>
                <w:color w:val="034EA2" w:themeColor="accent1"/>
                <w:lang w:val="cs-CZ"/>
              </w:rPr>
              <w:t>1.</w:t>
            </w:r>
            <w:r w:rsidR="00E42874" w:rsidRPr="00795FED">
              <w:rPr>
                <w:rFonts w:asciiTheme="minorHAnsi" w:eastAsiaTheme="minorEastAsia" w:hAnsiTheme="minorHAnsi" w:cstheme="minorBidi"/>
                <w:noProof/>
                <w:color w:val="034EA2" w:themeColor="accent1"/>
                <w:kern w:val="2"/>
                <w:szCs w:val="22"/>
                <w:lang w:val="cs-CZ"/>
                <w14:ligatures w14:val="standardContextual"/>
              </w:rPr>
              <w:tab/>
            </w:r>
            <w:r w:rsidR="00E42874" w:rsidRPr="00795FED">
              <w:rPr>
                <w:rStyle w:val="Hyperlink"/>
                <w:noProof/>
                <w:color w:val="034EA2" w:themeColor="accent1"/>
                <w:lang w:val="cs-CZ"/>
              </w:rPr>
              <w:t>Shrnutí</w:t>
            </w:r>
            <w:r w:rsidR="00E42874" w:rsidRPr="00795FED">
              <w:rPr>
                <w:noProof/>
                <w:webHidden/>
                <w:color w:val="034EA2" w:themeColor="accent1"/>
                <w:lang w:val="cs-CZ"/>
              </w:rPr>
              <w:tab/>
            </w:r>
            <w:r w:rsidR="00E42874" w:rsidRPr="00795FED">
              <w:rPr>
                <w:noProof/>
                <w:webHidden/>
                <w:color w:val="034EA2" w:themeColor="accent1"/>
                <w:lang w:val="cs-CZ"/>
              </w:rPr>
              <w:fldChar w:fldCharType="begin"/>
            </w:r>
            <w:r w:rsidR="00E42874" w:rsidRPr="00795FED">
              <w:rPr>
                <w:noProof/>
                <w:webHidden/>
                <w:color w:val="034EA2" w:themeColor="accent1"/>
                <w:lang w:val="cs-CZ"/>
              </w:rPr>
              <w:instrText xml:space="preserve"> PAGEREF _Toc161148989 \h </w:instrText>
            </w:r>
            <w:r w:rsidR="00E42874" w:rsidRPr="00795FED">
              <w:rPr>
                <w:noProof/>
                <w:webHidden/>
                <w:color w:val="034EA2" w:themeColor="accent1"/>
                <w:lang w:val="cs-CZ"/>
              </w:rPr>
            </w:r>
            <w:r w:rsidR="00E42874" w:rsidRPr="00795FED">
              <w:rPr>
                <w:noProof/>
                <w:webHidden/>
                <w:color w:val="034EA2" w:themeColor="accent1"/>
                <w:lang w:val="cs-CZ"/>
              </w:rPr>
              <w:fldChar w:fldCharType="separate"/>
            </w:r>
            <w:r w:rsidR="00E42874" w:rsidRPr="00795FED">
              <w:rPr>
                <w:noProof/>
                <w:webHidden/>
                <w:color w:val="034EA2" w:themeColor="accent1"/>
                <w:lang w:val="cs-CZ"/>
              </w:rPr>
              <w:t>3</w:t>
            </w:r>
            <w:r w:rsidR="00E42874" w:rsidRPr="00795FED">
              <w:rPr>
                <w:noProof/>
                <w:webHidden/>
                <w:color w:val="034EA2" w:themeColor="accent1"/>
                <w:lang w:val="cs-CZ"/>
              </w:rPr>
              <w:fldChar w:fldCharType="end"/>
            </w:r>
          </w:hyperlink>
        </w:p>
        <w:p w14:paraId="1C8E7E40" w14:textId="699D1D44" w:rsidR="00E42874" w:rsidRPr="00795FED" w:rsidRDefault="001073E5">
          <w:pPr>
            <w:pStyle w:val="TOC1"/>
            <w:rPr>
              <w:rFonts w:asciiTheme="minorHAnsi" w:eastAsiaTheme="minorEastAsia" w:hAnsiTheme="minorHAnsi" w:cstheme="minorBidi"/>
              <w:noProof/>
              <w:color w:val="034EA2" w:themeColor="accent1"/>
              <w:kern w:val="2"/>
              <w:szCs w:val="22"/>
              <w:lang w:val="cs-CZ"/>
              <w14:ligatures w14:val="standardContextual"/>
            </w:rPr>
          </w:pPr>
          <w:hyperlink w:anchor="_Toc161148990" w:history="1">
            <w:r w:rsidR="00E42874" w:rsidRPr="00795FED">
              <w:rPr>
                <w:rStyle w:val="Hyperlink"/>
                <w:noProof/>
                <w:color w:val="034EA2" w:themeColor="accent1"/>
                <w:lang w:val="cs-CZ"/>
              </w:rPr>
              <w:t>2.</w:t>
            </w:r>
            <w:r w:rsidR="00E42874" w:rsidRPr="00795FED">
              <w:rPr>
                <w:rFonts w:asciiTheme="minorHAnsi" w:eastAsiaTheme="minorEastAsia" w:hAnsiTheme="minorHAnsi" w:cstheme="minorBidi"/>
                <w:noProof/>
                <w:color w:val="034EA2" w:themeColor="accent1"/>
                <w:kern w:val="2"/>
                <w:szCs w:val="22"/>
                <w:lang w:val="cs-CZ"/>
                <w14:ligatures w14:val="standardContextual"/>
              </w:rPr>
              <w:tab/>
            </w:r>
            <w:r w:rsidR="00E42874" w:rsidRPr="00795FED">
              <w:rPr>
                <w:rStyle w:val="Hyperlink"/>
                <w:noProof/>
                <w:color w:val="034EA2" w:themeColor="accent1"/>
                <w:lang w:val="cs-CZ"/>
              </w:rPr>
              <w:t>Úvod</w:t>
            </w:r>
            <w:r w:rsidR="00E42874" w:rsidRPr="00795FED">
              <w:rPr>
                <w:noProof/>
                <w:webHidden/>
                <w:color w:val="034EA2" w:themeColor="accent1"/>
                <w:lang w:val="cs-CZ"/>
              </w:rPr>
              <w:tab/>
            </w:r>
            <w:r w:rsidR="00E42874" w:rsidRPr="00795FED">
              <w:rPr>
                <w:noProof/>
                <w:webHidden/>
                <w:color w:val="034EA2" w:themeColor="accent1"/>
                <w:lang w:val="cs-CZ"/>
              </w:rPr>
              <w:fldChar w:fldCharType="begin"/>
            </w:r>
            <w:r w:rsidR="00E42874" w:rsidRPr="00795FED">
              <w:rPr>
                <w:noProof/>
                <w:webHidden/>
                <w:color w:val="034EA2" w:themeColor="accent1"/>
                <w:lang w:val="cs-CZ"/>
              </w:rPr>
              <w:instrText xml:space="preserve"> PAGEREF _Toc161148990 \h </w:instrText>
            </w:r>
            <w:r w:rsidR="00E42874" w:rsidRPr="00795FED">
              <w:rPr>
                <w:noProof/>
                <w:webHidden/>
                <w:color w:val="034EA2" w:themeColor="accent1"/>
                <w:lang w:val="cs-CZ"/>
              </w:rPr>
            </w:r>
            <w:r w:rsidR="00E42874" w:rsidRPr="00795FED">
              <w:rPr>
                <w:noProof/>
                <w:webHidden/>
                <w:color w:val="034EA2" w:themeColor="accent1"/>
                <w:lang w:val="cs-CZ"/>
              </w:rPr>
              <w:fldChar w:fldCharType="separate"/>
            </w:r>
            <w:r w:rsidR="00E42874" w:rsidRPr="00795FED">
              <w:rPr>
                <w:noProof/>
                <w:webHidden/>
                <w:color w:val="034EA2" w:themeColor="accent1"/>
                <w:lang w:val="cs-CZ"/>
              </w:rPr>
              <w:t>3</w:t>
            </w:r>
            <w:r w:rsidR="00E42874" w:rsidRPr="00795FED">
              <w:rPr>
                <w:noProof/>
                <w:webHidden/>
                <w:color w:val="034EA2" w:themeColor="accent1"/>
                <w:lang w:val="cs-CZ"/>
              </w:rPr>
              <w:fldChar w:fldCharType="end"/>
            </w:r>
          </w:hyperlink>
        </w:p>
        <w:p w14:paraId="218E2F86" w14:textId="7AE9B26F" w:rsidR="00E42874" w:rsidRPr="00795FED" w:rsidRDefault="001073E5">
          <w:pPr>
            <w:pStyle w:val="TOC1"/>
            <w:rPr>
              <w:rFonts w:asciiTheme="minorHAnsi" w:eastAsiaTheme="minorEastAsia" w:hAnsiTheme="minorHAnsi" w:cstheme="minorBidi"/>
              <w:noProof/>
              <w:color w:val="034EA2" w:themeColor="accent1"/>
              <w:kern w:val="2"/>
              <w:szCs w:val="22"/>
              <w:lang w:val="cs-CZ"/>
              <w14:ligatures w14:val="standardContextual"/>
            </w:rPr>
          </w:pPr>
          <w:hyperlink w:anchor="_Toc161148991" w:history="1">
            <w:r w:rsidR="00E42874" w:rsidRPr="00795FED">
              <w:rPr>
                <w:rStyle w:val="Hyperlink"/>
                <w:noProof/>
                <w:color w:val="034EA2" w:themeColor="accent1"/>
                <w:lang w:val="cs-CZ"/>
              </w:rPr>
              <w:t>3.</w:t>
            </w:r>
            <w:r w:rsidR="00E42874" w:rsidRPr="00795FED">
              <w:rPr>
                <w:rFonts w:asciiTheme="minorHAnsi" w:eastAsiaTheme="minorEastAsia" w:hAnsiTheme="minorHAnsi" w:cstheme="minorBidi"/>
                <w:noProof/>
                <w:color w:val="034EA2" w:themeColor="accent1"/>
                <w:kern w:val="2"/>
                <w:szCs w:val="22"/>
                <w:lang w:val="cs-CZ"/>
                <w14:ligatures w14:val="standardContextual"/>
              </w:rPr>
              <w:tab/>
            </w:r>
            <w:r w:rsidR="00E42874" w:rsidRPr="00795FED">
              <w:rPr>
                <w:rStyle w:val="Hyperlink"/>
                <w:noProof/>
                <w:color w:val="034EA2" w:themeColor="accent1"/>
                <w:lang w:val="cs-CZ"/>
              </w:rPr>
              <w:t>Provádění výpůjčních operací ve druhém pololetí roku 2023</w:t>
            </w:r>
            <w:r w:rsidR="00E42874" w:rsidRPr="00795FED">
              <w:rPr>
                <w:noProof/>
                <w:webHidden/>
                <w:color w:val="034EA2" w:themeColor="accent1"/>
                <w:lang w:val="cs-CZ"/>
              </w:rPr>
              <w:tab/>
            </w:r>
            <w:r w:rsidR="00E42874" w:rsidRPr="00795FED">
              <w:rPr>
                <w:noProof/>
                <w:webHidden/>
                <w:color w:val="034EA2" w:themeColor="accent1"/>
                <w:lang w:val="cs-CZ"/>
              </w:rPr>
              <w:fldChar w:fldCharType="begin"/>
            </w:r>
            <w:r w:rsidR="00E42874" w:rsidRPr="00795FED">
              <w:rPr>
                <w:noProof/>
                <w:webHidden/>
                <w:color w:val="034EA2" w:themeColor="accent1"/>
                <w:lang w:val="cs-CZ"/>
              </w:rPr>
              <w:instrText xml:space="preserve"> PAGEREF _Toc161148991 \h </w:instrText>
            </w:r>
            <w:r w:rsidR="00E42874" w:rsidRPr="00795FED">
              <w:rPr>
                <w:noProof/>
                <w:webHidden/>
                <w:color w:val="034EA2" w:themeColor="accent1"/>
                <w:lang w:val="cs-CZ"/>
              </w:rPr>
            </w:r>
            <w:r w:rsidR="00E42874" w:rsidRPr="00795FED">
              <w:rPr>
                <w:noProof/>
                <w:webHidden/>
                <w:color w:val="034EA2" w:themeColor="accent1"/>
                <w:lang w:val="cs-CZ"/>
              </w:rPr>
              <w:fldChar w:fldCharType="separate"/>
            </w:r>
            <w:r w:rsidR="00E42874" w:rsidRPr="00795FED">
              <w:rPr>
                <w:noProof/>
                <w:webHidden/>
                <w:color w:val="034EA2" w:themeColor="accent1"/>
                <w:lang w:val="cs-CZ"/>
              </w:rPr>
              <w:t>4</w:t>
            </w:r>
            <w:r w:rsidR="00E42874" w:rsidRPr="00795FED">
              <w:rPr>
                <w:noProof/>
                <w:webHidden/>
                <w:color w:val="034EA2" w:themeColor="accent1"/>
                <w:lang w:val="cs-CZ"/>
              </w:rPr>
              <w:fldChar w:fldCharType="end"/>
            </w:r>
          </w:hyperlink>
        </w:p>
        <w:p w14:paraId="70C53865" w14:textId="2160C4A6" w:rsidR="00E42874" w:rsidRPr="00795FED" w:rsidRDefault="001073E5">
          <w:pPr>
            <w:pStyle w:val="TOC1"/>
            <w:rPr>
              <w:rFonts w:asciiTheme="minorHAnsi" w:eastAsiaTheme="minorEastAsia" w:hAnsiTheme="minorHAnsi" w:cstheme="minorBidi"/>
              <w:noProof/>
              <w:color w:val="034EA2" w:themeColor="accent1"/>
              <w:kern w:val="2"/>
              <w:szCs w:val="22"/>
              <w:lang w:val="cs-CZ"/>
              <w14:ligatures w14:val="standardContextual"/>
            </w:rPr>
          </w:pPr>
          <w:hyperlink w:anchor="_Toc161148995" w:history="1">
            <w:r w:rsidR="00E42874" w:rsidRPr="00795FED">
              <w:rPr>
                <w:rStyle w:val="Hyperlink"/>
                <w:noProof/>
                <w:color w:val="034EA2" w:themeColor="accent1"/>
                <w:lang w:val="cs-CZ"/>
              </w:rPr>
              <w:t>4.</w:t>
            </w:r>
            <w:r w:rsidR="00E42874" w:rsidRPr="00795FED">
              <w:rPr>
                <w:rFonts w:asciiTheme="minorHAnsi" w:eastAsiaTheme="minorEastAsia" w:hAnsiTheme="minorHAnsi" w:cstheme="minorBidi"/>
                <w:noProof/>
                <w:color w:val="034EA2" w:themeColor="accent1"/>
                <w:kern w:val="2"/>
                <w:szCs w:val="22"/>
                <w:lang w:val="cs-CZ"/>
                <w14:ligatures w14:val="standardContextual"/>
              </w:rPr>
              <w:tab/>
            </w:r>
            <w:r w:rsidR="00E42874" w:rsidRPr="00795FED">
              <w:rPr>
                <w:rStyle w:val="Hyperlink"/>
                <w:noProof/>
                <w:color w:val="034EA2" w:themeColor="accent1"/>
                <w:lang w:val="cs-CZ"/>
              </w:rPr>
              <w:t>Náklady na financování a zůstatky likvidity</w:t>
            </w:r>
            <w:r w:rsidR="00E42874" w:rsidRPr="00795FED">
              <w:rPr>
                <w:noProof/>
                <w:webHidden/>
                <w:color w:val="034EA2" w:themeColor="accent1"/>
                <w:lang w:val="cs-CZ"/>
              </w:rPr>
              <w:tab/>
            </w:r>
            <w:r w:rsidR="00E42874" w:rsidRPr="00795FED">
              <w:rPr>
                <w:noProof/>
                <w:webHidden/>
                <w:color w:val="034EA2" w:themeColor="accent1"/>
                <w:lang w:val="cs-CZ"/>
              </w:rPr>
              <w:fldChar w:fldCharType="begin"/>
            </w:r>
            <w:r w:rsidR="00E42874" w:rsidRPr="00795FED">
              <w:rPr>
                <w:noProof/>
                <w:webHidden/>
                <w:color w:val="034EA2" w:themeColor="accent1"/>
                <w:lang w:val="cs-CZ"/>
              </w:rPr>
              <w:instrText xml:space="preserve"> PAGEREF _Toc161148995 \h </w:instrText>
            </w:r>
            <w:r w:rsidR="00E42874" w:rsidRPr="00795FED">
              <w:rPr>
                <w:noProof/>
                <w:webHidden/>
                <w:color w:val="034EA2" w:themeColor="accent1"/>
                <w:lang w:val="cs-CZ"/>
              </w:rPr>
            </w:r>
            <w:r w:rsidR="00E42874" w:rsidRPr="00795FED">
              <w:rPr>
                <w:noProof/>
                <w:webHidden/>
                <w:color w:val="034EA2" w:themeColor="accent1"/>
                <w:lang w:val="cs-CZ"/>
              </w:rPr>
              <w:fldChar w:fldCharType="separate"/>
            </w:r>
            <w:r w:rsidR="00E42874" w:rsidRPr="00795FED">
              <w:rPr>
                <w:noProof/>
                <w:webHidden/>
                <w:color w:val="034EA2" w:themeColor="accent1"/>
                <w:lang w:val="cs-CZ"/>
              </w:rPr>
              <w:t>9</w:t>
            </w:r>
            <w:r w:rsidR="00E42874" w:rsidRPr="00795FED">
              <w:rPr>
                <w:noProof/>
                <w:webHidden/>
                <w:color w:val="034EA2" w:themeColor="accent1"/>
                <w:lang w:val="cs-CZ"/>
              </w:rPr>
              <w:fldChar w:fldCharType="end"/>
            </w:r>
          </w:hyperlink>
        </w:p>
        <w:p w14:paraId="64921DD3" w14:textId="6EB11671" w:rsidR="00E42874" w:rsidRPr="00795FED" w:rsidRDefault="001073E5">
          <w:pPr>
            <w:pStyle w:val="TOC1"/>
            <w:rPr>
              <w:rFonts w:asciiTheme="minorHAnsi" w:eastAsiaTheme="minorEastAsia" w:hAnsiTheme="minorHAnsi" w:cstheme="minorBidi"/>
              <w:noProof/>
              <w:color w:val="034EA2" w:themeColor="accent1"/>
              <w:kern w:val="2"/>
              <w:szCs w:val="22"/>
              <w:lang w:val="cs-CZ"/>
              <w14:ligatures w14:val="standardContextual"/>
            </w:rPr>
          </w:pPr>
          <w:hyperlink w:anchor="_Toc161148998" w:history="1">
            <w:r w:rsidR="00E42874" w:rsidRPr="00795FED">
              <w:rPr>
                <w:rStyle w:val="Hyperlink"/>
                <w:noProof/>
                <w:color w:val="034EA2" w:themeColor="accent1"/>
                <w:lang w:val="cs-CZ"/>
              </w:rPr>
              <w:t>5.</w:t>
            </w:r>
            <w:r w:rsidR="00E42874" w:rsidRPr="00795FED">
              <w:rPr>
                <w:rFonts w:asciiTheme="minorHAnsi" w:eastAsiaTheme="minorEastAsia" w:hAnsiTheme="minorHAnsi" w:cstheme="minorBidi"/>
                <w:noProof/>
                <w:color w:val="034EA2" w:themeColor="accent1"/>
                <w:kern w:val="2"/>
                <w:szCs w:val="22"/>
                <w:lang w:val="cs-CZ"/>
                <w14:ligatures w14:val="standardContextual"/>
              </w:rPr>
              <w:tab/>
            </w:r>
            <w:r w:rsidR="00E42874" w:rsidRPr="00795FED">
              <w:rPr>
                <w:rStyle w:val="Hyperlink"/>
                <w:noProof/>
                <w:color w:val="034EA2" w:themeColor="accent1"/>
                <w:lang w:val="cs-CZ"/>
              </w:rPr>
              <w:t>Kroky k dalšímu rozvoji ekosystému dluhopisů EU</w:t>
            </w:r>
            <w:r w:rsidR="00E42874" w:rsidRPr="00795FED">
              <w:rPr>
                <w:noProof/>
                <w:webHidden/>
                <w:color w:val="034EA2" w:themeColor="accent1"/>
                <w:lang w:val="cs-CZ"/>
              </w:rPr>
              <w:tab/>
            </w:r>
            <w:r w:rsidR="00E42874" w:rsidRPr="00795FED">
              <w:rPr>
                <w:noProof/>
                <w:webHidden/>
                <w:color w:val="034EA2" w:themeColor="accent1"/>
                <w:lang w:val="cs-CZ"/>
              </w:rPr>
              <w:fldChar w:fldCharType="begin"/>
            </w:r>
            <w:r w:rsidR="00E42874" w:rsidRPr="00795FED">
              <w:rPr>
                <w:noProof/>
                <w:webHidden/>
                <w:color w:val="034EA2" w:themeColor="accent1"/>
                <w:lang w:val="cs-CZ"/>
              </w:rPr>
              <w:instrText xml:space="preserve"> PAGEREF _Toc161148998 \h </w:instrText>
            </w:r>
            <w:r w:rsidR="00E42874" w:rsidRPr="00795FED">
              <w:rPr>
                <w:noProof/>
                <w:webHidden/>
                <w:color w:val="034EA2" w:themeColor="accent1"/>
                <w:lang w:val="cs-CZ"/>
              </w:rPr>
            </w:r>
            <w:r w:rsidR="00E42874" w:rsidRPr="00795FED">
              <w:rPr>
                <w:noProof/>
                <w:webHidden/>
                <w:color w:val="034EA2" w:themeColor="accent1"/>
                <w:lang w:val="cs-CZ"/>
              </w:rPr>
              <w:fldChar w:fldCharType="separate"/>
            </w:r>
            <w:r w:rsidR="00E42874" w:rsidRPr="00795FED">
              <w:rPr>
                <w:noProof/>
                <w:webHidden/>
                <w:color w:val="034EA2" w:themeColor="accent1"/>
                <w:lang w:val="cs-CZ"/>
              </w:rPr>
              <w:t>10</w:t>
            </w:r>
            <w:r w:rsidR="00E42874" w:rsidRPr="00795FED">
              <w:rPr>
                <w:noProof/>
                <w:webHidden/>
                <w:color w:val="034EA2" w:themeColor="accent1"/>
                <w:lang w:val="cs-CZ"/>
              </w:rPr>
              <w:fldChar w:fldCharType="end"/>
            </w:r>
          </w:hyperlink>
        </w:p>
        <w:p w14:paraId="548F0A55" w14:textId="1CE7B79D" w:rsidR="00E42874" w:rsidRPr="00795FED" w:rsidRDefault="001073E5">
          <w:pPr>
            <w:pStyle w:val="TOC1"/>
            <w:rPr>
              <w:rFonts w:asciiTheme="minorHAnsi" w:eastAsiaTheme="minorEastAsia" w:hAnsiTheme="minorHAnsi" w:cstheme="minorBidi"/>
              <w:noProof/>
              <w:color w:val="034EA2" w:themeColor="accent1"/>
              <w:kern w:val="2"/>
              <w:szCs w:val="22"/>
              <w:lang w:val="cs-CZ"/>
              <w14:ligatures w14:val="standardContextual"/>
            </w:rPr>
          </w:pPr>
          <w:hyperlink w:anchor="_Toc161148999" w:history="1">
            <w:r w:rsidR="00E42874" w:rsidRPr="00795FED">
              <w:rPr>
                <w:rStyle w:val="Hyperlink"/>
                <w:noProof/>
                <w:color w:val="034EA2" w:themeColor="accent1"/>
                <w:lang w:val="cs-CZ"/>
              </w:rPr>
              <w:t>6.</w:t>
            </w:r>
            <w:r w:rsidR="00E42874" w:rsidRPr="00795FED">
              <w:rPr>
                <w:rFonts w:asciiTheme="minorHAnsi" w:eastAsiaTheme="minorEastAsia" w:hAnsiTheme="minorHAnsi" w:cstheme="minorBidi"/>
                <w:noProof/>
                <w:color w:val="034EA2" w:themeColor="accent1"/>
                <w:kern w:val="2"/>
                <w:szCs w:val="22"/>
                <w:lang w:val="cs-CZ"/>
                <w14:ligatures w14:val="standardContextual"/>
              </w:rPr>
              <w:tab/>
            </w:r>
            <w:r w:rsidR="00E42874" w:rsidRPr="00795FED">
              <w:rPr>
                <w:rStyle w:val="Hyperlink"/>
                <w:noProof/>
                <w:color w:val="034EA2" w:themeColor="accent1"/>
                <w:lang w:val="cs-CZ"/>
              </w:rPr>
              <w:t>Další milníky ve druhé polovině roku 2023</w:t>
            </w:r>
            <w:r w:rsidR="00E42874" w:rsidRPr="00795FED">
              <w:rPr>
                <w:noProof/>
                <w:webHidden/>
                <w:color w:val="034EA2" w:themeColor="accent1"/>
                <w:lang w:val="cs-CZ"/>
              </w:rPr>
              <w:tab/>
            </w:r>
            <w:r w:rsidR="00E42874" w:rsidRPr="00795FED">
              <w:rPr>
                <w:noProof/>
                <w:webHidden/>
                <w:color w:val="034EA2" w:themeColor="accent1"/>
                <w:lang w:val="cs-CZ"/>
              </w:rPr>
              <w:fldChar w:fldCharType="begin"/>
            </w:r>
            <w:r w:rsidR="00E42874" w:rsidRPr="00795FED">
              <w:rPr>
                <w:noProof/>
                <w:webHidden/>
                <w:color w:val="034EA2" w:themeColor="accent1"/>
                <w:lang w:val="cs-CZ"/>
              </w:rPr>
              <w:instrText xml:space="preserve"> PAGEREF _Toc161148999 \h </w:instrText>
            </w:r>
            <w:r w:rsidR="00E42874" w:rsidRPr="00795FED">
              <w:rPr>
                <w:noProof/>
                <w:webHidden/>
                <w:color w:val="034EA2" w:themeColor="accent1"/>
                <w:lang w:val="cs-CZ"/>
              </w:rPr>
            </w:r>
            <w:r w:rsidR="00E42874" w:rsidRPr="00795FED">
              <w:rPr>
                <w:noProof/>
                <w:webHidden/>
                <w:color w:val="034EA2" w:themeColor="accent1"/>
                <w:lang w:val="cs-CZ"/>
              </w:rPr>
              <w:fldChar w:fldCharType="separate"/>
            </w:r>
            <w:r w:rsidR="00E42874" w:rsidRPr="00795FED">
              <w:rPr>
                <w:noProof/>
                <w:webHidden/>
                <w:color w:val="034EA2" w:themeColor="accent1"/>
                <w:lang w:val="cs-CZ"/>
              </w:rPr>
              <w:t>12</w:t>
            </w:r>
            <w:r w:rsidR="00E42874" w:rsidRPr="00795FED">
              <w:rPr>
                <w:noProof/>
                <w:webHidden/>
                <w:color w:val="034EA2" w:themeColor="accent1"/>
                <w:lang w:val="cs-CZ"/>
              </w:rPr>
              <w:fldChar w:fldCharType="end"/>
            </w:r>
          </w:hyperlink>
        </w:p>
        <w:p w14:paraId="35AD8DE7" w14:textId="727A0339" w:rsidR="00E42874" w:rsidRPr="00795FED" w:rsidRDefault="001073E5">
          <w:pPr>
            <w:pStyle w:val="TOC1"/>
            <w:rPr>
              <w:rFonts w:asciiTheme="minorHAnsi" w:eastAsiaTheme="minorEastAsia" w:hAnsiTheme="minorHAnsi" w:cstheme="minorBidi"/>
              <w:noProof/>
              <w:kern w:val="2"/>
              <w:szCs w:val="22"/>
              <w:lang w:val="cs-CZ"/>
              <w14:ligatures w14:val="standardContextual"/>
            </w:rPr>
          </w:pPr>
          <w:hyperlink w:anchor="_Toc161149001" w:history="1">
            <w:r w:rsidR="00E42874" w:rsidRPr="00795FED">
              <w:rPr>
                <w:rStyle w:val="Hyperlink"/>
                <w:noProof/>
                <w:color w:val="034EA2" w:themeColor="accent1"/>
                <w:lang w:val="cs-CZ"/>
              </w:rPr>
              <w:t>7.</w:t>
            </w:r>
            <w:r w:rsidR="00E42874" w:rsidRPr="00795FED">
              <w:rPr>
                <w:rFonts w:asciiTheme="minorHAnsi" w:eastAsiaTheme="minorEastAsia" w:hAnsiTheme="minorHAnsi" w:cstheme="minorBidi"/>
                <w:noProof/>
                <w:color w:val="034EA2" w:themeColor="accent1"/>
                <w:kern w:val="2"/>
                <w:szCs w:val="22"/>
                <w:lang w:val="cs-CZ"/>
                <w14:ligatures w14:val="standardContextual"/>
              </w:rPr>
              <w:tab/>
            </w:r>
            <w:r w:rsidR="00E42874" w:rsidRPr="00795FED">
              <w:rPr>
                <w:rStyle w:val="Hyperlink"/>
                <w:noProof/>
                <w:color w:val="034EA2" w:themeColor="accent1"/>
                <w:lang w:val="cs-CZ"/>
              </w:rPr>
              <w:t>Výhled týkající se emisí na první pololetí roku 2024</w:t>
            </w:r>
            <w:r w:rsidR="00E42874" w:rsidRPr="00795FED">
              <w:rPr>
                <w:noProof/>
                <w:webHidden/>
                <w:color w:val="034EA2" w:themeColor="accent1"/>
                <w:lang w:val="cs-CZ"/>
              </w:rPr>
              <w:tab/>
            </w:r>
            <w:r w:rsidR="00E42874" w:rsidRPr="00795FED">
              <w:rPr>
                <w:noProof/>
                <w:webHidden/>
                <w:color w:val="034EA2" w:themeColor="accent1"/>
                <w:lang w:val="cs-CZ"/>
              </w:rPr>
              <w:fldChar w:fldCharType="begin"/>
            </w:r>
            <w:r w:rsidR="00E42874" w:rsidRPr="00795FED">
              <w:rPr>
                <w:noProof/>
                <w:webHidden/>
                <w:color w:val="034EA2" w:themeColor="accent1"/>
                <w:lang w:val="cs-CZ"/>
              </w:rPr>
              <w:instrText xml:space="preserve"> PAGEREF _Toc161149001 \h </w:instrText>
            </w:r>
            <w:r w:rsidR="00E42874" w:rsidRPr="00795FED">
              <w:rPr>
                <w:noProof/>
                <w:webHidden/>
                <w:color w:val="034EA2" w:themeColor="accent1"/>
                <w:lang w:val="cs-CZ"/>
              </w:rPr>
            </w:r>
            <w:r w:rsidR="00E42874" w:rsidRPr="00795FED">
              <w:rPr>
                <w:noProof/>
                <w:webHidden/>
                <w:color w:val="034EA2" w:themeColor="accent1"/>
                <w:lang w:val="cs-CZ"/>
              </w:rPr>
              <w:fldChar w:fldCharType="separate"/>
            </w:r>
            <w:r w:rsidR="00E42874" w:rsidRPr="00795FED">
              <w:rPr>
                <w:noProof/>
                <w:webHidden/>
                <w:color w:val="034EA2" w:themeColor="accent1"/>
                <w:lang w:val="cs-CZ"/>
              </w:rPr>
              <w:t>12</w:t>
            </w:r>
            <w:r w:rsidR="00E42874" w:rsidRPr="00795FED">
              <w:rPr>
                <w:noProof/>
                <w:webHidden/>
                <w:color w:val="034EA2" w:themeColor="accent1"/>
                <w:lang w:val="cs-CZ"/>
              </w:rPr>
              <w:fldChar w:fldCharType="end"/>
            </w:r>
          </w:hyperlink>
        </w:p>
        <w:p w14:paraId="33097789" w14:textId="5E29AAFC" w:rsidR="008B6253" w:rsidRPr="00795FED" w:rsidRDefault="008B6253" w:rsidP="008B6253">
          <w:pPr>
            <w:rPr>
              <w:noProof/>
              <w:lang w:val="cs-CZ"/>
            </w:rPr>
          </w:pPr>
          <w:r w:rsidRPr="00795FED">
            <w:rPr>
              <w:b/>
              <w:noProof/>
              <w:lang w:val="cs-CZ"/>
            </w:rPr>
            <w:fldChar w:fldCharType="end"/>
          </w:r>
        </w:p>
      </w:sdtContent>
    </w:sdt>
    <w:p w14:paraId="0D3B81B7" w14:textId="77777777" w:rsidR="008B6253" w:rsidRPr="00795FED" w:rsidRDefault="008B6253" w:rsidP="008B6253">
      <w:pPr>
        <w:rPr>
          <w:noProof/>
          <w:lang w:val="cs-CZ"/>
        </w:rPr>
      </w:pPr>
    </w:p>
    <w:p w14:paraId="3EEBF846" w14:textId="77777777" w:rsidR="008B6253" w:rsidRPr="00795FED" w:rsidRDefault="008B6253" w:rsidP="008B6253">
      <w:pPr>
        <w:rPr>
          <w:noProof/>
          <w:u w:val="single"/>
          <w:lang w:val="cs-CZ"/>
        </w:rPr>
        <w:sectPr w:rsidR="008B6253" w:rsidRPr="00795FED" w:rsidSect="008B6253">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0"/>
          <w:cols w:space="720"/>
          <w:docGrid w:linePitch="360"/>
        </w:sectPr>
      </w:pPr>
    </w:p>
    <w:p w14:paraId="6BD4CF5E" w14:textId="065A4C31" w:rsidR="0097648B" w:rsidRPr="00795FED" w:rsidRDefault="0097648B" w:rsidP="0097648B">
      <w:pPr>
        <w:spacing w:line="259" w:lineRule="auto"/>
        <w:jc w:val="center"/>
        <w:rPr>
          <w:rFonts w:cstheme="minorBidi"/>
          <w:b/>
          <w:noProof/>
          <w:color w:val="44546A" w:themeColor="text2"/>
          <w:sz w:val="28"/>
          <w:lang w:val="cs-CZ"/>
        </w:rPr>
      </w:pPr>
      <w:r w:rsidRPr="00795FED">
        <w:rPr>
          <w:b/>
          <w:noProof/>
          <w:color w:val="44546A" w:themeColor="text2"/>
          <w:sz w:val="28"/>
          <w:lang w:val="cs-CZ"/>
        </w:rPr>
        <w:t>ZÍSKANÉ FINANČNÍ PROSTŘEDKY – 2. POL. ROKU 2023</w:t>
      </w:r>
    </w:p>
    <w:p w14:paraId="60691224" w14:textId="572275C6" w:rsidR="001A6BA5" w:rsidRPr="00795FED" w:rsidRDefault="00365A3C" w:rsidP="0097648B">
      <w:pPr>
        <w:spacing w:line="259" w:lineRule="auto"/>
        <w:jc w:val="center"/>
        <w:rPr>
          <w:rFonts w:cstheme="minorBidi"/>
          <w:b/>
          <w:noProof/>
          <w:color w:val="44546A" w:themeColor="text2"/>
          <w:sz w:val="28"/>
          <w:lang w:val="cs-CZ"/>
        </w:rPr>
      </w:pPr>
      <w:r w:rsidRPr="00365A3C">
        <w:rPr>
          <w:noProof/>
          <w:lang w:val="en-GB" w:eastAsia="en-GB"/>
        </w:rPr>
        <w:drawing>
          <wp:inline distT="0" distB="0" distL="0" distR="0" wp14:anchorId="600D0E8F" wp14:editId="53EA73E0">
            <wp:extent cx="5731510" cy="1419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1419225"/>
                    </a:xfrm>
                    <a:prstGeom prst="rect">
                      <a:avLst/>
                    </a:prstGeom>
                  </pic:spPr>
                </pic:pic>
              </a:graphicData>
            </a:graphic>
          </wp:inline>
        </w:drawing>
      </w:r>
    </w:p>
    <w:p w14:paraId="0E09A041" w14:textId="4342810F" w:rsidR="00F97153" w:rsidRPr="00795FED" w:rsidRDefault="00E06416" w:rsidP="00E14B07">
      <w:pPr>
        <w:spacing w:before="360" w:after="0"/>
        <w:jc w:val="center"/>
        <w:rPr>
          <w:b/>
          <w:noProof/>
          <w:color w:val="44546A" w:themeColor="text2"/>
          <w:sz w:val="28"/>
          <w:lang w:val="cs-CZ"/>
        </w:rPr>
      </w:pPr>
      <w:bookmarkStart w:id="2" w:name="_Hlk158640053"/>
      <w:bookmarkEnd w:id="2"/>
      <w:r w:rsidRPr="00795FED">
        <w:rPr>
          <w:b/>
          <w:noProof/>
          <w:color w:val="44546A" w:themeColor="text2"/>
          <w:sz w:val="28"/>
          <w:lang w:val="cs-CZ"/>
        </w:rPr>
        <w:t>VYPLÁCENÍ FINANČNÍCH PROSTŘEDKŮ</w:t>
      </w:r>
    </w:p>
    <w:p w14:paraId="046EBA02" w14:textId="6A5EB2C9" w:rsidR="0068501F" w:rsidRPr="00795FED" w:rsidRDefault="00365A3C" w:rsidP="0063321B">
      <w:pPr>
        <w:jc w:val="left"/>
        <w:rPr>
          <w:i/>
          <w:noProof/>
          <w:color w:val="808080" w:themeColor="background1" w:themeShade="80"/>
          <w:sz w:val="20"/>
          <w:lang w:val="cs-CZ"/>
        </w:rPr>
      </w:pPr>
      <w:r w:rsidRPr="00365A3C">
        <w:rPr>
          <w:noProof/>
          <w:lang w:val="en-GB" w:eastAsia="en-GB"/>
        </w:rPr>
        <w:drawing>
          <wp:inline distT="0" distB="0" distL="0" distR="0" wp14:anchorId="4DFDC15B" wp14:editId="3CBEF2CD">
            <wp:extent cx="5731510" cy="2947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2947670"/>
                    </a:xfrm>
                    <a:prstGeom prst="rect">
                      <a:avLst/>
                    </a:prstGeom>
                  </pic:spPr>
                </pic:pic>
              </a:graphicData>
            </a:graphic>
          </wp:inline>
        </w:drawing>
      </w:r>
    </w:p>
    <w:p w14:paraId="5FC801F8" w14:textId="0B154AC5" w:rsidR="0063321B" w:rsidRPr="00795FED" w:rsidRDefault="00365A3C" w:rsidP="0063321B">
      <w:pPr>
        <w:jc w:val="left"/>
        <w:rPr>
          <w:i/>
          <w:noProof/>
          <w:color w:val="808080" w:themeColor="background1" w:themeShade="80"/>
          <w:sz w:val="20"/>
          <w:lang w:val="cs-CZ"/>
        </w:rPr>
      </w:pPr>
      <w:r w:rsidRPr="00365A3C">
        <w:rPr>
          <w:noProof/>
          <w:lang w:val="en-GB" w:eastAsia="en-GB"/>
        </w:rPr>
        <w:drawing>
          <wp:inline distT="0" distB="0" distL="0" distR="0" wp14:anchorId="4AE2260E" wp14:editId="4CA37AC4">
            <wp:extent cx="5731510" cy="2827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2827020"/>
                    </a:xfrm>
                    <a:prstGeom prst="rect">
                      <a:avLst/>
                    </a:prstGeom>
                  </pic:spPr>
                </pic:pic>
              </a:graphicData>
            </a:graphic>
          </wp:inline>
        </w:drawing>
      </w:r>
    </w:p>
    <w:p w14:paraId="0D8F5E58" w14:textId="77777777" w:rsidR="0068501F" w:rsidRPr="00795FED" w:rsidRDefault="0068501F" w:rsidP="0068501F">
      <w:pPr>
        <w:jc w:val="right"/>
        <w:rPr>
          <w:i/>
          <w:noProof/>
          <w:color w:val="808080" w:themeColor="background1" w:themeShade="80"/>
          <w:sz w:val="20"/>
          <w:lang w:val="cs-CZ"/>
        </w:rPr>
      </w:pPr>
    </w:p>
    <w:p w14:paraId="06FA7222" w14:textId="31CE3FAD" w:rsidR="00767241" w:rsidRPr="00795FED" w:rsidRDefault="0068501F" w:rsidP="0068501F">
      <w:pPr>
        <w:jc w:val="right"/>
        <w:rPr>
          <w:noProof/>
          <w:lang w:val="cs-CZ"/>
        </w:rPr>
      </w:pPr>
      <w:r w:rsidRPr="00795FED">
        <w:rPr>
          <w:i/>
          <w:noProof/>
          <w:color w:val="808080" w:themeColor="background1" w:themeShade="80"/>
          <w:sz w:val="20"/>
          <w:lang w:val="cs-CZ"/>
        </w:rPr>
        <w:t>Všechny částky jsou v miliardách eur.</w:t>
      </w:r>
    </w:p>
    <w:p w14:paraId="03005769" w14:textId="7DE93858" w:rsidR="00A11F51" w:rsidRPr="00795FED" w:rsidRDefault="00A11F51" w:rsidP="00A11F51">
      <w:pPr>
        <w:spacing w:line="259" w:lineRule="auto"/>
        <w:jc w:val="left"/>
        <w:rPr>
          <w:rFonts w:cstheme="minorBidi"/>
          <w:b/>
          <w:noProof/>
          <w:color w:val="44546A" w:themeColor="text2"/>
          <w:lang w:val="cs-CZ"/>
        </w:rPr>
      </w:pPr>
      <w:r w:rsidRPr="00795FED">
        <w:rPr>
          <w:b/>
          <w:noProof/>
          <w:color w:val="44546A" w:themeColor="text2"/>
          <w:sz w:val="28"/>
          <w:lang w:val="cs-CZ"/>
        </w:rPr>
        <w:t xml:space="preserve">NESPLACENÉ DLUHOPISY EU </w:t>
      </w:r>
      <w:r w:rsidRPr="00795FED">
        <w:rPr>
          <w:noProof/>
          <w:lang w:val="cs-CZ"/>
        </w:rPr>
        <w:br/>
      </w:r>
      <w:r w:rsidRPr="00795FED">
        <w:rPr>
          <w:noProof/>
          <w:color w:val="44546A" w:themeColor="text2"/>
          <w:lang w:val="cs-CZ"/>
        </w:rPr>
        <w:t>ke dni 31. 12. 2023</w:t>
      </w:r>
      <w:r w:rsidRPr="00795FED">
        <w:rPr>
          <w:b/>
          <w:noProof/>
          <w:color w:val="44546A" w:themeColor="text2"/>
          <w:lang w:val="cs-CZ"/>
        </w:rPr>
        <w:t xml:space="preserve"> </w:t>
      </w:r>
      <w:r w:rsidR="00365A3C" w:rsidRPr="00365A3C">
        <w:rPr>
          <w:noProof/>
          <w:lang w:val="en-GB" w:eastAsia="en-GB"/>
        </w:rPr>
        <w:drawing>
          <wp:inline distT="0" distB="0" distL="0" distR="0" wp14:anchorId="77237F2D" wp14:editId="7AC7BA98">
            <wp:extent cx="5731510" cy="1079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1079500"/>
                    </a:xfrm>
                    <a:prstGeom prst="rect">
                      <a:avLst/>
                    </a:prstGeom>
                  </pic:spPr>
                </pic:pic>
              </a:graphicData>
            </a:graphic>
          </wp:inline>
        </w:drawing>
      </w:r>
    </w:p>
    <w:p w14:paraId="3F260D3E" w14:textId="521C2D8E" w:rsidR="00A11F51" w:rsidRPr="00795FED" w:rsidRDefault="00A11F51" w:rsidP="00A11F51">
      <w:pPr>
        <w:spacing w:line="259" w:lineRule="auto"/>
        <w:jc w:val="left"/>
        <w:rPr>
          <w:rFonts w:asciiTheme="minorHAnsi" w:hAnsiTheme="minorHAnsi" w:cstheme="minorBidi"/>
          <w:noProof/>
          <w:sz w:val="6"/>
          <w:lang w:val="cs-CZ"/>
        </w:rPr>
      </w:pPr>
    </w:p>
    <w:tbl>
      <w:tblPr>
        <w:tblStyle w:val="TableGrid"/>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CellMar>
          <w:top w:w="113" w:type="dxa"/>
          <w:bottom w:w="113" w:type="dxa"/>
        </w:tblCellMar>
        <w:tblLook w:val="04A0" w:firstRow="1" w:lastRow="0" w:firstColumn="1" w:lastColumn="0" w:noHBand="0" w:noVBand="1"/>
      </w:tblPr>
      <w:tblGrid>
        <w:gridCol w:w="9076"/>
      </w:tblGrid>
      <w:tr w:rsidR="00A11F51" w:rsidRPr="00795FED" w14:paraId="0FE367EE" w14:textId="77777777" w:rsidTr="008A34F5">
        <w:trPr>
          <w:trHeight w:val="1943"/>
        </w:trPr>
        <w:tc>
          <w:tcPr>
            <w:tcW w:w="9076" w:type="dxa"/>
            <w:shd w:val="clear" w:color="auto" w:fill="F5F5F5"/>
          </w:tcPr>
          <w:p w14:paraId="31D6E2E9" w14:textId="77777777" w:rsidR="00A11F51" w:rsidRPr="00795FED" w:rsidRDefault="00A11F51" w:rsidP="00A11F51">
            <w:pPr>
              <w:spacing w:after="120"/>
              <w:jc w:val="left"/>
              <w:rPr>
                <w:rFonts w:cstheme="minorBidi"/>
                <w:b/>
                <w:noProof/>
                <w:color w:val="034EA2"/>
                <w:lang w:val="cs-CZ"/>
              </w:rPr>
            </w:pPr>
            <w:r w:rsidRPr="00795FED">
              <w:rPr>
                <w:b/>
                <w:noProof/>
                <w:color w:val="034EA2"/>
                <w:lang w:val="cs-CZ"/>
              </w:rPr>
              <w:t>ZÁKLADNÍ FAKTA</w:t>
            </w:r>
          </w:p>
          <w:p w14:paraId="1BCBD7E4" w14:textId="77777777" w:rsidR="00A11F51" w:rsidRPr="00795FED" w:rsidRDefault="00A11F51" w:rsidP="00A11F51">
            <w:pPr>
              <w:numPr>
                <w:ilvl w:val="0"/>
                <w:numId w:val="29"/>
              </w:numPr>
              <w:spacing w:after="60"/>
              <w:ind w:left="340" w:hanging="170"/>
              <w:contextualSpacing/>
              <w:jc w:val="left"/>
              <w:rPr>
                <w:rFonts w:cstheme="minorBidi"/>
                <w:noProof/>
                <w:color w:val="034EA2"/>
                <w:lang w:val="cs-CZ"/>
              </w:rPr>
            </w:pPr>
            <w:r w:rsidRPr="00795FED">
              <w:rPr>
                <w:noProof/>
                <w:color w:val="034EA2"/>
                <w:lang w:val="cs-CZ"/>
              </w:rPr>
              <w:t>V roce 2023 bylo získáno 115,9 miliardy EUR.</w:t>
            </w:r>
          </w:p>
          <w:p w14:paraId="76261819" w14:textId="77777777" w:rsidR="00A11F51" w:rsidRPr="00795FED" w:rsidRDefault="00A11F51" w:rsidP="00A11F51">
            <w:pPr>
              <w:numPr>
                <w:ilvl w:val="0"/>
                <w:numId w:val="29"/>
              </w:numPr>
              <w:spacing w:after="60"/>
              <w:ind w:left="340" w:hanging="170"/>
              <w:contextualSpacing/>
              <w:jc w:val="left"/>
              <w:rPr>
                <w:rFonts w:cstheme="minorBidi"/>
                <w:noProof/>
                <w:color w:val="034EA2"/>
                <w:lang w:val="cs-CZ"/>
              </w:rPr>
            </w:pPr>
            <w:r w:rsidRPr="00795FED">
              <w:rPr>
                <w:noProof/>
                <w:color w:val="034EA2"/>
                <w:lang w:val="cs-CZ"/>
              </w:rPr>
              <w:t>Náklady na financování činily v první polovině roku 2023 3,2 % a ve druhé polovině roku 2023 3,6 %.</w:t>
            </w:r>
          </w:p>
          <w:p w14:paraId="2E7761DB" w14:textId="77777777" w:rsidR="00A11F51" w:rsidRPr="00795FED" w:rsidRDefault="00A11F51" w:rsidP="00A11F51">
            <w:pPr>
              <w:numPr>
                <w:ilvl w:val="0"/>
                <w:numId w:val="29"/>
              </w:numPr>
              <w:spacing w:after="60"/>
              <w:ind w:left="340" w:hanging="170"/>
              <w:contextualSpacing/>
              <w:jc w:val="left"/>
              <w:rPr>
                <w:rFonts w:cstheme="minorBidi"/>
                <w:noProof/>
                <w:color w:val="034EA2"/>
                <w:lang w:val="cs-CZ"/>
              </w:rPr>
            </w:pPr>
            <w:r w:rsidRPr="00795FED">
              <w:rPr>
                <w:noProof/>
                <w:color w:val="034EA2"/>
                <w:lang w:val="cs-CZ"/>
              </w:rPr>
              <w:t xml:space="preserve">Získané finanční prostředky byly použity především na financování nástroje NextGenerationEU (včetně plánu RePowerEU) a půjček v rámci MFA+ poskytnutých Ukrajině. </w:t>
            </w:r>
          </w:p>
          <w:p w14:paraId="34F1E241" w14:textId="77777777" w:rsidR="00A11F51" w:rsidRPr="00795FED" w:rsidRDefault="00A11F51" w:rsidP="00A11F51">
            <w:pPr>
              <w:numPr>
                <w:ilvl w:val="0"/>
                <w:numId w:val="29"/>
              </w:numPr>
              <w:spacing w:after="60"/>
              <w:ind w:left="340" w:hanging="170"/>
              <w:contextualSpacing/>
              <w:jc w:val="left"/>
              <w:rPr>
                <w:rFonts w:cstheme="minorBidi"/>
                <w:noProof/>
                <w:color w:val="034EA2"/>
                <w:lang w:val="cs-CZ"/>
              </w:rPr>
            </w:pPr>
            <w:r w:rsidRPr="00795FED">
              <w:rPr>
                <w:noProof/>
                <w:color w:val="034EA2"/>
                <w:lang w:val="cs-CZ"/>
              </w:rPr>
              <w:t>Díky nástroji NextGenerationEU má EU zelenější a digitálnější ekonomiku s diverzifikovanějšími dodávkami energie.</w:t>
            </w:r>
          </w:p>
          <w:p w14:paraId="3E81AD55" w14:textId="77777777" w:rsidR="00A11F51" w:rsidRPr="00795FED" w:rsidRDefault="00A11F51" w:rsidP="00A11F51">
            <w:pPr>
              <w:numPr>
                <w:ilvl w:val="0"/>
                <w:numId w:val="29"/>
              </w:numPr>
              <w:spacing w:after="60"/>
              <w:ind w:left="340" w:hanging="170"/>
              <w:jc w:val="left"/>
              <w:rPr>
                <w:rFonts w:cstheme="minorBidi"/>
                <w:noProof/>
                <w:lang w:val="cs-CZ"/>
              </w:rPr>
            </w:pPr>
            <w:r w:rsidRPr="00795FED">
              <w:rPr>
                <w:noProof/>
                <w:color w:val="034EA2"/>
                <w:lang w:val="cs-CZ"/>
              </w:rPr>
              <w:t>Úvěry poskytnuté v rámci MFA+ pokryly velkou část krátkodobých finančních potřeb Ukrajiny v roce 2023.</w:t>
            </w:r>
          </w:p>
        </w:tc>
      </w:tr>
    </w:tbl>
    <w:p w14:paraId="155CDCD6" w14:textId="77777777" w:rsidR="00252C49" w:rsidRPr="00795FED" w:rsidRDefault="00252C49">
      <w:pPr>
        <w:spacing w:line="259" w:lineRule="auto"/>
        <w:rPr>
          <w:noProof/>
          <w:lang w:val="cs-CZ"/>
        </w:rPr>
      </w:pPr>
    </w:p>
    <w:p w14:paraId="34E6C602" w14:textId="10BBF2C3" w:rsidR="00BA3133" w:rsidRPr="00795FED" w:rsidRDefault="00BA3133">
      <w:pPr>
        <w:spacing w:line="259" w:lineRule="auto"/>
        <w:rPr>
          <w:rFonts w:eastAsiaTheme="majorEastAsia"/>
          <w:b/>
          <w:noProof/>
          <w:lang w:val="cs-CZ"/>
        </w:rPr>
      </w:pPr>
      <w:r w:rsidRPr="00795FED">
        <w:rPr>
          <w:noProof/>
          <w:lang w:val="cs-CZ"/>
        </w:rPr>
        <w:br w:type="page"/>
      </w:r>
    </w:p>
    <w:p w14:paraId="263DA02E" w14:textId="03E4299B" w:rsidR="00F13D4C" w:rsidRPr="00795FED" w:rsidRDefault="00F13D4C" w:rsidP="00BE145B">
      <w:pPr>
        <w:pStyle w:val="Heading1"/>
        <w:rPr>
          <w:noProof/>
          <w:lang w:val="cs-CZ"/>
        </w:rPr>
      </w:pPr>
      <w:bookmarkStart w:id="3" w:name="_Toc161148989"/>
      <w:r w:rsidRPr="00795FED">
        <w:rPr>
          <w:noProof/>
          <w:lang w:val="cs-CZ"/>
        </w:rPr>
        <w:t>Shrnutí</w:t>
      </w:r>
      <w:bookmarkEnd w:id="3"/>
    </w:p>
    <w:p w14:paraId="306C1EDA" w14:textId="77777777" w:rsidR="00512207" w:rsidRPr="00795FED" w:rsidRDefault="00F13D4C" w:rsidP="00512207">
      <w:pPr>
        <w:rPr>
          <w:noProof/>
          <w:lang w:val="cs-CZ"/>
        </w:rPr>
      </w:pPr>
      <w:bookmarkStart w:id="4" w:name="_Hlk156385433"/>
      <w:r w:rsidRPr="00795FED">
        <w:rPr>
          <w:noProof/>
          <w:lang w:val="cs-CZ"/>
        </w:rPr>
        <w:t>Ve druhé polovině roku 2023 získala Komise 37,7 miliardy EUR, takže celkové finanční prostředky získané v průběhu roku 2023 dosáhly 115,9 miliardy EUR. V roce 2023 bylo v rámci nástroje NextGenerationEU vyplaceno 99,1 miliardy EUR, díky čemuž se ekonomika EU stala zelenější a digitálnější a dodávky energie v EU diverzifikovanějšími. V roce 2023 Ukrajina obdržela v rámci MFA+ vysoce zvýhodněné půjčky ve výši 18 miliard EUR, které pokryly velkou část krátkodobých finančních potřeb Ukrajiny na rok 2023.</w:t>
      </w:r>
      <w:bookmarkStart w:id="5" w:name="_Hlk156380977"/>
    </w:p>
    <w:p w14:paraId="79311FC5" w14:textId="517694CC" w:rsidR="00F13D4C" w:rsidRPr="00795FED" w:rsidRDefault="00F13D4C" w:rsidP="00512207">
      <w:pPr>
        <w:rPr>
          <w:noProof/>
          <w:lang w:val="cs-CZ"/>
        </w:rPr>
      </w:pPr>
      <w:r w:rsidRPr="00795FED">
        <w:rPr>
          <w:noProof/>
          <w:lang w:val="cs-CZ"/>
        </w:rPr>
        <w:t>Náklady EU na financování i v průběhu druhé poloviny roku 2023 rostly v souladu s tržními podmínkami – z 3,2 % v první polovině roku 2023 na 3,6 % ve druhé polovině roku 2023. Rozpětí mezi desetiletými dluhopisy EU a desetiletými německými dluhopisy zůstalo relativně stabilní, přičemž se na konci roku blížilo 73 bazickým bodům (ve srovnání s 68 bazickými body k 30. červenci 2023). Vrchol v podobě 81 bazických bodů, jehož bylo dosaženo v říjnu 2023, však poukázal na to, že vzhledem k tomu, že cena dluhopisů EU je stanovena na základě swapové křivky, mají dluhopisy EU v době, kdy převládá neochota podstupovat riziko, vyšší výnosy ve srovnání s evropskými státními dluhopisy. Na konci roku došlo k prudkému poklesu tržních cen dluhu EU (z 3,7 % v říjnu na 2,8 % na konci roku u desetiletých dluhopisů EU), protože jsou nyní očekávány příznivější nižší úrokové sazby v určité fázi roku 2024.</w:t>
      </w:r>
      <w:bookmarkEnd w:id="5"/>
    </w:p>
    <w:p w14:paraId="539B98A9" w14:textId="04F65009" w:rsidR="00F13D4C" w:rsidRPr="00795FED" w:rsidRDefault="00F13D4C" w:rsidP="00512207">
      <w:pPr>
        <w:rPr>
          <w:noProof/>
          <w:lang w:val="cs-CZ"/>
        </w:rPr>
      </w:pPr>
      <w:r w:rsidRPr="00795FED">
        <w:rPr>
          <w:noProof/>
          <w:lang w:val="cs-CZ"/>
        </w:rPr>
        <w:t>Ve druhé polovině roku 2023 Komise dosáhla dalšího pokroku v oblasti posilování struktury, na níž je založen její program vydávání dluhopisů. Kromě toho, že zavedla jednotný přístup k financování v lednu 2023, spustila Komise v listopadu 2023 systém mechanismu kotace a na začátku roku 2024 dokončila službu pro vydávání dluhopisů EU (EIS). Dokončení služby pro vydávání dluhopisů EU odráží partnerství, jež existuje mezi Komisí, ECB a dalšími vnitrostátními institucemi a oficiálními odvětvovými orgány EU při vytváření programu pro vydávání dluhopisů EU. Komise rovněž zveřejnila první komplexní zprávu o alokaci peněžních prostředků získaných vydáním zelených dluhopisů v rámci nástroje NGEU a o dopadu těchto dluhopisů, která poskytuje informace o tom, jak je vydávání zelených dluhopisů v rámci nástroje NextGenerationEU podporováno souborem plánovaných způsobilých výdajů v členských státech a jak tyto výdaje pomáhají snižovat emise skleníkových plynů v EU.</w:t>
      </w:r>
    </w:p>
    <w:p w14:paraId="30941CB7" w14:textId="207A91BC" w:rsidR="00F13D4C" w:rsidRPr="00795FED" w:rsidRDefault="00F13D4C" w:rsidP="00512207">
      <w:pPr>
        <w:rPr>
          <w:noProof/>
          <w:color w:val="000000" w:themeColor="text1"/>
          <w:lang w:val="cs-CZ"/>
        </w:rPr>
      </w:pPr>
      <w:r w:rsidRPr="00795FED">
        <w:rPr>
          <w:noProof/>
          <w:lang w:val="cs-CZ"/>
        </w:rPr>
        <w:t xml:space="preserve">Další opatření ke zvýšení likvidity budou přijata v roce 2024, přičemž nástroj pro zpětné odkupy by měl být podle plánu používán od druhé poloviny roku 2024. </w:t>
      </w:r>
      <w:r w:rsidRPr="00795FED">
        <w:rPr>
          <w:noProof/>
          <w:color w:val="000000" w:themeColor="text1"/>
          <w:lang w:val="cs-CZ"/>
        </w:rPr>
        <w:t>Komise navíc začala spolupracovat s poskytovateli indexů na způsobu, jakým lze cenné papíry EU klasifikovat pomocí jejich indexů, a bude nadále podporovat tržní protistrany v tom, aby v rámci dvoustranných zajištěných transakcí poskytovaly dluhopisům EU stejně kvalitní zajištění, jaké poskytují státním dluhopisům.</w:t>
      </w:r>
      <w:bookmarkEnd w:id="4"/>
    </w:p>
    <w:p w14:paraId="6054F437" w14:textId="13C27636" w:rsidR="001401DA" w:rsidRPr="00795FED" w:rsidRDefault="008B6253" w:rsidP="00BE145B">
      <w:pPr>
        <w:pStyle w:val="Heading1"/>
        <w:rPr>
          <w:noProof/>
          <w:lang w:val="cs-CZ"/>
        </w:rPr>
      </w:pPr>
      <w:bookmarkStart w:id="6" w:name="_Toc161148990"/>
      <w:r w:rsidRPr="00795FED">
        <w:rPr>
          <w:noProof/>
          <w:lang w:val="cs-CZ"/>
        </w:rPr>
        <w:t>Úvod</w:t>
      </w:r>
      <w:bookmarkEnd w:id="6"/>
    </w:p>
    <w:p w14:paraId="7DA5330C" w14:textId="1A808044" w:rsidR="004A61C9" w:rsidRPr="00795FED" w:rsidRDefault="0091353C" w:rsidP="008D4780">
      <w:pPr>
        <w:rPr>
          <w:noProof/>
          <w:lang w:val="cs-CZ"/>
        </w:rPr>
      </w:pPr>
      <w:r w:rsidRPr="00795FED">
        <w:rPr>
          <w:noProof/>
          <w:lang w:val="cs-CZ"/>
        </w:rPr>
        <w:t>Komise si půjčuje finanční prostředky jménem Evropské unie již více než čtyřicet let. V posledních třech letech se výrazně zvýšilo vydávání dluhopisů EU, jelikož při financování rozsáhlých programů, jako je nástroj SURE</w:t>
      </w:r>
      <w:r w:rsidRPr="00795FED">
        <w:rPr>
          <w:rStyle w:val="FootnoteReference"/>
          <w:noProof/>
          <w:lang w:val="cs-CZ"/>
        </w:rPr>
        <w:footnoteReference w:id="2"/>
      </w:r>
      <w:r w:rsidRPr="00795FED">
        <w:rPr>
          <w:noProof/>
          <w:lang w:val="cs-CZ"/>
        </w:rPr>
        <w:t xml:space="preserve">, nástroj NextGenerationEU (NGEU) a makrofinanční pomoc plus (MFA+) pro Ukrajinu, využívá kapitálové trhy. </w:t>
      </w:r>
      <w:bookmarkStart w:id="7" w:name="_Hlk139454430"/>
      <w:r w:rsidRPr="00795FED">
        <w:rPr>
          <w:noProof/>
          <w:lang w:val="cs-CZ"/>
        </w:rPr>
        <w:t>EU měla na konci roku 2023 z vydaných dluhopisů nesplacené závazky mírně převyšující 440 miliard EUR, z nichž přibližně 405 miliard EUR bylo vydáno od roku 2020.</w:t>
      </w:r>
      <w:bookmarkEnd w:id="7"/>
      <w:r w:rsidRPr="00795FED">
        <w:rPr>
          <w:noProof/>
          <w:lang w:val="cs-CZ"/>
        </w:rPr>
        <w:t xml:space="preserve"> </w:t>
      </w:r>
    </w:p>
    <w:p w14:paraId="7F7E0F75" w14:textId="7E38AE12" w:rsidR="001F3746" w:rsidRPr="00795FED" w:rsidRDefault="004261C9" w:rsidP="008D4780">
      <w:pPr>
        <w:rPr>
          <w:noProof/>
          <w:lang w:val="cs-CZ"/>
        </w:rPr>
      </w:pPr>
      <w:r w:rsidRPr="00795FED">
        <w:rPr>
          <w:noProof/>
          <w:lang w:val="cs-CZ"/>
        </w:rPr>
        <w:t>V souladu s článkem 12 prováděcího rozhodnutí Komise C(2022) 9700, které stanoví opatření pro provádění jednotného přístupu k financování výpůjčních operací a operací řízení dluhu</w:t>
      </w:r>
      <w:r w:rsidRPr="00795FED">
        <w:rPr>
          <w:rStyle w:val="FootnoteReference"/>
          <w:noProof/>
          <w:lang w:val="cs-CZ"/>
        </w:rPr>
        <w:footnoteReference w:id="3"/>
      </w:r>
      <w:r w:rsidRPr="00795FED">
        <w:rPr>
          <w:noProof/>
          <w:lang w:val="cs-CZ"/>
        </w:rPr>
        <w:t>, tato pololetní zpráva obsahuje přezkum provádění výpůjčních operací v období od 1. července 2023 do 31. prosince 2023. Rovněž poskytuje informace o krocích, které Komise podniká k dalšímu rozvoji ekosystému dluhopisů EU – s cílem zvýšit likviditu dluhopisů EU a podpořit postavení na trhu odpovídající objemu emisí a úvěrové síle EU ku prospěchu členských států. V neposlední řadě obsahuje výhled pro emise dluhopisů EU v prvním pololetí roku 2024. Tato zpráva nehodnotí, jak jsou výnosy z emise dluhopisů EU využívány, včetně zelených výdajů, neboť tato problematika je předmětem samostatných zpráv v souladu s nařízeními pro jednotlivé nástroje</w:t>
      </w:r>
      <w:r w:rsidRPr="00795FED">
        <w:rPr>
          <w:rStyle w:val="FootnoteReference"/>
          <w:noProof/>
          <w:lang w:val="cs-CZ"/>
        </w:rPr>
        <w:footnoteReference w:id="4"/>
      </w:r>
      <w:r w:rsidRPr="00795FED">
        <w:rPr>
          <w:noProof/>
          <w:lang w:val="cs-CZ"/>
        </w:rPr>
        <w:t>.</w:t>
      </w:r>
    </w:p>
    <w:p w14:paraId="749A4933" w14:textId="509EDB6B" w:rsidR="00F13D4C" w:rsidRPr="00795FED" w:rsidRDefault="000659B4" w:rsidP="008D4780">
      <w:pPr>
        <w:rPr>
          <w:noProof/>
          <w:lang w:val="cs-CZ"/>
        </w:rPr>
      </w:pPr>
      <w:r w:rsidRPr="00795FED">
        <w:rPr>
          <w:noProof/>
          <w:lang w:val="cs-CZ"/>
        </w:rPr>
        <w:t>V návaznosti na doporučení Evropského účetního dvora</w:t>
      </w:r>
      <w:r w:rsidRPr="00795FED">
        <w:rPr>
          <w:rStyle w:val="FootnoteReference"/>
          <w:noProof/>
          <w:lang w:val="cs-CZ"/>
        </w:rPr>
        <w:footnoteReference w:id="5"/>
      </w:r>
      <w:r w:rsidRPr="00795FED">
        <w:rPr>
          <w:noProof/>
          <w:lang w:val="cs-CZ"/>
        </w:rPr>
        <w:t xml:space="preserve"> jsou v příloze této zprávy uvedeny ukazatele, jež lze použít ke sledování provádění zastřešující strategie řízení dluhu, kterou se jednotný přístup Komise k financování řídí</w:t>
      </w:r>
      <w:r w:rsidRPr="00795FED">
        <w:rPr>
          <w:rStyle w:val="FootnoteReference"/>
          <w:noProof/>
          <w:spacing w:val="-6"/>
          <w:lang w:val="cs-CZ"/>
        </w:rPr>
        <w:footnoteReference w:id="6"/>
      </w:r>
      <w:r w:rsidRPr="00795FED">
        <w:rPr>
          <w:noProof/>
          <w:lang w:val="cs-CZ"/>
        </w:rPr>
        <w:t xml:space="preserve">. </w:t>
      </w:r>
    </w:p>
    <w:p w14:paraId="4FD8F240" w14:textId="423190CB" w:rsidR="008B6253" w:rsidRPr="00795FED" w:rsidRDefault="00BD5F9F" w:rsidP="00BE145B">
      <w:pPr>
        <w:pStyle w:val="Heading1"/>
        <w:rPr>
          <w:noProof/>
          <w:lang w:val="cs-CZ"/>
        </w:rPr>
      </w:pPr>
      <w:bookmarkStart w:id="8" w:name="_Ref155883558"/>
      <w:bookmarkStart w:id="9" w:name="_Toc161148991"/>
      <w:r w:rsidRPr="00795FED">
        <w:rPr>
          <w:noProof/>
          <w:lang w:val="cs-CZ"/>
        </w:rPr>
        <w:t xml:space="preserve">Provádění výpůjčních operací ve druhém pololetí roku </w:t>
      </w:r>
      <w:bookmarkEnd w:id="8"/>
      <w:r w:rsidRPr="00795FED">
        <w:rPr>
          <w:noProof/>
          <w:lang w:val="cs-CZ"/>
        </w:rPr>
        <w:t>2023</w:t>
      </w:r>
      <w:bookmarkEnd w:id="9"/>
    </w:p>
    <w:p w14:paraId="3ED8C977" w14:textId="34AE7048" w:rsidR="005D6F11" w:rsidRPr="00795FED" w:rsidRDefault="005D6F11" w:rsidP="005D6F11">
      <w:pPr>
        <w:rPr>
          <w:noProof/>
          <w:lang w:val="cs-CZ"/>
        </w:rPr>
      </w:pPr>
      <w:r w:rsidRPr="00795FED">
        <w:rPr>
          <w:noProof/>
          <w:lang w:val="cs-CZ"/>
        </w:rPr>
        <w:t>Ve druhé polovině roku 2023 Komise pokračovala v získávání finančních prostředků na trzích prostřednictvím jednotného přístupu k financování. Nejenže byly včas splněny všechny závazky v oblasti vyplácení finančních prostředků v rámci nástrojů NextGenerationEU a MFA+, ale objemy emisí a jejich splatnosti zůstaly v rozmezí předem stanovených parametrů a podmínky financování byly přiměřené pro emitenta s velikostí a ratingem EU. V následujících oddílech jsou představeny některé klíčové složky výpůjčních a úvěrových operací Komise ve druhém pololetí roku 2023. V příloze této zprávy jsou pak uvedeny další ukazatele, které se používají ke sledování provádění strategie financování Komise.</w:t>
      </w:r>
    </w:p>
    <w:p w14:paraId="0C7AA257" w14:textId="54D768B9" w:rsidR="005D6F11" w:rsidRPr="00795FED" w:rsidRDefault="003926DF" w:rsidP="002703F1">
      <w:pPr>
        <w:pStyle w:val="Heading2"/>
        <w:rPr>
          <w:noProof/>
          <w:lang w:val="cs-CZ"/>
        </w:rPr>
      </w:pPr>
      <w:bookmarkStart w:id="10" w:name="_Toc161148992"/>
      <w:r w:rsidRPr="00795FED">
        <w:rPr>
          <w:noProof/>
          <w:lang w:val="cs-CZ"/>
        </w:rPr>
        <w:t>Provádění operací v oblasti financování ve druhém pololetí roku 2023</w:t>
      </w:r>
      <w:bookmarkEnd w:id="10"/>
    </w:p>
    <w:p w14:paraId="7A9E0D70" w14:textId="4B59F34B" w:rsidR="001F3746" w:rsidRPr="00795FED" w:rsidRDefault="005D6F11" w:rsidP="007F2DED">
      <w:pPr>
        <w:rPr>
          <w:noProof/>
          <w:lang w:val="cs-CZ"/>
        </w:rPr>
      </w:pPr>
      <w:bookmarkStart w:id="11" w:name="_Hlk138161421"/>
      <w:r w:rsidRPr="00795FED">
        <w:rPr>
          <w:noProof/>
          <w:lang w:val="cs-CZ"/>
        </w:rPr>
        <w:t>V červnu 2023 Komise oznámila, že má v úmyslu v období od července do konce prosince 2023 vydat dluhopisy EU v hodnotě 40 miliard EUR, které budou sloužit především k financování nástroje NextGenerationEU a MFA+ pro Ukrajinu (čímž doplní svůj plán financování ve výši 80 miliard EUR z první poloviny roku 2023). Plán financování odrážel očekávané potřeby v oblasti vyplácení finančních prostředků do konce roku 2023 a také držení likvidity na začátku pololetí.</w:t>
      </w:r>
    </w:p>
    <w:p w14:paraId="7EB0ECF0" w14:textId="3EF7FF1E" w:rsidR="00BA3133" w:rsidRPr="00795FED" w:rsidRDefault="00471D64" w:rsidP="007F2DED">
      <w:pPr>
        <w:rPr>
          <w:noProof/>
          <w:lang w:val="cs-CZ"/>
        </w:rPr>
      </w:pPr>
      <w:r w:rsidRPr="00795FED">
        <w:rPr>
          <w:noProof/>
          <w:lang w:val="cs-CZ"/>
        </w:rPr>
        <w:t>Komise svůj program financování na rok 2023 dokončila na konci listopadu</w:t>
      </w:r>
      <w:r w:rsidRPr="00795FED">
        <w:rPr>
          <w:rStyle w:val="FootnoteReference"/>
          <w:noProof/>
          <w:lang w:val="cs-CZ"/>
        </w:rPr>
        <w:footnoteReference w:id="7"/>
      </w:r>
      <w:r w:rsidRPr="00795FED">
        <w:rPr>
          <w:noProof/>
          <w:lang w:val="cs-CZ"/>
        </w:rPr>
        <w:t xml:space="preserve">, přičemž v průběhu roku získala celkem 115,9 miliardy EUR. Ve druhé polovině roku bylo získáno 37,7 miliardy EUR s průměrnou splatností třináct let (ve srovnání s přibližně čtrnácti lety u finančních prostředků získaných v první polovině roku 2023). </w:t>
      </w:r>
    </w:p>
    <w:p w14:paraId="257613FB" w14:textId="61EEDB05" w:rsidR="008E1C79" w:rsidRPr="00795FED" w:rsidRDefault="00810A51" w:rsidP="00810A51">
      <w:pPr>
        <w:rPr>
          <w:noProof/>
          <w:lang w:val="cs-CZ"/>
        </w:rPr>
      </w:pPr>
      <w:r w:rsidRPr="00795FED">
        <w:rPr>
          <w:noProof/>
          <w:lang w:val="cs-CZ"/>
        </w:rPr>
        <w:t>Komise použila kombinaci syndikací (64 %) a dražeb (36 %), což odpovídá poměru, jenž byl dosažen v první polovině roku 2023. Vydávání dluhopisů EU bylo rozloženo do celého pololetí, aby byly zohledněny podmínky tržní likvidity a zároveň byla zajištěna pravidelná přítomnost na trhu. Tyto transakce zahrnovaly využití dvou stávajících řad zelených dluhopisů nástroje NextGenerationEU v celkové výši 4,7 miliardy EUR. Tyto dodatečné zelené dluhopisy byly vydány poté, co členské státy informovaly o dodatečných výdajích souvisejících s klimatem v rámci Nástroje pro oživení a odolnost.</w:t>
      </w:r>
      <w:r w:rsidRPr="00795FED">
        <w:rPr>
          <w:noProof/>
          <w:lang w:val="cs-CZ"/>
        </w:rPr>
        <w:br w:type="page"/>
      </w:r>
    </w:p>
    <w:p w14:paraId="5C86CE36" w14:textId="29158955" w:rsidR="00BA3133" w:rsidRPr="00795FED" w:rsidRDefault="00BA3133" w:rsidP="00810A51">
      <w:pPr>
        <w:rPr>
          <w:b/>
          <w:noProof/>
          <w:color w:val="034EA2" w:themeColor="accent1"/>
          <w:lang w:val="cs-CZ"/>
        </w:rPr>
      </w:pPr>
      <w:r w:rsidRPr="00795FED">
        <w:rPr>
          <w:b/>
          <w:noProof/>
          <w:color w:val="034EA2" w:themeColor="accent1"/>
          <w:lang w:val="cs-CZ"/>
        </w:rPr>
        <w:t>Graf 2: Finanční prostředky získané v rámci jednotného přístupu k financování</w:t>
      </w:r>
    </w:p>
    <w:p w14:paraId="6E3B40CA" w14:textId="62CD49AA" w:rsidR="0063321B" w:rsidRPr="00795FED" w:rsidRDefault="00A94659" w:rsidP="00810A51">
      <w:pPr>
        <w:rPr>
          <w:b/>
          <w:noProof/>
          <w:color w:val="034EA2" w:themeColor="accent1"/>
          <w:lang w:val="cs-CZ"/>
        </w:rPr>
      </w:pPr>
      <w:r w:rsidRPr="00A94659">
        <w:rPr>
          <w:noProof/>
          <w:lang w:val="en-GB" w:eastAsia="en-GB"/>
        </w:rPr>
        <w:drawing>
          <wp:inline distT="0" distB="0" distL="0" distR="0" wp14:anchorId="788FE3E8" wp14:editId="6170D6DB">
            <wp:extent cx="5731510" cy="2454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2454275"/>
                    </a:xfrm>
                    <a:prstGeom prst="rect">
                      <a:avLst/>
                    </a:prstGeom>
                  </pic:spPr>
                </pic:pic>
              </a:graphicData>
            </a:graphic>
          </wp:inline>
        </w:drawing>
      </w:r>
    </w:p>
    <w:p w14:paraId="480514B6" w14:textId="43DD6E53" w:rsidR="009428DB" w:rsidRPr="00795FED" w:rsidRDefault="009428DB" w:rsidP="009428DB">
      <w:pPr>
        <w:rPr>
          <w:noProof/>
          <w:color w:val="3B3838" w:themeColor="background2" w:themeShade="40"/>
          <w:sz w:val="18"/>
          <w:lang w:val="cs-CZ"/>
        </w:rPr>
      </w:pPr>
      <w:r w:rsidRPr="00795FED">
        <w:rPr>
          <w:noProof/>
          <w:color w:val="3B3838" w:themeColor="background2" w:themeShade="40"/>
          <w:sz w:val="18"/>
          <w:lang w:val="cs-CZ"/>
        </w:rPr>
        <w:t>* První dvě transakce v rámci nástroje NextGenerationEU se uskutečnily v červnu 2021. Byly zahrnuty do druhé poloviny roku 2021, protože byly součástí stejného plánu financování jako transakce, které byly provedeny ve druhé polovině roku 2021.</w:t>
      </w:r>
    </w:p>
    <w:p w14:paraId="05F85E31" w14:textId="77777777" w:rsidR="009428DB" w:rsidRPr="00795FED" w:rsidRDefault="009428DB" w:rsidP="009428DB">
      <w:pPr>
        <w:jc w:val="right"/>
        <w:rPr>
          <w:noProof/>
          <w:color w:val="3B3838" w:themeColor="background2" w:themeShade="40"/>
          <w:sz w:val="18"/>
          <w:lang w:val="cs-CZ"/>
        </w:rPr>
      </w:pPr>
      <w:r w:rsidRPr="00795FED">
        <w:rPr>
          <w:i/>
          <w:noProof/>
          <w:color w:val="808080" w:themeColor="background1" w:themeShade="80"/>
          <w:sz w:val="18"/>
          <w:lang w:val="cs-CZ"/>
        </w:rPr>
        <w:t>Všechny částky jsou v miliardách eur.</w:t>
      </w:r>
    </w:p>
    <w:p w14:paraId="1E9B8443" w14:textId="2264133B" w:rsidR="007C36D5" w:rsidRPr="00795FED" w:rsidRDefault="005D6F11" w:rsidP="007C36D5">
      <w:pPr>
        <w:rPr>
          <w:noProof/>
          <w:lang w:val="cs-CZ"/>
        </w:rPr>
      </w:pPr>
      <w:bookmarkStart w:id="12" w:name="_Hlk156564741"/>
      <w:bookmarkStart w:id="13" w:name="_Hlk155181535"/>
      <w:bookmarkStart w:id="14" w:name="_Hlk139454398"/>
      <w:r w:rsidRPr="00795FED">
        <w:rPr>
          <w:noProof/>
          <w:lang w:val="cs-CZ"/>
        </w:rPr>
        <w:t>V důsledku transakcí provedených ve druhé polovině roku 2023 celkový nesplacený objem dluhopisů EU na konci roku 2023 mírně přesahoval 440 miliard EUR. Z této částky bylo 405 miliard EUR vydáno od zahájení programu SURE v roce 2020, přičemž 286 miliard EUR bylo vydáno jako dluhopisy EU v rámci jednotného přístupu EU k financování.</w:t>
      </w:r>
      <w:bookmarkEnd w:id="12"/>
      <w:r w:rsidRPr="00795FED">
        <w:rPr>
          <w:noProof/>
          <w:lang w:val="cs-CZ"/>
        </w:rPr>
        <w:t xml:space="preserve"> Zbývající část nesplacených dluhopisů byla vydána v rámci konkrétních politik k financování půjček se shodnou dobou trvání (pomocí tohoto přístupu „back-to-back“ jsou financovány například půjčky v rámci programu SURE a půjčky v rámci makrofinanční pomoci Ukrajině poskytnuté v roce 2022).</w:t>
      </w:r>
    </w:p>
    <w:p w14:paraId="71BA18D7" w14:textId="2B4D8782" w:rsidR="005D6F11" w:rsidRPr="00795FED" w:rsidRDefault="007C36D5" w:rsidP="005D6F11">
      <w:pPr>
        <w:rPr>
          <w:noProof/>
          <w:lang w:val="cs-CZ"/>
        </w:rPr>
      </w:pPr>
      <w:bookmarkStart w:id="15" w:name="_Hlk158104850"/>
      <w:r w:rsidRPr="00795FED">
        <w:rPr>
          <w:noProof/>
          <w:lang w:val="cs-CZ"/>
        </w:rPr>
        <w:t>Z 286 miliard EUR vydaných v rámci jednotného přístupu EU k financování bylo 48,9 miliardy EUR vydáno ve formě zelených dluhopisů v rámci nástroje NextGenerationEU.</w:t>
      </w:r>
      <w:bookmarkEnd w:id="13"/>
      <w:r w:rsidRPr="00795FED">
        <w:rPr>
          <w:noProof/>
          <w:lang w:val="cs-CZ"/>
        </w:rPr>
        <w:t xml:space="preserve"> </w:t>
      </w:r>
    </w:p>
    <w:bookmarkEnd w:id="15"/>
    <w:p w14:paraId="737E3432" w14:textId="49347A88" w:rsidR="009A7D29" w:rsidRPr="00795FED" w:rsidRDefault="005D6F11" w:rsidP="005D6F11">
      <w:pPr>
        <w:rPr>
          <w:noProof/>
          <w:lang w:val="cs-CZ"/>
        </w:rPr>
      </w:pPr>
      <w:r w:rsidRPr="00795FED">
        <w:rPr>
          <w:noProof/>
          <w:lang w:val="cs-CZ"/>
        </w:rPr>
        <w:t xml:space="preserve">Ve druhé polovině roku 2023 Komise rovněž vydala tříměsíční a šestiměsíční pokladniční poukázky EU prostřednictvím dražeb konaných jednou za dva měsíce, aby tak pokryla potřeby krátkodobého financování. Na konci prosince 2023 měla EU prostřednictvím pokladničních poukázek EU nesplacený úvěr ve výši 15,2 miliardy EUR. </w:t>
      </w:r>
      <w:bookmarkEnd w:id="14"/>
      <w:r w:rsidRPr="00795FED">
        <w:rPr>
          <w:noProof/>
          <w:lang w:val="cs-CZ"/>
        </w:rPr>
        <w:t>Vzhledem k nízkým potřebám krátkodobého financování zachovala Komise emise v rámci programu pokladničních poukázek EU na minimální úrovni.</w:t>
      </w:r>
    </w:p>
    <w:p w14:paraId="1BBD1ABF" w14:textId="66D9714C" w:rsidR="003926DF" w:rsidRPr="00795FED" w:rsidRDefault="003926DF" w:rsidP="005971A7">
      <w:pPr>
        <w:pStyle w:val="Heading2"/>
        <w:rPr>
          <w:noProof/>
          <w:lang w:val="cs-CZ"/>
        </w:rPr>
      </w:pPr>
      <w:bookmarkStart w:id="16" w:name="_Toc161148993"/>
      <w:bookmarkEnd w:id="11"/>
      <w:r w:rsidRPr="00795FED">
        <w:rPr>
          <w:noProof/>
          <w:lang w:val="cs-CZ"/>
        </w:rPr>
        <w:t>Výplaty</w:t>
      </w:r>
      <w:bookmarkEnd w:id="16"/>
    </w:p>
    <w:p w14:paraId="69EA4DF0" w14:textId="4BCB8E6B" w:rsidR="00DC2305" w:rsidRPr="00795FED" w:rsidRDefault="00DC2305" w:rsidP="00DC2305">
      <w:pPr>
        <w:rPr>
          <w:noProof/>
          <w:lang w:val="cs-CZ"/>
        </w:rPr>
      </w:pPr>
      <w:r w:rsidRPr="00795FED">
        <w:rPr>
          <w:noProof/>
          <w:lang w:val="cs-CZ"/>
        </w:rPr>
        <w:t xml:space="preserve">Díky těmto transakcím Komise pokračovala ve financování plánů pro oživení a odolnost členských států prostřednictvím včasného vyplácení získaných prostředků. </w:t>
      </w:r>
      <w:bookmarkStart w:id="17" w:name="_Hlk155186535"/>
      <w:r w:rsidRPr="00795FED">
        <w:rPr>
          <w:noProof/>
          <w:lang w:val="cs-CZ"/>
        </w:rPr>
        <w:t>Komise v rámci Nástroje pro oživení a odolnost provedla veškeré platby členským státům v průměru do šesti pracovních dnů od schválení výplaty.</w:t>
      </w:r>
      <w:bookmarkEnd w:id="17"/>
    </w:p>
    <w:p w14:paraId="5B16C6A9" w14:textId="7BD74EB4" w:rsidR="00030B16" w:rsidRPr="00795FED" w:rsidRDefault="00DC2305" w:rsidP="00DC2305">
      <w:pPr>
        <w:rPr>
          <w:noProof/>
          <w:lang w:val="cs-CZ"/>
        </w:rPr>
      </w:pPr>
      <w:bookmarkStart w:id="18" w:name="_Hlk138163778"/>
      <w:r w:rsidRPr="00795FED">
        <w:rPr>
          <w:noProof/>
          <w:lang w:val="cs-CZ"/>
        </w:rPr>
        <w:t xml:space="preserve">Ve druhé polovině roku 2023 vyplatila Komise osmnácti členským státům v rámci Nástroje pro oživení a odolnost 67,4 miliardy EUR, z čehož 1,7 miliardy EUR představovaly platby předběžného financování na kapitoly REPowerEU. Z toho 35,3 miliardy EUR bylo ve formě nevratné podpory a 32,1 miliardy EUR ve formě půjček. Ve druhé polovině roku 2023 Komise rovněž převedla 10 miliard EUR do rozpočtu EU v rámci nástroje NextGenerationEU, aby přispěla na programy, jako je </w:t>
      </w:r>
      <w:bookmarkStart w:id="19" w:name="_Hlk156916411"/>
      <w:r w:rsidRPr="00795FED">
        <w:rPr>
          <w:noProof/>
          <w:lang w:val="cs-CZ"/>
        </w:rPr>
        <w:t>Horizont Evropa, Fond InvestEU, ReactEU, mechanismus civilní ochrany EU (RescEU), Evropský zemědělský fond pro rozvoj venkova (EZFRV) a Fond pro spravedlivou transformaci.</w:t>
      </w:r>
    </w:p>
    <w:bookmarkEnd w:id="19"/>
    <w:p w14:paraId="77BA0D3A" w14:textId="73B846F9" w:rsidR="00030B16" w:rsidRPr="00795FED" w:rsidRDefault="00030B16" w:rsidP="00D8633C">
      <w:pPr>
        <w:rPr>
          <w:noProof/>
          <w:lang w:val="cs-CZ"/>
        </w:rPr>
      </w:pPr>
      <w:r w:rsidRPr="00795FED">
        <w:rPr>
          <w:noProof/>
          <w:lang w:val="cs-CZ"/>
        </w:rPr>
        <w:t>Celkově od zahájení nástroje NextGenerationEU v létě 2021 Komise vyplatila 261,7 miliardy EUR: i) 141,6 miliardy EUR ve formě nevratné podpory a 79,2 miliardy EUR ve formě půjček členským státům v rámci Nástroje pro oživení a odolnost a ii) 40,9 miliardy EUR na ostatní výdajové programy financované z nástroje NextGenerationEU. Doposud bylo 260 miliard EUR z nástroje NextGenerationEU financováno prostřednictvím výpůjček a 1,7 miliardy EUR bylo financováno z jiných zdrojů (tj. ze systému obchodování s emisemi (ETS) a z rezervy na vyrovnání se s důsledky brexitu).</w:t>
      </w:r>
    </w:p>
    <w:p w14:paraId="7E1F765F" w14:textId="3B641470" w:rsidR="00240156" w:rsidRPr="00795FED" w:rsidRDefault="00DC2305" w:rsidP="00240156">
      <w:pPr>
        <w:rPr>
          <w:noProof/>
          <w:spacing w:val="-6"/>
          <w:lang w:val="cs-CZ"/>
        </w:rPr>
      </w:pPr>
      <w:r w:rsidRPr="00795FED">
        <w:rPr>
          <w:noProof/>
          <w:lang w:val="cs-CZ"/>
        </w:rPr>
        <w:t>Kromě těchto výplat v rámci nástroje NextGenerationEU vyplatila Komise ve druhé polovině roku 2023 Ukrajině ve formě půjček 9 miliard EUR v rámci programu MFA+, který byl financován emisí dluhopisů v rámci jednotného přístupu k financování. Celkový objem finančních prostředků vyplacených Ukrajině v rámci programu MFA+ tak za rok 2023 dosáhl 18 miliard EUR. Ve druhé polovině roku 2023 vyplatila Komise na nástroj NextGenerationEU (včetně plánu REPowerEU) a MFA+ celkem 86,4 miliardy EUR.</w:t>
      </w:r>
      <w:bookmarkEnd w:id="18"/>
      <w:r w:rsidRPr="00795FED">
        <w:rPr>
          <w:noProof/>
          <w:lang w:val="cs-CZ"/>
        </w:rPr>
        <w:t xml:space="preserve"> Tato výše přesahuje finanční prostředky vyplacené v první polovině roku 2023 (přibližně 30 miliard EUR), kdy bylo tempo vyplácení v první polovině roku dočasně ovlivněno potřebou </w:t>
      </w:r>
      <w:bookmarkStart w:id="20" w:name="_Hlk138838334"/>
      <w:r w:rsidRPr="00795FED">
        <w:rPr>
          <w:noProof/>
          <w:lang w:val="cs-CZ"/>
        </w:rPr>
        <w:t>revidovat národní plány pro oživení a odolnost (mimo jiné z důvodu začlenění kapitol REPowerEU</w:t>
      </w:r>
      <w:bookmarkEnd w:id="20"/>
      <w:r w:rsidRPr="00795FED">
        <w:rPr>
          <w:noProof/>
          <w:lang w:val="cs-CZ"/>
        </w:rPr>
        <w:t>).</w:t>
      </w:r>
    </w:p>
    <w:p w14:paraId="53F3E1A0" w14:textId="3EDC669F" w:rsidR="003926DF" w:rsidRPr="00795FED" w:rsidRDefault="00352DCC" w:rsidP="00A87F59">
      <w:pPr>
        <w:pStyle w:val="Heading2"/>
        <w:rPr>
          <w:noProof/>
          <w:lang w:val="cs-CZ"/>
        </w:rPr>
      </w:pPr>
      <w:bookmarkStart w:id="21" w:name="_Toc161148994"/>
      <w:r w:rsidRPr="00795FED">
        <w:rPr>
          <w:noProof/>
          <w:lang w:val="cs-CZ"/>
        </w:rPr>
        <w:t>Poptávka investorů a likvidita sekundárního trhu</w:t>
      </w:r>
      <w:bookmarkEnd w:id="21"/>
    </w:p>
    <w:p w14:paraId="15738A70" w14:textId="48183F71" w:rsidR="00216746" w:rsidRPr="00795FED" w:rsidRDefault="00216746" w:rsidP="00216746">
      <w:pPr>
        <w:rPr>
          <w:noProof/>
          <w:lang w:val="cs-CZ"/>
        </w:rPr>
      </w:pPr>
      <w:bookmarkStart w:id="22" w:name="_Hlk139454867"/>
      <w:r w:rsidRPr="00795FED">
        <w:rPr>
          <w:noProof/>
          <w:lang w:val="cs-CZ"/>
        </w:rPr>
        <w:t>Navzdory tomu, že v tomto období byla zaznamenána volatilita sazeb, se emise dluhopisů EU nadále těšily poptávce ze strany vyvážené a diverzifikované investorské základny se zastoupením různých typů investorů z celého světa</w:t>
      </w:r>
      <w:r w:rsidRPr="00795FED">
        <w:rPr>
          <w:noProof/>
          <w:vertAlign w:val="superscript"/>
          <w:lang w:val="cs-CZ"/>
        </w:rPr>
        <w:footnoteReference w:id="8"/>
      </w:r>
      <w:r w:rsidRPr="00795FED">
        <w:rPr>
          <w:noProof/>
          <w:lang w:val="cs-CZ"/>
        </w:rPr>
        <w:t>.</w:t>
      </w:r>
    </w:p>
    <w:p w14:paraId="41A81828" w14:textId="45DF181D" w:rsidR="00EF6F31" w:rsidRPr="00795FED" w:rsidRDefault="00EF6F31" w:rsidP="00216746">
      <w:pPr>
        <w:rPr>
          <w:b/>
          <w:noProof/>
          <w:color w:val="034EA2" w:themeColor="accent1"/>
          <w:lang w:val="cs-CZ"/>
        </w:rPr>
      </w:pPr>
      <w:r w:rsidRPr="00795FED">
        <w:rPr>
          <w:b/>
          <w:noProof/>
          <w:color w:val="034EA2" w:themeColor="accent1"/>
          <w:lang w:val="cs-CZ"/>
        </w:rPr>
        <w:t>Graf 3: Rozdělení investorů</w:t>
      </w:r>
    </w:p>
    <w:p w14:paraId="738B6835" w14:textId="43A18A3E" w:rsidR="00D85820" w:rsidRPr="00795FED" w:rsidRDefault="00CF51C3" w:rsidP="00FF2D54">
      <w:pPr>
        <w:spacing w:after="0"/>
        <w:rPr>
          <w:b/>
          <w:noProof/>
          <w:color w:val="034EA2" w:themeColor="accent1"/>
          <w:lang w:val="cs-CZ"/>
        </w:rPr>
      </w:pPr>
      <w:r w:rsidRPr="00CF51C3">
        <w:rPr>
          <w:noProof/>
          <w:lang w:val="en-GB" w:eastAsia="en-GB"/>
        </w:rPr>
        <w:drawing>
          <wp:inline distT="0" distB="0" distL="0" distR="0" wp14:anchorId="27413F65" wp14:editId="6C93635E">
            <wp:extent cx="5731510" cy="2079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2079625"/>
                    </a:xfrm>
                    <a:prstGeom prst="rect">
                      <a:avLst/>
                    </a:prstGeom>
                  </pic:spPr>
                </pic:pic>
              </a:graphicData>
            </a:graphic>
          </wp:inline>
        </w:drawing>
      </w:r>
    </w:p>
    <w:p w14:paraId="521437CC" w14:textId="77777777" w:rsidR="006B558E" w:rsidRPr="00795FED" w:rsidRDefault="006B558E" w:rsidP="00FF2D54">
      <w:pPr>
        <w:spacing w:after="0"/>
        <w:rPr>
          <w:b/>
          <w:noProof/>
          <w:color w:val="034EA2" w:themeColor="accent1"/>
          <w:lang w:val="cs-CZ"/>
        </w:rPr>
      </w:pPr>
    </w:p>
    <w:p w14:paraId="0B530259" w14:textId="19377493" w:rsidR="00B4643F" w:rsidRPr="00795FED" w:rsidRDefault="00CF51C3" w:rsidP="00216746">
      <w:pPr>
        <w:rPr>
          <w:noProof/>
          <w:lang w:val="cs-CZ"/>
        </w:rPr>
      </w:pPr>
      <w:r w:rsidRPr="00CF51C3">
        <w:rPr>
          <w:noProof/>
          <w:lang w:val="en-GB" w:eastAsia="en-GB"/>
        </w:rPr>
        <w:drawing>
          <wp:inline distT="0" distB="0" distL="0" distR="0" wp14:anchorId="7F7FE146" wp14:editId="0E0A49E2">
            <wp:extent cx="5731510" cy="22586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31510" cy="2258695"/>
                    </a:xfrm>
                    <a:prstGeom prst="rect">
                      <a:avLst/>
                    </a:prstGeom>
                  </pic:spPr>
                </pic:pic>
              </a:graphicData>
            </a:graphic>
          </wp:inline>
        </w:drawing>
      </w:r>
    </w:p>
    <w:bookmarkEnd w:id="22"/>
    <w:p w14:paraId="30442D31" w14:textId="771385E3" w:rsidR="009A0198" w:rsidRPr="00795FED" w:rsidRDefault="00080B80" w:rsidP="00216746">
      <w:pPr>
        <w:rPr>
          <w:noProof/>
          <w:lang w:val="cs-CZ"/>
        </w:rPr>
      </w:pPr>
      <w:r w:rsidRPr="00795FED">
        <w:rPr>
          <w:noProof/>
          <w:lang w:val="cs-CZ"/>
        </w:rPr>
        <w:t>Nové emisní ážio</w:t>
      </w:r>
      <w:r w:rsidRPr="00795FED">
        <w:rPr>
          <w:noProof/>
          <w:vertAlign w:val="superscript"/>
          <w:lang w:val="cs-CZ"/>
        </w:rPr>
        <w:footnoteReference w:id="9"/>
      </w:r>
      <w:r w:rsidRPr="00795FED">
        <w:rPr>
          <w:noProof/>
          <w:lang w:val="cs-CZ"/>
        </w:rPr>
        <w:t xml:space="preserve"> požadované investory jako prémie při vydávání dluhopisů EU prostřednictvím syndikace činily ve druhé polovině roku 2023 přibližně 2,5 bazického bodu, což odpovídá prémiím nabízeným jinými emitenty u srovnatelných transakcí (měřeno podle velikosti a splatnosti) v tomto období. </w:t>
      </w:r>
    </w:p>
    <w:p w14:paraId="33387FD9" w14:textId="50571D17" w:rsidR="009A0198" w:rsidRPr="00795FED" w:rsidRDefault="009A0198" w:rsidP="00971672">
      <w:pPr>
        <w:rPr>
          <w:noProof/>
          <w:lang w:val="cs-CZ"/>
        </w:rPr>
      </w:pPr>
      <w:r w:rsidRPr="00795FED">
        <w:rPr>
          <w:noProof/>
          <w:lang w:val="cs-CZ"/>
        </w:rPr>
        <w:t xml:space="preserve">Likvidita dluhopisů EU na sekundárním trhu zároveň po celou dobu odpovídala úrovním zaznamenaným na trzích s nejlikvidnějšími evropskými státními dluhopisy (měřeno v poměru k nesplaceným částkám). Likvidita dluhopisů EU na sekundárním trhu byla posílena tím, že dne 1. listopadu 2023 byl zaveden </w:t>
      </w:r>
      <w:hyperlink r:id="rId31" w:history="1">
        <w:r w:rsidRPr="00795FED">
          <w:rPr>
            <w:noProof/>
            <w:lang w:val="cs-CZ"/>
          </w:rPr>
          <w:t>mechanismus kotace,</w:t>
        </w:r>
      </w:hyperlink>
      <w:r w:rsidRPr="00795FED">
        <w:rPr>
          <w:noProof/>
          <w:lang w:val="cs-CZ"/>
        </w:rPr>
        <w:t> v rámci kterého jsou primární dealeři v EU podporováni v tom, aby zveřejňovali spolehlivé ceny dluhopisů EU na předních elektronických platformách pro obchodování s dluhopisy. Přestože je kótování dluhopisů EU na mezidealerských platformách teprve na počátku, je již srovnatelné s úrovněmi pozorovanými u emitentů státních dluhopisů (měřeno průměrnými denními objemy). Denní objemy obchodů s dluhopisy EU činily v listopadu 2023 v průměru přibližně 900 milionů EUR a v prosinci 2023 v průměru 550 miliard EUR, přičemž nejvyšší denní maximum přesahovalo 2 miliardy EUR.</w:t>
      </w:r>
    </w:p>
    <w:p w14:paraId="34FD2616" w14:textId="0D5D9CD6" w:rsidR="00971672" w:rsidRPr="00795FED" w:rsidRDefault="00160C1F" w:rsidP="00971672">
      <w:pPr>
        <w:rPr>
          <w:noProof/>
          <w:lang w:val="cs-CZ"/>
        </w:rPr>
      </w:pPr>
      <w:r w:rsidRPr="00795FED">
        <w:rPr>
          <w:noProof/>
          <w:lang w:val="cs-CZ"/>
        </w:rPr>
        <w:t>Likviditu na sekundárním trhu rovněž podpořila kombinace využití stávajících řad a vytvoření nových řad (nové pětileté, sedmileté a dvacetileté dluhopisy EU vydané ve druhé polovině roku 2023). V důsledku toho průměrná nesplacená částka na dluhopis EU zůstala na konci pololetí v přibližné výši 13 miliard EUR, což zajistilo stálou likviditu dluhopisů.</w:t>
      </w:r>
    </w:p>
    <w:p w14:paraId="03C83E44" w14:textId="427D9707" w:rsidR="009A0198" w:rsidRPr="00795FED" w:rsidRDefault="00EF6F31" w:rsidP="009A0198">
      <w:pPr>
        <w:rPr>
          <w:b/>
          <w:noProof/>
          <w:color w:val="034EA2" w:themeColor="accent1"/>
          <w:lang w:val="cs-CZ"/>
        </w:rPr>
      </w:pPr>
      <w:r w:rsidRPr="00795FED">
        <w:rPr>
          <w:b/>
          <w:noProof/>
          <w:color w:val="034EA2" w:themeColor="accent1"/>
          <w:lang w:val="cs-CZ"/>
        </w:rPr>
        <w:t>Graf 4: Čtvrtletní obrat dluhopisů EU a evropských státních dluhopisů na sekundárním trhu (% nesplaceného objemu)</w:t>
      </w:r>
    </w:p>
    <w:p w14:paraId="34096130" w14:textId="4614AC8E" w:rsidR="009A0198" w:rsidRPr="00795FED" w:rsidRDefault="002A23D9" w:rsidP="009A0198">
      <w:pPr>
        <w:rPr>
          <w:b/>
          <w:noProof/>
          <w:lang w:val="cs-CZ"/>
        </w:rPr>
      </w:pPr>
      <w:r w:rsidRPr="002A23D9">
        <w:rPr>
          <w:noProof/>
          <w:lang w:val="en-GB" w:eastAsia="en-GB"/>
        </w:rPr>
        <w:drawing>
          <wp:inline distT="0" distB="0" distL="0" distR="0" wp14:anchorId="222CA1B3" wp14:editId="3670178E">
            <wp:extent cx="5731510" cy="31889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31510" cy="3188970"/>
                    </a:xfrm>
                    <a:prstGeom prst="rect">
                      <a:avLst/>
                    </a:prstGeom>
                  </pic:spPr>
                </pic:pic>
              </a:graphicData>
            </a:graphic>
          </wp:inline>
        </w:drawing>
      </w:r>
    </w:p>
    <w:p w14:paraId="66E247E6" w14:textId="36280385" w:rsidR="009A0198" w:rsidRPr="00795FED" w:rsidRDefault="009A0198" w:rsidP="009A0198">
      <w:pPr>
        <w:contextualSpacing/>
        <w:rPr>
          <w:noProof/>
          <w:sz w:val="20"/>
          <w:lang w:val="cs-CZ"/>
        </w:rPr>
      </w:pPr>
      <w:r w:rsidRPr="00795FED">
        <w:rPr>
          <w:i/>
          <w:noProof/>
          <w:sz w:val="20"/>
          <w:lang w:val="cs-CZ"/>
        </w:rPr>
        <w:t>Zdroj:</w:t>
      </w:r>
      <w:r w:rsidRPr="00795FED">
        <w:rPr>
          <w:noProof/>
          <w:sz w:val="20"/>
          <w:lang w:val="cs-CZ"/>
        </w:rPr>
        <w:t xml:space="preserve"> Evropská komise na základě údajů Podvýboru Hospodářského a finančního výboru pro trhy se státními dluhopisy EU (ESDM). </w:t>
      </w:r>
    </w:p>
    <w:p w14:paraId="5574A62A" w14:textId="2296259C" w:rsidR="009A0198" w:rsidRPr="00795FED" w:rsidRDefault="009A0198" w:rsidP="009A0198">
      <w:pPr>
        <w:contextualSpacing/>
        <w:rPr>
          <w:noProof/>
          <w:sz w:val="20"/>
          <w:lang w:val="cs-CZ"/>
        </w:rPr>
      </w:pPr>
      <w:r w:rsidRPr="00795FED">
        <w:rPr>
          <w:noProof/>
          <w:sz w:val="20"/>
          <w:lang w:val="cs-CZ"/>
        </w:rPr>
        <w:t>Pozn.: Trh s evropskými státními dluhopisy zde zahrnuje dluhopisy států eurozóny, Evropský nástroj finanční stability a Evropský mechanismus stability. Údaje za 4. čtvrtletí 2023 zatím nejsou k dispozici.</w:t>
      </w:r>
    </w:p>
    <w:p w14:paraId="705365E0" w14:textId="77777777" w:rsidR="001D446D" w:rsidRPr="00795FED" w:rsidRDefault="001D446D" w:rsidP="001D446D">
      <w:pPr>
        <w:rPr>
          <w:noProof/>
          <w:lang w:val="cs-CZ"/>
        </w:rPr>
      </w:pPr>
    </w:p>
    <w:p w14:paraId="0260D5D1" w14:textId="1D8DEE60" w:rsidR="00E81087" w:rsidRPr="00795FED" w:rsidRDefault="00DB3549" w:rsidP="00A87F59">
      <w:pPr>
        <w:pStyle w:val="Heading1"/>
        <w:rPr>
          <w:noProof/>
          <w:lang w:val="cs-CZ"/>
        </w:rPr>
      </w:pPr>
      <w:bookmarkStart w:id="23" w:name="_Toc161148995"/>
      <w:r w:rsidRPr="00795FED">
        <w:rPr>
          <w:noProof/>
          <w:lang w:val="cs-CZ"/>
        </w:rPr>
        <w:t>Náklady na financování a zůstatky likvidity</w:t>
      </w:r>
      <w:bookmarkEnd w:id="23"/>
    </w:p>
    <w:p w14:paraId="6EB8EACA" w14:textId="2859BED3" w:rsidR="001D0900" w:rsidRPr="00795FED" w:rsidRDefault="001D0900" w:rsidP="00A87F59">
      <w:pPr>
        <w:pStyle w:val="Heading2"/>
        <w:rPr>
          <w:noProof/>
          <w:lang w:val="cs-CZ"/>
        </w:rPr>
      </w:pPr>
      <w:bookmarkStart w:id="24" w:name="_Toc161148996"/>
      <w:r w:rsidRPr="00795FED">
        <w:rPr>
          <w:noProof/>
          <w:lang w:val="cs-CZ"/>
        </w:rPr>
        <w:t>Náklady na financování</w:t>
      </w:r>
      <w:bookmarkEnd w:id="24"/>
    </w:p>
    <w:p w14:paraId="0172579C" w14:textId="77777777" w:rsidR="007B6993" w:rsidRPr="00795FED" w:rsidRDefault="007B6993" w:rsidP="007B6993">
      <w:pPr>
        <w:rPr>
          <w:noProof/>
          <w:lang w:val="cs-CZ"/>
        </w:rPr>
      </w:pPr>
      <w:r w:rsidRPr="00795FED">
        <w:rPr>
          <w:noProof/>
          <w:lang w:val="cs-CZ"/>
        </w:rPr>
        <w:t>Ve druhé polovině roku 2023 se ve shodě s obecnými podmínkami na trhu zvýšily úrokové náklady. Náklady na financování</w:t>
      </w:r>
      <w:r w:rsidRPr="00795FED">
        <w:rPr>
          <w:noProof/>
          <w:vertAlign w:val="superscript"/>
          <w:lang w:val="cs-CZ"/>
        </w:rPr>
        <w:footnoteReference w:id="10"/>
      </w:r>
      <w:r w:rsidRPr="00795FED">
        <w:rPr>
          <w:noProof/>
          <w:lang w:val="cs-CZ"/>
        </w:rPr>
        <w:t xml:space="preserve"> od července do prosince 2023 se odhadují na přibližně 3,6 %, zatímco v předchozím pololetí činily 3,2 %.</w:t>
      </w:r>
    </w:p>
    <w:p w14:paraId="769BE625" w14:textId="4F095E95" w:rsidR="00EF6F31" w:rsidRPr="00795FED" w:rsidRDefault="00EF6F31" w:rsidP="007B6993">
      <w:pPr>
        <w:rPr>
          <w:b/>
          <w:noProof/>
          <w:color w:val="034EA2" w:themeColor="accent1"/>
          <w:lang w:val="cs-CZ"/>
        </w:rPr>
      </w:pPr>
      <w:r w:rsidRPr="00795FED">
        <w:rPr>
          <w:b/>
          <w:noProof/>
          <w:color w:val="034EA2" w:themeColor="accent1"/>
          <w:lang w:val="cs-CZ"/>
        </w:rPr>
        <w:t>Graf 5: Náklady na financování v čase</w:t>
      </w:r>
    </w:p>
    <w:tbl>
      <w:tblPr>
        <w:tblStyle w:val="TableGrid"/>
        <w:tblW w:w="9205"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1"/>
        <w:gridCol w:w="1841"/>
        <w:gridCol w:w="1841"/>
        <w:gridCol w:w="1841"/>
        <w:gridCol w:w="1841"/>
      </w:tblGrid>
      <w:tr w:rsidR="00906359" w:rsidRPr="00795FED" w14:paraId="34967047" w14:textId="77777777" w:rsidTr="00391716">
        <w:trPr>
          <w:trHeight w:val="415"/>
        </w:trPr>
        <w:tc>
          <w:tcPr>
            <w:tcW w:w="1841" w:type="dxa"/>
            <w:shd w:val="clear" w:color="auto" w:fill="034EA2" w:themeFill="accent1"/>
            <w:vAlign w:val="center"/>
            <w:hideMark/>
          </w:tcPr>
          <w:p w14:paraId="5C0F100C" w14:textId="77777777" w:rsidR="00906359" w:rsidRPr="00795FED" w:rsidRDefault="00906359" w:rsidP="008A34F5">
            <w:pPr>
              <w:jc w:val="center"/>
              <w:rPr>
                <w:b/>
                <w:noProof/>
                <w:color w:val="FFFFFF" w:themeColor="background1"/>
                <w:lang w:val="cs-CZ"/>
              </w:rPr>
            </w:pPr>
            <w:r w:rsidRPr="00795FED">
              <w:rPr>
                <w:b/>
                <w:noProof/>
                <w:color w:val="FFFFFF" w:themeColor="background1"/>
                <w:lang w:val="cs-CZ"/>
              </w:rPr>
              <w:t>2. pololetí 2021</w:t>
            </w:r>
          </w:p>
        </w:tc>
        <w:tc>
          <w:tcPr>
            <w:tcW w:w="1841" w:type="dxa"/>
            <w:shd w:val="clear" w:color="auto" w:fill="034EA2" w:themeFill="accent1"/>
            <w:vAlign w:val="center"/>
            <w:hideMark/>
          </w:tcPr>
          <w:p w14:paraId="48E77872" w14:textId="77777777" w:rsidR="00906359" w:rsidRPr="00795FED" w:rsidRDefault="00906359" w:rsidP="008A34F5">
            <w:pPr>
              <w:jc w:val="center"/>
              <w:rPr>
                <w:b/>
                <w:noProof/>
                <w:color w:val="FFFFFF" w:themeColor="background1"/>
                <w:lang w:val="cs-CZ"/>
              </w:rPr>
            </w:pPr>
            <w:r w:rsidRPr="00795FED">
              <w:rPr>
                <w:b/>
                <w:noProof/>
                <w:color w:val="FFFFFF" w:themeColor="background1"/>
                <w:lang w:val="cs-CZ"/>
              </w:rPr>
              <w:t>1. pololetí 2022</w:t>
            </w:r>
          </w:p>
        </w:tc>
        <w:tc>
          <w:tcPr>
            <w:tcW w:w="1841" w:type="dxa"/>
            <w:shd w:val="clear" w:color="auto" w:fill="034EA2" w:themeFill="accent1"/>
            <w:vAlign w:val="center"/>
            <w:hideMark/>
          </w:tcPr>
          <w:p w14:paraId="73049051" w14:textId="77777777" w:rsidR="00906359" w:rsidRPr="00795FED" w:rsidRDefault="00906359" w:rsidP="008A34F5">
            <w:pPr>
              <w:jc w:val="center"/>
              <w:rPr>
                <w:b/>
                <w:noProof/>
                <w:color w:val="FFFFFF" w:themeColor="background1"/>
                <w:lang w:val="cs-CZ"/>
              </w:rPr>
            </w:pPr>
            <w:r w:rsidRPr="00795FED">
              <w:rPr>
                <w:b/>
                <w:noProof/>
                <w:color w:val="FFFFFF" w:themeColor="background1"/>
                <w:lang w:val="cs-CZ"/>
              </w:rPr>
              <w:t>2. pololetí 2022</w:t>
            </w:r>
          </w:p>
        </w:tc>
        <w:tc>
          <w:tcPr>
            <w:tcW w:w="1841" w:type="dxa"/>
            <w:shd w:val="clear" w:color="auto" w:fill="034EA2" w:themeFill="accent1"/>
            <w:vAlign w:val="center"/>
            <w:hideMark/>
          </w:tcPr>
          <w:p w14:paraId="11216AA4" w14:textId="77777777" w:rsidR="00906359" w:rsidRPr="00795FED" w:rsidRDefault="00906359" w:rsidP="008A34F5">
            <w:pPr>
              <w:jc w:val="center"/>
              <w:rPr>
                <w:b/>
                <w:noProof/>
                <w:color w:val="FFFFFF" w:themeColor="background1"/>
                <w:lang w:val="cs-CZ"/>
              </w:rPr>
            </w:pPr>
            <w:r w:rsidRPr="00795FED">
              <w:rPr>
                <w:b/>
                <w:noProof/>
                <w:color w:val="FFFFFF" w:themeColor="background1"/>
                <w:lang w:val="cs-CZ"/>
              </w:rPr>
              <w:t>1. pololetí 2023</w:t>
            </w:r>
          </w:p>
        </w:tc>
        <w:tc>
          <w:tcPr>
            <w:tcW w:w="1841" w:type="dxa"/>
            <w:shd w:val="clear" w:color="auto" w:fill="034EA2" w:themeFill="accent1"/>
            <w:vAlign w:val="center"/>
            <w:hideMark/>
          </w:tcPr>
          <w:p w14:paraId="4A04C8C1" w14:textId="77777777" w:rsidR="00906359" w:rsidRPr="00795FED" w:rsidRDefault="00906359" w:rsidP="008A34F5">
            <w:pPr>
              <w:jc w:val="center"/>
              <w:rPr>
                <w:b/>
                <w:noProof/>
                <w:color w:val="FFFFFF" w:themeColor="background1"/>
                <w:lang w:val="cs-CZ"/>
              </w:rPr>
            </w:pPr>
            <w:r w:rsidRPr="00795FED">
              <w:rPr>
                <w:b/>
                <w:noProof/>
                <w:color w:val="FFFFFF" w:themeColor="background1"/>
                <w:lang w:val="cs-CZ"/>
              </w:rPr>
              <w:t>2. pololetí 2023</w:t>
            </w:r>
          </w:p>
        </w:tc>
      </w:tr>
      <w:tr w:rsidR="00906359" w:rsidRPr="00795FED" w14:paraId="7F2149EF" w14:textId="77777777" w:rsidTr="00391716">
        <w:trPr>
          <w:trHeight w:val="415"/>
        </w:trPr>
        <w:tc>
          <w:tcPr>
            <w:tcW w:w="1841" w:type="dxa"/>
            <w:vAlign w:val="center"/>
            <w:hideMark/>
          </w:tcPr>
          <w:p w14:paraId="0A5E174F" w14:textId="77777777" w:rsidR="00906359" w:rsidRPr="00795FED" w:rsidRDefault="00906359" w:rsidP="008A34F5">
            <w:pPr>
              <w:jc w:val="center"/>
              <w:rPr>
                <w:noProof/>
                <w:color w:val="3B3838" w:themeColor="background2" w:themeShade="40"/>
                <w:lang w:val="cs-CZ"/>
              </w:rPr>
            </w:pPr>
            <w:r w:rsidRPr="00795FED">
              <w:rPr>
                <w:noProof/>
                <w:color w:val="3B3838" w:themeColor="background2" w:themeShade="40"/>
                <w:lang w:val="cs-CZ"/>
              </w:rPr>
              <w:t>0,14 %</w:t>
            </w:r>
          </w:p>
        </w:tc>
        <w:tc>
          <w:tcPr>
            <w:tcW w:w="1841" w:type="dxa"/>
            <w:vAlign w:val="center"/>
            <w:hideMark/>
          </w:tcPr>
          <w:p w14:paraId="56B0D810" w14:textId="77777777" w:rsidR="00906359" w:rsidRPr="00795FED" w:rsidRDefault="00906359" w:rsidP="008A34F5">
            <w:pPr>
              <w:jc w:val="center"/>
              <w:rPr>
                <w:noProof/>
                <w:color w:val="3B3838" w:themeColor="background2" w:themeShade="40"/>
                <w:lang w:val="cs-CZ"/>
              </w:rPr>
            </w:pPr>
            <w:r w:rsidRPr="00795FED">
              <w:rPr>
                <w:noProof/>
                <w:color w:val="3B3838" w:themeColor="background2" w:themeShade="40"/>
                <w:lang w:val="cs-CZ"/>
              </w:rPr>
              <w:t>1,16 %</w:t>
            </w:r>
          </w:p>
        </w:tc>
        <w:tc>
          <w:tcPr>
            <w:tcW w:w="1841" w:type="dxa"/>
            <w:vAlign w:val="center"/>
            <w:hideMark/>
          </w:tcPr>
          <w:p w14:paraId="595DB7A6" w14:textId="77777777" w:rsidR="00906359" w:rsidRPr="00795FED" w:rsidRDefault="00906359" w:rsidP="008A34F5">
            <w:pPr>
              <w:jc w:val="center"/>
              <w:rPr>
                <w:noProof/>
                <w:color w:val="3B3838" w:themeColor="background2" w:themeShade="40"/>
                <w:lang w:val="cs-CZ"/>
              </w:rPr>
            </w:pPr>
            <w:r w:rsidRPr="00795FED">
              <w:rPr>
                <w:noProof/>
                <w:color w:val="3B3838" w:themeColor="background2" w:themeShade="40"/>
                <w:lang w:val="cs-CZ"/>
              </w:rPr>
              <w:t>2,51 %</w:t>
            </w:r>
          </w:p>
        </w:tc>
        <w:tc>
          <w:tcPr>
            <w:tcW w:w="1841" w:type="dxa"/>
            <w:vAlign w:val="center"/>
            <w:hideMark/>
          </w:tcPr>
          <w:p w14:paraId="7B5B5356" w14:textId="77777777" w:rsidR="00906359" w:rsidRPr="00795FED" w:rsidRDefault="00906359" w:rsidP="008A34F5">
            <w:pPr>
              <w:jc w:val="center"/>
              <w:rPr>
                <w:noProof/>
                <w:color w:val="3B3838" w:themeColor="background2" w:themeShade="40"/>
                <w:lang w:val="cs-CZ"/>
              </w:rPr>
            </w:pPr>
            <w:r w:rsidRPr="00795FED">
              <w:rPr>
                <w:noProof/>
                <w:color w:val="3B3838" w:themeColor="background2" w:themeShade="40"/>
                <w:lang w:val="cs-CZ"/>
              </w:rPr>
              <w:t>3,20 %</w:t>
            </w:r>
          </w:p>
        </w:tc>
        <w:tc>
          <w:tcPr>
            <w:tcW w:w="1841" w:type="dxa"/>
            <w:vAlign w:val="center"/>
            <w:hideMark/>
          </w:tcPr>
          <w:p w14:paraId="799909FE" w14:textId="77777777" w:rsidR="00906359" w:rsidRPr="00795FED" w:rsidRDefault="00906359" w:rsidP="008A34F5">
            <w:pPr>
              <w:jc w:val="center"/>
              <w:rPr>
                <w:noProof/>
                <w:color w:val="3B3838" w:themeColor="background2" w:themeShade="40"/>
                <w:lang w:val="cs-CZ"/>
              </w:rPr>
            </w:pPr>
            <w:r w:rsidRPr="00795FED">
              <w:rPr>
                <w:noProof/>
                <w:color w:val="3B3838" w:themeColor="background2" w:themeShade="40"/>
                <w:lang w:val="cs-CZ"/>
              </w:rPr>
              <w:t>3,56 %</w:t>
            </w:r>
          </w:p>
        </w:tc>
      </w:tr>
    </w:tbl>
    <w:p w14:paraId="0B44737C" w14:textId="77777777" w:rsidR="00906359" w:rsidRPr="00795FED" w:rsidRDefault="00906359" w:rsidP="007B6993">
      <w:pPr>
        <w:rPr>
          <w:b/>
          <w:noProof/>
          <w:color w:val="034EA2" w:themeColor="accent1"/>
          <w:lang w:val="cs-CZ"/>
        </w:rPr>
      </w:pPr>
    </w:p>
    <w:p w14:paraId="1A97B645" w14:textId="49638A39" w:rsidR="007B6993" w:rsidRPr="00795FED" w:rsidRDefault="007B6993" w:rsidP="007B6993">
      <w:pPr>
        <w:rPr>
          <w:noProof/>
          <w:lang w:val="cs-CZ"/>
        </w:rPr>
      </w:pPr>
      <w:r w:rsidRPr="00795FED">
        <w:rPr>
          <w:noProof/>
          <w:lang w:val="cs-CZ"/>
        </w:rPr>
        <w:t>Inflace sice výrazně klesla ze svého maxima, které v říjnu 2022 přesahovalo 10 %, inflační tlaky však přetrvávaly i nadále. Až do října 2023 se tržní očekávání výrazně přikláněla k dalšímu zvyšování sazeb, což vedlo ve třetím čtvrtletí 2023 k tomu, že se zvýšily emisní náklady pro EU a všechny ostatní emitenty.</w:t>
      </w:r>
    </w:p>
    <w:p w14:paraId="49382A31" w14:textId="6BB66BEC" w:rsidR="007B6993" w:rsidRPr="00795FED" w:rsidRDefault="007B6993" w:rsidP="007B6993">
      <w:pPr>
        <w:rPr>
          <w:noProof/>
          <w:lang w:val="cs-CZ"/>
        </w:rPr>
      </w:pPr>
      <w:r w:rsidRPr="00795FED">
        <w:rPr>
          <w:noProof/>
          <w:lang w:val="cs-CZ"/>
        </w:rPr>
        <w:t xml:space="preserve">Tento vývoj zapříčinil prudký růst výnosových křivek státních dluhopisů, které v říjnu 2023 dosáhly svého maxima od roku 2011: nad 3 % u německých desetiletých dluhopisů, nad 3,5 % u francouzských desetiletých dluhopisů a téměř 5 % u italských desetiletých dluhopisů. Rozpětí mezi desetiletými dluhopisy EU a desetiletými německými dluhopisy zůstalo relativně stabilní během celého druhého pololetí roku 2023, přičemž se na konci roku blížilo 73 bazickým bodům (ve srovnání s 68 bazickými body k 30. červenci 2023), což představuje pokles z nejvyšší hodnoty 81 bazických bodů v říjnu 2023. Neochota podstupovat riziko, která v polovině pololetí na trhu panovala, vedla ke konzervativnímu investičnímu přístupu, kdy investoři upřednostňovali evropské státní dluhopisy před dluhopisy EU a emitenty dalších dluhopisů na nižší než státní úrovni nebo nadnárodních dluhopisů. To vedlo k rozšíření rozpětí mezi dluhopisy EU a nejlikvidnějšími základními evropskými státními dluhopisy, i když to neodráží základní charakteristiky (úvěrová kvalita, likvidita, objem a pravidelnost) programu emise dluhopisů EU. Komise podniká soustavné kroky s cílem přimět trhy k tomu, aby stanovovaly ceny dluhopisů EU, které více odpovídají těmto základním charakteristikám programu (viz oddíl </w:t>
      </w:r>
      <w:r w:rsidRPr="00795FED">
        <w:rPr>
          <w:noProof/>
          <w:lang w:val="cs-CZ"/>
        </w:rPr>
        <w:fldChar w:fldCharType="begin"/>
      </w:r>
      <w:r w:rsidRPr="00795FED">
        <w:rPr>
          <w:noProof/>
          <w:lang w:val="cs-CZ"/>
        </w:rPr>
        <w:instrText xml:space="preserve"> REF _Ref155257759 \r \h </w:instrText>
      </w:r>
      <w:r w:rsidRPr="00795FED">
        <w:rPr>
          <w:noProof/>
          <w:lang w:val="cs-CZ"/>
        </w:rPr>
      </w:r>
      <w:r w:rsidRPr="00795FED">
        <w:rPr>
          <w:noProof/>
          <w:lang w:val="cs-CZ"/>
        </w:rPr>
        <w:fldChar w:fldCharType="separate"/>
      </w:r>
      <w:r w:rsidRPr="00795FED">
        <w:rPr>
          <w:noProof/>
          <w:lang w:val="cs-CZ"/>
        </w:rPr>
        <w:t>4</w:t>
      </w:r>
      <w:r w:rsidRPr="00795FED">
        <w:rPr>
          <w:noProof/>
          <w:lang w:val="cs-CZ"/>
        </w:rPr>
        <w:fldChar w:fldCharType="end"/>
      </w:r>
      <w:r w:rsidRPr="00795FED">
        <w:rPr>
          <w:noProof/>
          <w:lang w:val="cs-CZ"/>
        </w:rPr>
        <w:t xml:space="preserve">). </w:t>
      </w:r>
    </w:p>
    <w:p w14:paraId="0AB776D4" w14:textId="3F8A7492" w:rsidR="007B6993" w:rsidRPr="00795FED" w:rsidRDefault="007B6993" w:rsidP="007B6993">
      <w:pPr>
        <w:rPr>
          <w:noProof/>
          <w:lang w:val="cs-CZ"/>
        </w:rPr>
      </w:pPr>
      <w:bookmarkStart w:id="25" w:name="_Hlk156320689"/>
      <w:r w:rsidRPr="00795FED">
        <w:rPr>
          <w:noProof/>
          <w:lang w:val="cs-CZ"/>
        </w:rPr>
        <w:t>Vzhledem k tomu, že inflace ke konci roku zpomalovala rychleji, než se čekalo, očekávání dalšího zvyšování sazeb bylo vystřídáno očekáváním dřívějšího a výraznějšího snížení sazeb v roce 2024. Výnosy desetiletých dluhopisů EU klesly z říjnového maxima 3,7 % na 2,8 % na konci roku a došlo ke snížení rozpětí vůči německým a francouzským dluhopisům s podobnou splatností.</w:t>
      </w:r>
    </w:p>
    <w:p w14:paraId="578660E7" w14:textId="15FA6F0F" w:rsidR="00D73D12" w:rsidRPr="00795FED" w:rsidRDefault="001D0900" w:rsidP="00A87F59">
      <w:pPr>
        <w:pStyle w:val="Heading2"/>
        <w:rPr>
          <w:noProof/>
          <w:lang w:val="cs-CZ"/>
        </w:rPr>
      </w:pPr>
      <w:bookmarkStart w:id="26" w:name="_Toc161148997"/>
      <w:bookmarkEnd w:id="25"/>
      <w:r w:rsidRPr="00795FED">
        <w:rPr>
          <w:noProof/>
          <w:lang w:val="cs-CZ"/>
        </w:rPr>
        <w:t>Řízení likvidity</w:t>
      </w:r>
      <w:bookmarkEnd w:id="26"/>
    </w:p>
    <w:p w14:paraId="1ADFBD29" w14:textId="2B1B8CC1" w:rsidR="00303189" w:rsidRPr="00795FED" w:rsidRDefault="00303189" w:rsidP="00A87F59">
      <w:pPr>
        <w:rPr>
          <w:noProof/>
          <w:lang w:val="cs-CZ"/>
        </w:rPr>
      </w:pPr>
      <w:r w:rsidRPr="00795FED">
        <w:rPr>
          <w:noProof/>
          <w:lang w:val="cs-CZ"/>
        </w:rPr>
        <w:t xml:space="preserve">Komise udržovala pravidelnou a předvídatelnou přítomnost na finančních trzích v souladu s plánem financování oznámeným v červnu 2023, včetně plánovaných termínů dražeb a syndikací. Odchozí peněžní toky však byly pomalejší, než se původně plánovalo, což vedlo k vyšší držené hotovosti v druhém pololetí roku 2023, která činila v průměru 58,7 miliardy EUR oproti 36,8 miliardy EUR v předchozím pololetí. Komise snížila příchozí peněžní toky vydáváním pokladničních poukázek s cílem zajistit pokračující přítomnost na trhu a zároveň minimalizovat nárůst zůstatků hotovosti. </w:t>
      </w:r>
    </w:p>
    <w:p w14:paraId="0976FCD5" w14:textId="360B2D68" w:rsidR="00303189" w:rsidRPr="00795FED" w:rsidRDefault="00303189" w:rsidP="00A87F59">
      <w:pPr>
        <w:rPr>
          <w:noProof/>
          <w:lang w:val="cs-CZ"/>
        </w:rPr>
      </w:pPr>
      <w:r w:rsidRPr="00795FED">
        <w:rPr>
          <w:noProof/>
          <w:lang w:val="cs-CZ"/>
        </w:rPr>
        <w:t>Vyšší objem držené likvidity se v nákladech na podporované programy nijak neprojevil. Naopak z držených peněžních prostředků od července do prosince 2023 byl dosažen čistý příjem ve výši 79,7 milionu EUR. Tento příjem bude poměrně rozdělen mezi rozpočet EU a příjemce půjček z Nástroje pro oživení a odolnost.</w:t>
      </w:r>
    </w:p>
    <w:p w14:paraId="35375DCE" w14:textId="6A52233F" w:rsidR="00262AC8" w:rsidRPr="00795FED" w:rsidRDefault="00303189" w:rsidP="00095BFD">
      <w:pPr>
        <w:rPr>
          <w:noProof/>
          <w:lang w:val="cs-CZ"/>
        </w:rPr>
      </w:pPr>
      <w:r w:rsidRPr="00795FED">
        <w:rPr>
          <w:noProof/>
          <w:lang w:val="cs-CZ"/>
        </w:rPr>
        <w:t>V roce 2024 bude Komise využívat své nové oprávnění k aktivnějšímu řízení likvidity, čímž optimalizuje výnosy z držených peněžních prostředků.</w:t>
      </w:r>
    </w:p>
    <w:p w14:paraId="774AF1B2" w14:textId="3CFFE867" w:rsidR="00232130" w:rsidRPr="00795FED" w:rsidRDefault="001401DA" w:rsidP="00A87F59">
      <w:pPr>
        <w:pStyle w:val="Heading1"/>
        <w:rPr>
          <w:noProof/>
          <w:lang w:val="cs-CZ"/>
        </w:rPr>
      </w:pPr>
      <w:bookmarkStart w:id="27" w:name="_Ref155257759"/>
      <w:bookmarkStart w:id="28" w:name="_Toc161148998"/>
      <w:r w:rsidRPr="00795FED">
        <w:rPr>
          <w:noProof/>
          <w:lang w:val="cs-CZ"/>
        </w:rPr>
        <w:t>Kroky k dalšímu rozvoji ekosystému dluhopisů EU</w:t>
      </w:r>
      <w:bookmarkEnd w:id="27"/>
      <w:bookmarkEnd w:id="28"/>
    </w:p>
    <w:p w14:paraId="746AB30D" w14:textId="671E3BA8" w:rsidR="009758E3" w:rsidRPr="00795FED" w:rsidRDefault="009758E3" w:rsidP="009758E3">
      <w:pPr>
        <w:rPr>
          <w:noProof/>
          <w:lang w:val="cs-CZ"/>
        </w:rPr>
      </w:pPr>
      <w:r w:rsidRPr="00795FED">
        <w:rPr>
          <w:noProof/>
          <w:lang w:val="cs-CZ"/>
        </w:rPr>
        <w:t xml:space="preserve">Zavedení jednotného přístupu k financování od ledna 2023 představovalo klíčový milník při budování pevného rámce pro co nejefektivnější uspokojování finančních potřeb EU. </w:t>
      </w:r>
      <w:r w:rsidRPr="00795FED">
        <w:rPr>
          <w:noProof/>
          <w:lang w:val="cs-CZ"/>
        </w:rPr>
        <w:br/>
        <w:t>Tento přístup umožňuje Komisi agilně a jednotně plánovat, provádět a komunikovat všechny emise v rámci společného rámce pro řízení rizik, dodržování předpisů a řízení a správu ve vztahu ke všem výpůjčním operacím.</w:t>
      </w:r>
    </w:p>
    <w:p w14:paraId="36F90D79" w14:textId="12061D7E" w:rsidR="007712C5" w:rsidRPr="00795FED" w:rsidRDefault="009758E3" w:rsidP="000811DA">
      <w:pPr>
        <w:rPr>
          <w:noProof/>
          <w:lang w:val="cs-CZ"/>
        </w:rPr>
      </w:pPr>
      <w:r w:rsidRPr="00795FED">
        <w:rPr>
          <w:noProof/>
          <w:lang w:val="cs-CZ"/>
        </w:rPr>
        <w:t>Nicméně i přes tuto probíhající transformaci EU jako emitenta a postupný posun v zacházení s dluhopisy EU</w:t>
      </w:r>
      <w:r w:rsidRPr="00795FED">
        <w:rPr>
          <w:noProof/>
          <w:vertAlign w:val="superscript"/>
          <w:lang w:val="cs-CZ"/>
        </w:rPr>
        <w:footnoteReference w:id="11"/>
      </w:r>
      <w:r w:rsidRPr="00795FED">
        <w:rPr>
          <w:noProof/>
          <w:lang w:val="cs-CZ"/>
        </w:rPr>
        <w:t xml:space="preserve"> trhy nadále zachází s dluhopisy EU a oceňují je podle swapové křivky. Aby získala zpětnou vazbu od účastníků trhu ohledně emisního programu EU a dalších kroků prováděných za účelem zlepšení fungování trhů s dluhopisy EU, provedla Komise v červnu 2023 první průzkum mezi investory</w:t>
      </w:r>
      <w:r w:rsidRPr="00795FED">
        <w:rPr>
          <w:rStyle w:val="FootnoteReference"/>
          <w:noProof/>
          <w:lang w:val="cs-CZ"/>
        </w:rPr>
        <w:footnoteReference w:id="12"/>
      </w:r>
      <w:r w:rsidRPr="00795FED">
        <w:rPr>
          <w:noProof/>
          <w:lang w:val="cs-CZ"/>
        </w:rPr>
        <w:t xml:space="preserve">. Z průzkumu vyplynulo, že většina (přibližně 80 %) účastníků trhu považuje program vydávání dluhopisů EU za srovnatelný s programy evropských státních dluhopisů s podobným nesplaceným dluhem, pokud jde o pravidelnou nabídku o velkém objemu, komunikaci na trhu, využívání dražeb a celkovou strategii financování. Průzkum rovněž potvrdil význam mechanismu kotace pro dluhopisy EU (následně zavedeného v listopadu 2023, viz oddíl </w:t>
      </w:r>
      <w:r w:rsidRPr="00795FED">
        <w:rPr>
          <w:noProof/>
          <w:lang w:val="cs-CZ"/>
        </w:rPr>
        <w:fldChar w:fldCharType="begin"/>
      </w:r>
      <w:r w:rsidRPr="00795FED">
        <w:rPr>
          <w:noProof/>
          <w:lang w:val="cs-CZ"/>
        </w:rPr>
        <w:instrText xml:space="preserve"> REF _Ref155883558 \r \h </w:instrText>
      </w:r>
      <w:r w:rsidRPr="00795FED">
        <w:rPr>
          <w:noProof/>
          <w:lang w:val="cs-CZ"/>
        </w:rPr>
      </w:r>
      <w:r w:rsidRPr="00795FED">
        <w:rPr>
          <w:noProof/>
          <w:lang w:val="cs-CZ"/>
        </w:rPr>
        <w:fldChar w:fldCharType="separate"/>
      </w:r>
      <w:r w:rsidRPr="00795FED">
        <w:rPr>
          <w:noProof/>
          <w:lang w:val="cs-CZ"/>
        </w:rPr>
        <w:t>2</w:t>
      </w:r>
      <w:r w:rsidRPr="00795FED">
        <w:rPr>
          <w:noProof/>
          <w:lang w:val="cs-CZ"/>
        </w:rPr>
        <w:fldChar w:fldCharType="end"/>
      </w:r>
      <w:r w:rsidRPr="00795FED">
        <w:rPr>
          <w:noProof/>
          <w:lang w:val="cs-CZ"/>
        </w:rPr>
        <w:t>) a repo nástroj (plánovaný na druhou polovinu roku 2024), neboť podporují žádoucí přechod k oceňování dluhopisů EU způsobem, který lépe odráží základní charakteristiky vydávaných dluhopisů EU. V průzkumu mezi investory</w:t>
      </w:r>
      <w:r w:rsidRPr="00795FED">
        <w:rPr>
          <w:rStyle w:val="FootnoteReference"/>
          <w:noProof/>
          <w:lang w:val="cs-CZ"/>
        </w:rPr>
        <w:footnoteReference w:id="13"/>
      </w:r>
      <w:r w:rsidRPr="00795FED">
        <w:rPr>
          <w:noProof/>
          <w:lang w:val="cs-CZ"/>
        </w:rPr>
        <w:t xml:space="preserve"> bylo v tomto ohledu zdůrazněno, že je také důležité, aby bylo s dluhopisy EU zacházeno jako se zajištěním a aby byly dluhopisy EU zařazeny do „státních indexů“.</w:t>
      </w:r>
    </w:p>
    <w:p w14:paraId="0E3BB556" w14:textId="34EF4E9E" w:rsidR="00456072" w:rsidRPr="00795FED" w:rsidRDefault="00456072" w:rsidP="00456072">
      <w:pPr>
        <w:rPr>
          <w:noProof/>
          <w:lang w:val="cs-CZ"/>
        </w:rPr>
      </w:pPr>
      <w:r w:rsidRPr="00795FED">
        <w:rPr>
          <w:noProof/>
          <w:lang w:val="cs-CZ"/>
        </w:rPr>
        <w:t>V souladu se zpětnou vazbou obdrženou od účastníků trhu pokračovaly ve druhé polovině roku 2023 přípravy na spuštění nástroje pro zpětné odkupy („repo nástroje“), jenž má podporovat účastníky trhu při obchodování s dluhopisy EU. Prostřednictvím repo nástroje dá Komise dočasně k dispozici své cenné papíry v případě nedostatku, čímž primárním dealerům v EU pomůže zajistit likviditu dluhopisů EU. Cílem je zprovoznit repo nástroj v létě 2024.</w:t>
      </w:r>
    </w:p>
    <w:p w14:paraId="0A993DC6" w14:textId="02BF9FEC" w:rsidR="00456072" w:rsidRPr="00795FED" w:rsidRDefault="00456072" w:rsidP="000811DA">
      <w:pPr>
        <w:spacing w:after="240"/>
        <w:rPr>
          <w:noProof/>
          <w:color w:val="000000" w:themeColor="text1"/>
          <w:lang w:val="cs-CZ"/>
        </w:rPr>
      </w:pPr>
      <w:r w:rsidRPr="00795FED">
        <w:rPr>
          <w:noProof/>
          <w:color w:val="000000" w:themeColor="text1"/>
          <w:lang w:val="cs-CZ"/>
        </w:rPr>
        <w:t>Kromě toho Komise zahájila společné diskuze s předními poskytovateli indexů na trhu o tom, jak zařadit cenné papíry EU do jejich indexů.</w:t>
      </w:r>
      <w:r w:rsidRPr="00795FED">
        <w:rPr>
          <w:noProof/>
          <w:lang w:val="cs-CZ"/>
        </w:rPr>
        <w:t xml:space="preserve"> S poskytovateli indexů se vedou diskuze o tom, zda program vydávání dluhopisů EU nepřerostl své tradiční zařazení do indexů dluhopisů na nižší než státní úrovni nebo nadnárodních dluhopisů, v jejichž indexovém koši má stále větší zastoupení. </w:t>
      </w:r>
      <w:r w:rsidRPr="00795FED">
        <w:rPr>
          <w:noProof/>
          <w:lang w:val="cs-CZ"/>
        </w:rPr>
        <w:br/>
      </w:r>
      <w:r w:rsidRPr="00795FED">
        <w:rPr>
          <w:noProof/>
          <w:color w:val="000000" w:themeColor="text1"/>
          <w:lang w:val="cs-CZ"/>
        </w:rPr>
        <w:t>Komise bude rovněž nadále podporovat tržní protistrany v tom, aby v rámci dvoustranných zajištěných transakcí poskytovaly dluhopisům EU</w:t>
      </w:r>
      <w:r w:rsidRPr="00795FED">
        <w:rPr>
          <w:noProof/>
          <w:lang w:val="cs-CZ"/>
        </w:rPr>
        <w:t xml:space="preserve"> </w:t>
      </w:r>
      <w:r w:rsidRPr="00795FED">
        <w:rPr>
          <w:noProof/>
          <w:lang w:val="cs-CZ"/>
        </w:rPr>
        <w:br/>
      </w:r>
      <w:r w:rsidRPr="00795FED">
        <w:rPr>
          <w:noProof/>
          <w:color w:val="000000" w:themeColor="text1"/>
          <w:lang w:val="cs-CZ"/>
        </w:rPr>
        <w:t xml:space="preserve"> stejně kvalitní zajištění, jaké poskytují</w:t>
      </w:r>
      <w:r w:rsidRPr="00795FED">
        <w:rPr>
          <w:noProof/>
          <w:lang w:val="cs-CZ"/>
        </w:rPr>
        <w:t xml:space="preserve"> </w:t>
      </w:r>
      <w:r w:rsidRPr="00795FED">
        <w:rPr>
          <w:noProof/>
          <w:lang w:val="cs-CZ"/>
        </w:rPr>
        <w:br/>
      </w:r>
      <w:r w:rsidRPr="00795FED">
        <w:rPr>
          <w:noProof/>
          <w:color w:val="000000" w:themeColor="text1"/>
          <w:lang w:val="cs-CZ"/>
        </w:rPr>
        <w:t>státním dluhopisům.</w:t>
      </w:r>
    </w:p>
    <w:p w14:paraId="7213441F" w14:textId="64AEE06F" w:rsidR="009758E3" w:rsidRPr="00795FED" w:rsidRDefault="00456072" w:rsidP="00391716">
      <w:pPr>
        <w:pStyle w:val="NormalWeb"/>
        <w:rPr>
          <w:rFonts w:ascii="Verdana" w:hAnsi="Verdana" w:cs="Arial"/>
          <w:noProof/>
          <w:sz w:val="20"/>
          <w:lang w:val="cs-CZ"/>
        </w:rPr>
      </w:pPr>
      <w:r w:rsidRPr="00795FED">
        <w:rPr>
          <w:noProof/>
          <w:lang w:val="cs-CZ"/>
        </w:rPr>
        <w:t>Komise – v úzké spolupráci s ECB a Belgickou národní bankou – také v průběhu druhé poloviny roku 2023 dokončila veškeré přípravy na spuštění infrastruktury vypořádání založené na Eurosystému po uzavření obchodu pro všechny nové dluhové cenné papíry EU (tj. nové ISIN pro dluhopisy EU a pokladniční poukázky EU) – známé jako služba pro vydávání dluhopisů EU (EIS)</w:t>
      </w:r>
      <w:r w:rsidRPr="00795FED">
        <w:rPr>
          <w:rStyle w:val="FootnoteReference"/>
          <w:noProof/>
          <w:lang w:val="cs-CZ"/>
        </w:rPr>
        <w:footnoteReference w:id="14"/>
      </w:r>
      <w:r w:rsidRPr="00795FED">
        <w:rPr>
          <w:noProof/>
          <w:lang w:val="cs-CZ"/>
        </w:rPr>
        <w:t xml:space="preserve">. Spuštěním služby pro vydávání dluhopisů EU se sjednotí infrastruktura pro vypořádání </w:t>
      </w:r>
      <w:r w:rsidRPr="00795FED">
        <w:rPr>
          <w:noProof/>
          <w:shd w:val="clear" w:color="auto" w:fill="FFFFFF"/>
          <w:lang w:val="cs-CZ"/>
        </w:rPr>
        <w:t xml:space="preserve">dluhových cenných papírů EU s infrastrukturou velkých státních emitentů EU, kteří využívají podpory národních centrálních bank jako fiskálních zástupců. Rovněž vytvoří </w:t>
      </w:r>
      <w:r w:rsidRPr="00795FED">
        <w:rPr>
          <w:noProof/>
          <w:lang w:val="cs-CZ"/>
        </w:rPr>
        <w:t>rovné podmínky pro všechny centrální depozitáře cenných papírů a investory, kteří obchodují s dluhopisy vydanými EU. Služba pro vydávání dluhopisů EU také nabízí přímé vypořádání pokladničních poukázek EU a dluhopisů EU v systému TARGET2-Securities (T2S) a usnadňuje protistranám používání dluhových cenných papírů EU jako zajištění u centrálních bank. Vytvoření služby pro vydávání dluhopisů EU bylo spojeno s kompletním přepracováním programu EU pro vydávání dluhopisů, který byl do konce roku předložen lucemburské burze cenných papírů a schválen. Díky tomu mohly první transakce vypořádané v rámci služby pro vydávání dluhopisů EU hladce proběhnout už v lednu 2024</w:t>
      </w:r>
      <w:r w:rsidRPr="00795FED">
        <w:rPr>
          <w:rStyle w:val="FootnoteReference"/>
          <w:noProof/>
          <w:lang w:val="cs-CZ"/>
        </w:rPr>
        <w:footnoteReference w:id="15"/>
      </w:r>
      <w:r w:rsidRPr="00795FED">
        <w:rPr>
          <w:noProof/>
          <w:lang w:val="cs-CZ"/>
        </w:rPr>
        <w:t>.</w:t>
      </w:r>
    </w:p>
    <w:p w14:paraId="6B3B3AB6" w14:textId="0208FCD5" w:rsidR="00456072" w:rsidRPr="00795FED" w:rsidRDefault="00456072" w:rsidP="00A87F59">
      <w:pPr>
        <w:pStyle w:val="Heading1"/>
        <w:rPr>
          <w:noProof/>
          <w:lang w:val="cs-CZ"/>
        </w:rPr>
      </w:pPr>
      <w:bookmarkStart w:id="29" w:name="_Toc161148999"/>
      <w:r w:rsidRPr="00795FED">
        <w:rPr>
          <w:noProof/>
          <w:lang w:val="cs-CZ"/>
        </w:rPr>
        <w:t>Další milníky ve druhé polovině roku 2023</w:t>
      </w:r>
      <w:bookmarkEnd w:id="29"/>
    </w:p>
    <w:p w14:paraId="5A4859E4" w14:textId="66E1471D" w:rsidR="00456072" w:rsidRPr="00795FED" w:rsidRDefault="00456072" w:rsidP="00A87F59">
      <w:pPr>
        <w:pStyle w:val="Heading2"/>
        <w:rPr>
          <w:noProof/>
          <w:lang w:val="cs-CZ"/>
        </w:rPr>
      </w:pPr>
      <w:bookmarkStart w:id="30" w:name="_Toc161149000"/>
      <w:r w:rsidRPr="00795FED">
        <w:rPr>
          <w:noProof/>
          <w:lang w:val="cs-CZ"/>
        </w:rPr>
        <w:t>Zpráva o alokaci peněžních prostředků získaných vydáním zelených dluhopisů v rámci nástroje NextGenerationEU a o dopadu těchto dluhopisů</w:t>
      </w:r>
      <w:bookmarkEnd w:id="30"/>
    </w:p>
    <w:p w14:paraId="2CCB1EF6" w14:textId="77F2BA0A" w:rsidR="00456072" w:rsidRPr="00795FED" w:rsidRDefault="00456072" w:rsidP="009C1A13">
      <w:pPr>
        <w:rPr>
          <w:noProof/>
          <w:lang w:val="cs-CZ"/>
        </w:rPr>
      </w:pPr>
      <w:r w:rsidRPr="00795FED">
        <w:rPr>
          <w:noProof/>
          <w:lang w:val="cs-CZ"/>
        </w:rPr>
        <w:t>V souladu s požadavky na podávání zpráv podle přehled údajů o evropském zeleném dluhopisu v rámci nástroje NGEU zveřejnila Komise dne 1. prosince 2023 první komplexní zprávu o alokaci peněžních prostředků získaných vydáním zelených dluhopisů v rámci nástroje NGEU a o dopadu těchto dluhopisů</w:t>
      </w:r>
      <w:r w:rsidRPr="00795FED">
        <w:rPr>
          <w:rStyle w:val="FootnoteReference"/>
          <w:rFonts w:ascii="Times New Roman" w:hAnsi="Times New Roman"/>
          <w:noProof/>
          <w:sz w:val="24"/>
          <w:lang w:val="cs-CZ"/>
        </w:rPr>
        <w:footnoteReference w:id="16"/>
      </w:r>
      <w:r w:rsidRPr="00795FED">
        <w:rPr>
          <w:noProof/>
          <w:lang w:val="cs-CZ"/>
        </w:rPr>
        <w:t>.</w:t>
      </w:r>
    </w:p>
    <w:p w14:paraId="5F5F1264" w14:textId="6373DD1E" w:rsidR="00456072" w:rsidRPr="00795FED" w:rsidRDefault="00456072" w:rsidP="009C1A13">
      <w:pPr>
        <w:rPr>
          <w:noProof/>
          <w:lang w:val="cs-CZ"/>
        </w:rPr>
      </w:pPr>
      <w:r w:rsidRPr="00795FED">
        <w:rPr>
          <w:noProof/>
          <w:lang w:val="cs-CZ"/>
        </w:rPr>
        <w:t>Zpráva poskytuje investorům a zúčastněným stranám aktuální informace o alokaci výnosů ke dni jejího vypracování, tj. 1. srpna 2023, a vůbec poprvé uvádí dopady investic financovaných z programu zelených dluhopisů v rámci nástroje NextGenerationEU na klima.</w:t>
      </w:r>
    </w:p>
    <w:p w14:paraId="249D51EB" w14:textId="3441DDAF" w:rsidR="00F71E43" w:rsidRPr="00795FED" w:rsidRDefault="00E85E9C" w:rsidP="009C1A13">
      <w:pPr>
        <w:rPr>
          <w:noProof/>
          <w:lang w:val="cs-CZ"/>
        </w:rPr>
      </w:pPr>
      <w:r w:rsidRPr="00795FED">
        <w:rPr>
          <w:noProof/>
          <w:lang w:val="cs-CZ"/>
        </w:rPr>
        <w:t xml:space="preserve">Zpráva poskytuje informace o tom, jak je vydávání zelených dluhopisů v rámci nástroje NextGenerationEU podporováno souborem plánovaných způsobilých výdajů v členských státech (190 miliard EUR způsobilých investic v porovnání se současnými emisemi zelených dluhopisů ve výši 48,9 miliardy EUR), a poskytuje aktuální informace o skutečně vykázaných realizovaných zelených výdajích členských států. </w:t>
      </w:r>
    </w:p>
    <w:p w14:paraId="1199E46A" w14:textId="009E5EB0" w:rsidR="00303954" w:rsidRPr="00795FED" w:rsidRDefault="00E85E9C" w:rsidP="009C1A13">
      <w:pPr>
        <w:rPr>
          <w:noProof/>
          <w:spacing w:val="-2"/>
          <w:lang w:val="cs-CZ"/>
        </w:rPr>
      </w:pPr>
      <w:bookmarkStart w:id="31" w:name="_Hlk157089287"/>
      <w:r w:rsidRPr="00795FED">
        <w:rPr>
          <w:noProof/>
          <w:lang w:val="cs-CZ"/>
        </w:rPr>
        <w:t>Zpráva dále odhaduje, že realizace výdajů na zelené dluhopisy v rámci nástroje NextGenerationEU v plném rozsahu může trvale snížit emise skleníkových plynů v EU až o 44 milionů tun ročně, což představuje zhruba 1,2 % všech emisí EU.</w:t>
      </w:r>
      <w:bookmarkEnd w:id="31"/>
      <w:r w:rsidRPr="00795FED">
        <w:rPr>
          <w:noProof/>
          <w:lang w:val="cs-CZ"/>
        </w:rPr>
        <w:t xml:space="preserve"> Dopad již realizovaných výdajů na klima je vypočten na 0,5 % celkového odhadovaného snížení emisí skleníkových plynů při provedení programu v plném rozsahu. Očekává se, že se bude až do roku 2026 postupně zvyšovat v souladu s tím, jak budou růst splněné měřitelné milníky a cíle. Dosažené snížení emisí skleníkových plynů bude zachováno i po roce 2026, a to po celou dobu životnosti financovaných investic.</w:t>
      </w:r>
    </w:p>
    <w:p w14:paraId="15D20713" w14:textId="1C723BF3" w:rsidR="001401DA" w:rsidRPr="00795FED" w:rsidRDefault="007D6C82" w:rsidP="009C1A13">
      <w:pPr>
        <w:pStyle w:val="Heading1"/>
        <w:rPr>
          <w:noProof/>
          <w:lang w:val="cs-CZ"/>
        </w:rPr>
      </w:pPr>
      <w:bookmarkStart w:id="32" w:name="_Toc161149001"/>
      <w:bookmarkStart w:id="33" w:name="_Hlk155276042"/>
      <w:bookmarkStart w:id="34" w:name="_Hlk158303590"/>
      <w:bookmarkStart w:id="35" w:name="_Hlk158382887"/>
      <w:r w:rsidRPr="00795FED">
        <w:rPr>
          <w:noProof/>
          <w:lang w:val="cs-CZ"/>
        </w:rPr>
        <w:t>Výhled týkající se emisí na první pololetí roku 2024</w:t>
      </w:r>
      <w:bookmarkEnd w:id="32"/>
    </w:p>
    <w:p w14:paraId="7F9D5894" w14:textId="7B726ED1" w:rsidR="003F3424" w:rsidRPr="00795FED" w:rsidRDefault="00A450A6" w:rsidP="00F13D4C">
      <w:pPr>
        <w:rPr>
          <w:noProof/>
          <w:lang w:val="cs-CZ"/>
        </w:rPr>
      </w:pPr>
      <w:r w:rsidRPr="00795FED">
        <w:rPr>
          <w:noProof/>
          <w:lang w:val="cs-CZ"/>
        </w:rPr>
        <w:t>Komise vydala dne 12. prosince 2023 pololetní plán financování na období od ledna do konce června 2024. V první polovině roku 2024 hodlá Komise vydat dluhopisy EU v hodnotě 75 miliard EUR, které budou doplněny krátkodobými pokladničními poukázkami EU. Komise tyto finanční prostředky použije především na financování nástroje NextGenerationEU (včetně možných plateb na opatření obsažená v kapitolách REPowerEU).</w:t>
      </w:r>
      <w:bookmarkEnd w:id="33"/>
      <w:bookmarkEnd w:id="34"/>
      <w:r w:rsidRPr="00795FED">
        <w:rPr>
          <w:noProof/>
          <w:lang w:val="cs-CZ"/>
        </w:rPr>
        <w:t xml:space="preserve"> Po zavedení jednotné strategie financování mohou být po dohodě s legislativními orgány EU z plánované emise financovány i další politiky.</w:t>
      </w:r>
      <w:bookmarkEnd w:id="35"/>
    </w:p>
    <w:p w14:paraId="7DBF6AC6" w14:textId="0ED63147" w:rsidR="003F3424" w:rsidRPr="00795FED" w:rsidRDefault="003F3424" w:rsidP="00F13D4C">
      <w:pPr>
        <w:rPr>
          <w:noProof/>
          <w:lang w:val="cs-CZ"/>
        </w:rPr>
        <w:sectPr w:rsidR="003F3424" w:rsidRPr="00795FED" w:rsidSect="00CA43D7">
          <w:headerReference w:type="even" r:id="rId33"/>
          <w:headerReference w:type="default" r:id="rId34"/>
          <w:footerReference w:type="even" r:id="rId35"/>
          <w:footerReference w:type="default" r:id="rId36"/>
          <w:headerReference w:type="first" r:id="rId37"/>
          <w:footerReference w:type="first" r:id="rId38"/>
          <w:pgSz w:w="11906" w:h="16838" w:code="9"/>
          <w:pgMar w:top="1440" w:right="1440" w:bottom="1440" w:left="1440" w:header="708" w:footer="708" w:gutter="0"/>
          <w:cols w:space="708"/>
          <w:docGrid w:linePitch="360"/>
        </w:sectPr>
      </w:pPr>
    </w:p>
    <w:p w14:paraId="1A69248E" w14:textId="0635C0F5" w:rsidR="00D73D12" w:rsidRPr="00795FED" w:rsidRDefault="00325F9E" w:rsidP="00801BCC">
      <w:pPr>
        <w:ind w:right="254"/>
        <w:rPr>
          <w:b/>
          <w:noProof/>
          <w:color w:val="034EA2" w:themeColor="accent1"/>
          <w:lang w:val="cs-CZ"/>
        </w:rPr>
      </w:pPr>
      <w:r w:rsidRPr="00795FED">
        <w:rPr>
          <w:b/>
          <w:noProof/>
          <w:color w:val="034EA2" w:themeColor="accent1"/>
          <w:lang w:val="cs-CZ"/>
        </w:rPr>
        <w:t>Příloha: Ukazatele provádění týkající se využití prostředků k dosažení cílů zastřešující strategie řízení dluhu Komise v oblasti účinnosti a účelnosti</w:t>
      </w:r>
    </w:p>
    <w:tbl>
      <w:tblPr>
        <w:tblStyle w:val="GridTable4-Accent5"/>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1664"/>
        <w:gridCol w:w="3264"/>
        <w:gridCol w:w="2268"/>
        <w:gridCol w:w="2551"/>
        <w:gridCol w:w="4678"/>
      </w:tblGrid>
      <w:tr w:rsidR="00FA6020" w:rsidRPr="00795FED" w14:paraId="732E9070" w14:textId="77777777" w:rsidTr="005952C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928" w:type="dxa"/>
            <w:gridSpan w:val="2"/>
            <w:tcBorders>
              <w:top w:val="none" w:sz="0" w:space="0" w:color="auto"/>
              <w:left w:val="none" w:sz="0" w:space="0" w:color="auto"/>
              <w:bottom w:val="none" w:sz="0" w:space="0" w:color="auto"/>
              <w:right w:val="none" w:sz="0" w:space="0" w:color="auto"/>
            </w:tcBorders>
            <w:shd w:val="clear" w:color="auto" w:fill="034EA2" w:themeFill="accent1"/>
            <w:vAlign w:val="center"/>
          </w:tcPr>
          <w:p w14:paraId="0ED6D139" w14:textId="77777777" w:rsidR="00FA6020" w:rsidRPr="00795FED" w:rsidRDefault="00FA6020" w:rsidP="000A7085">
            <w:pPr>
              <w:jc w:val="left"/>
              <w:rPr>
                <w:noProof/>
                <w:sz w:val="20"/>
                <w:lang w:val="cs-CZ"/>
              </w:rPr>
            </w:pPr>
            <w:r w:rsidRPr="00795FED">
              <w:rPr>
                <w:noProof/>
                <w:sz w:val="20"/>
                <w:lang w:val="cs-CZ"/>
              </w:rPr>
              <w:t>Prostředky</w:t>
            </w:r>
          </w:p>
        </w:tc>
        <w:tc>
          <w:tcPr>
            <w:tcW w:w="2268" w:type="dxa"/>
            <w:tcBorders>
              <w:top w:val="none" w:sz="0" w:space="0" w:color="auto"/>
              <w:left w:val="none" w:sz="0" w:space="0" w:color="auto"/>
              <w:bottom w:val="none" w:sz="0" w:space="0" w:color="auto"/>
              <w:right w:val="none" w:sz="0" w:space="0" w:color="auto"/>
            </w:tcBorders>
            <w:shd w:val="clear" w:color="auto" w:fill="034EA2" w:themeFill="accent1"/>
            <w:vAlign w:val="center"/>
          </w:tcPr>
          <w:p w14:paraId="62253EBD" w14:textId="77777777" w:rsidR="00FA6020" w:rsidRPr="00795FED" w:rsidRDefault="00FA6020" w:rsidP="008A34F5">
            <w:pPr>
              <w:ind w:left="113" w:hanging="113"/>
              <w:jc w:val="center"/>
              <w:cnfStyle w:val="100000000000" w:firstRow="1"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Ukazatel</w:t>
            </w:r>
          </w:p>
        </w:tc>
        <w:tc>
          <w:tcPr>
            <w:tcW w:w="2551" w:type="dxa"/>
            <w:tcBorders>
              <w:top w:val="none" w:sz="0" w:space="0" w:color="auto"/>
              <w:left w:val="none" w:sz="0" w:space="0" w:color="auto"/>
              <w:bottom w:val="none" w:sz="0" w:space="0" w:color="auto"/>
              <w:right w:val="none" w:sz="0" w:space="0" w:color="auto"/>
            </w:tcBorders>
            <w:shd w:val="clear" w:color="auto" w:fill="034EA2" w:themeFill="accent1"/>
            <w:vAlign w:val="center"/>
          </w:tcPr>
          <w:p w14:paraId="49E4B9FE" w14:textId="77777777" w:rsidR="00FA6020" w:rsidRPr="00795FED" w:rsidRDefault="00FA6020" w:rsidP="008A34F5">
            <w:pPr>
              <w:jc w:val="center"/>
              <w:cnfStyle w:val="100000000000" w:firstRow="1"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Hodnota ve druhém pololetí 2023 (není-li uvedeno jinak)</w:t>
            </w:r>
          </w:p>
        </w:tc>
        <w:tc>
          <w:tcPr>
            <w:tcW w:w="4678" w:type="dxa"/>
            <w:tcBorders>
              <w:top w:val="none" w:sz="0" w:space="0" w:color="auto"/>
              <w:left w:val="none" w:sz="0" w:space="0" w:color="auto"/>
              <w:bottom w:val="none" w:sz="0" w:space="0" w:color="auto"/>
              <w:right w:val="none" w:sz="0" w:space="0" w:color="auto"/>
            </w:tcBorders>
            <w:shd w:val="clear" w:color="auto" w:fill="034EA2" w:themeFill="accent1"/>
            <w:vAlign w:val="center"/>
          </w:tcPr>
          <w:p w14:paraId="66C01D3D" w14:textId="77777777" w:rsidR="00FA6020" w:rsidRPr="00795FED" w:rsidRDefault="00FA6020" w:rsidP="008A34F5">
            <w:pPr>
              <w:jc w:val="center"/>
              <w:cnfStyle w:val="100000000000" w:firstRow="1"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Komentář k plnění ve druhém pololetí 2023</w:t>
            </w:r>
          </w:p>
        </w:tc>
      </w:tr>
      <w:tr w:rsidR="00A824B4" w:rsidRPr="00795FED" w14:paraId="45B66FD5"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val="restart"/>
            <w:shd w:val="clear" w:color="auto" w:fill="auto"/>
          </w:tcPr>
          <w:p w14:paraId="5C680C60" w14:textId="77777777" w:rsidR="00FA6020" w:rsidRPr="00795FED" w:rsidRDefault="00FA6020" w:rsidP="000A7085">
            <w:pPr>
              <w:jc w:val="left"/>
              <w:rPr>
                <w:noProof/>
                <w:color w:val="034EA2" w:themeColor="accent1"/>
                <w:sz w:val="20"/>
                <w:lang w:val="cs-CZ"/>
              </w:rPr>
            </w:pPr>
            <w:r w:rsidRPr="00795FED">
              <w:rPr>
                <w:noProof/>
                <w:color w:val="034EA2" w:themeColor="accent1"/>
                <w:sz w:val="20"/>
                <w:lang w:val="cs-CZ"/>
              </w:rPr>
              <w:t>Provádění programu dluhopisů EU</w:t>
            </w:r>
          </w:p>
          <w:p w14:paraId="1EAFAA1A" w14:textId="77777777" w:rsidR="00FA6020" w:rsidRPr="00795FED" w:rsidRDefault="00FA6020" w:rsidP="000A7085">
            <w:pPr>
              <w:jc w:val="left"/>
              <w:rPr>
                <w:noProof/>
                <w:sz w:val="20"/>
                <w:lang w:val="cs-CZ"/>
              </w:rPr>
            </w:pPr>
          </w:p>
        </w:tc>
        <w:tc>
          <w:tcPr>
            <w:tcW w:w="3264" w:type="dxa"/>
            <w:vMerge w:val="restart"/>
            <w:shd w:val="clear" w:color="auto" w:fill="auto"/>
          </w:tcPr>
          <w:p w14:paraId="541D5826" w14:textId="33F42E76" w:rsidR="00FA6020" w:rsidRPr="00795FED" w:rsidRDefault="00F51815" w:rsidP="000A7085">
            <w:pPr>
              <w:pStyle w:val="ListParagraph"/>
              <w:numPr>
                <w:ilvl w:val="0"/>
                <w:numId w:val="27"/>
              </w:numPr>
              <w:spacing w:after="60" w:line="240" w:lineRule="auto"/>
              <w:ind w:left="170" w:hanging="170"/>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20"/>
                <w:lang w:val="cs-CZ"/>
              </w:rPr>
            </w:pPr>
            <w:r w:rsidRPr="00795FED">
              <w:rPr>
                <w:rFonts w:ascii="EC Square Sans Pro" w:hAnsi="EC Square Sans Pro"/>
                <w:noProof/>
                <w:color w:val="034EA2" w:themeColor="accent1"/>
                <w:sz w:val="20"/>
                <w:lang w:val="cs-CZ"/>
              </w:rPr>
              <w:t xml:space="preserve"> Pravidelné emise na celé křivce</w:t>
            </w:r>
          </w:p>
          <w:p w14:paraId="04CB8632" w14:textId="77777777" w:rsidR="00FA6020" w:rsidRPr="00795FED" w:rsidRDefault="00FA6020" w:rsidP="000A7085">
            <w:pPr>
              <w:jc w:val="left"/>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Pravidelné emise dluhopisů EU (a zelených dluhopisů nástroje NGEU) ve všech splatnostech na celé křivce (až do 30 let) s cílem poskytnout různým typům investorů investiční příležitosti jako způsob, jak udržet silnou poptávku investorů, a tím i flexibilitu při určování objemů emisí a splatností jednotlivých transakcí na základě tržních podmínek.</w:t>
            </w:r>
          </w:p>
        </w:tc>
        <w:tc>
          <w:tcPr>
            <w:tcW w:w="2268" w:type="dxa"/>
            <w:shd w:val="clear" w:color="auto" w:fill="auto"/>
          </w:tcPr>
          <w:p w14:paraId="0EE7DE38" w14:textId="77777777" w:rsidR="00FA6020" w:rsidRPr="00795FED" w:rsidRDefault="00FA6020" w:rsidP="00286E0A">
            <w:pPr>
              <w:pStyle w:val="ListParagraph"/>
              <w:numPr>
                <w:ilvl w:val="0"/>
                <w:numId w:val="20"/>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noProof/>
                <w:sz w:val="20"/>
                <w:lang w:val="cs-CZ"/>
              </w:rPr>
            </w:pPr>
            <w:r w:rsidRPr="00795FED">
              <w:rPr>
                <w:rFonts w:ascii="EC Square Sans Pro" w:hAnsi="EC Square Sans Pro"/>
                <w:i/>
                <w:noProof/>
                <w:sz w:val="20"/>
                <w:lang w:val="cs-CZ"/>
              </w:rPr>
              <w:t>Rozdělení emisního programu podle splatnosti</w:t>
            </w:r>
          </w:p>
        </w:tc>
        <w:tc>
          <w:tcPr>
            <w:tcW w:w="2551" w:type="dxa"/>
            <w:shd w:val="clear" w:color="auto" w:fill="auto"/>
          </w:tcPr>
          <w:p w14:paraId="7044CAB4" w14:textId="77777777" w:rsidR="00FA6020" w:rsidRPr="00795FED" w:rsidRDefault="00FA6020" w:rsidP="008D4CA4">
            <w:pPr>
              <w:jc w:val="left"/>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1–4 let: 11 %</w:t>
            </w:r>
          </w:p>
          <w:p w14:paraId="1A215CB8" w14:textId="77777777" w:rsidR="00FA6020" w:rsidRPr="00795FED" w:rsidRDefault="00FA6020" w:rsidP="008D4CA4">
            <w:pPr>
              <w:jc w:val="left"/>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 xml:space="preserve">4–8 let: 37 % </w:t>
            </w:r>
          </w:p>
          <w:p w14:paraId="0CEEC61B" w14:textId="77777777" w:rsidR="00FA6020" w:rsidRPr="00795FED" w:rsidRDefault="00FA6020" w:rsidP="008D4CA4">
            <w:pPr>
              <w:jc w:val="left"/>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8–12 let: 10 %</w:t>
            </w:r>
          </w:p>
          <w:p w14:paraId="3F32A352" w14:textId="77777777" w:rsidR="00FA6020" w:rsidRPr="00795FED" w:rsidRDefault="00FA6020" w:rsidP="008D4CA4">
            <w:pPr>
              <w:jc w:val="left"/>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12–17 let: 6 %</w:t>
            </w:r>
          </w:p>
          <w:p w14:paraId="14B04C65" w14:textId="77777777" w:rsidR="00FA6020" w:rsidRPr="00795FED" w:rsidRDefault="00FA6020" w:rsidP="008D4CA4">
            <w:pPr>
              <w:jc w:val="left"/>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17–23 let: 14 %</w:t>
            </w:r>
          </w:p>
          <w:p w14:paraId="4A6F7CBB" w14:textId="77777777" w:rsidR="00FA6020" w:rsidRPr="00795FED" w:rsidRDefault="00FA6020" w:rsidP="008D4CA4">
            <w:pPr>
              <w:jc w:val="left"/>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23–31 let: 22 %</w:t>
            </w:r>
          </w:p>
        </w:tc>
        <w:tc>
          <w:tcPr>
            <w:tcW w:w="4678" w:type="dxa"/>
            <w:vMerge w:val="restart"/>
            <w:shd w:val="clear" w:color="auto" w:fill="auto"/>
          </w:tcPr>
          <w:p w14:paraId="3210FB0F" w14:textId="77777777" w:rsidR="00FA6020" w:rsidRPr="00795FED" w:rsidRDefault="00FA6020" w:rsidP="008562DF">
            <w:pPr>
              <w:spacing w:after="120"/>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Ve druhém pololetí roku 2023 Komise sledovala svůj cíl prostřednictvím pravidelných emisí dluhopisů s různou dobou splatnosti, aby zajistila likviditu křivky EU ve všech segmentech. Transakce financování byly rozloženy do pololetí tak, aby byla zajištěna pravidelná přítomnost na trhu. V průběhu pololetí bylo provedeno méně transakcí než v předchozím pololetí, a to v důsledku nižšího cíle financování ve druhém pololetí roku 2023 ve výši do 40 miliard EUR (oproti 80 miliardám EUR v prvním pololetí roku 2023).</w:t>
            </w:r>
          </w:p>
          <w:p w14:paraId="507C4238" w14:textId="77777777" w:rsidR="00FA6020" w:rsidRPr="00795FED" w:rsidRDefault="00FA6020" w:rsidP="008562DF">
            <w:pPr>
              <w:spacing w:after="120"/>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Emise byly sice zastoupeny ve všech referenčních koších splatnosti, ale v průměru byly mírně orientovány na dlouhý konec křivky (s průměrnou splatností emisí okolo třinácti let), a to s ohledem na potřebu rozložit odkupy v čase, ale také na silnější poptávku investorů po dluhopisech EU s dlouhou splatností.</w:t>
            </w:r>
          </w:p>
          <w:p w14:paraId="4A053B08" w14:textId="77777777" w:rsidR="00FA6020" w:rsidRPr="00795FED" w:rsidRDefault="00FA6020" w:rsidP="008562DF">
            <w:pPr>
              <w:spacing w:after="120"/>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 xml:space="preserve">Emise zelených dluhopisů byly na nižší úrovni než v minulém pololetí, v souladu s nižším celkovým cílem financování, kumulativními vykázanými zelenými výdaji členských států a vhodnou kalibrací emisí zelených dluhopisů k těmto výdajům. </w:t>
            </w:r>
          </w:p>
        </w:tc>
      </w:tr>
      <w:tr w:rsidR="00A824B4" w:rsidRPr="00795FED" w14:paraId="2E600C8D" w14:textId="77777777" w:rsidTr="005952C7">
        <w:trPr>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02ED14A0" w14:textId="77777777" w:rsidR="00FA6020" w:rsidRPr="00795FED" w:rsidRDefault="00FA6020" w:rsidP="000A7085">
            <w:pPr>
              <w:jc w:val="left"/>
              <w:rPr>
                <w:b w:val="0"/>
                <w:noProof/>
                <w:color w:val="034EA2" w:themeColor="accent1"/>
                <w:sz w:val="20"/>
                <w:lang w:val="cs-CZ"/>
              </w:rPr>
            </w:pPr>
          </w:p>
        </w:tc>
        <w:tc>
          <w:tcPr>
            <w:tcW w:w="3264" w:type="dxa"/>
            <w:vMerge/>
          </w:tcPr>
          <w:p w14:paraId="5C3CF439" w14:textId="77777777" w:rsidR="00FA6020" w:rsidRPr="00795FED" w:rsidRDefault="00FA6020" w:rsidP="000A7085">
            <w:pPr>
              <w:pStyle w:val="ListParagraph"/>
              <w:numPr>
                <w:ilvl w:val="0"/>
                <w:numId w:val="27"/>
              </w:numPr>
              <w:spacing w:line="240" w:lineRule="auto"/>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color w:val="034EA2" w:themeColor="accent1"/>
                <w:sz w:val="20"/>
                <w:lang w:val="cs-CZ"/>
              </w:rPr>
            </w:pPr>
          </w:p>
        </w:tc>
        <w:tc>
          <w:tcPr>
            <w:tcW w:w="2268" w:type="dxa"/>
            <w:shd w:val="clear" w:color="auto" w:fill="auto"/>
          </w:tcPr>
          <w:p w14:paraId="29720E18" w14:textId="77777777" w:rsidR="00FA6020" w:rsidRPr="00795FED" w:rsidRDefault="00FA6020" w:rsidP="00286E0A">
            <w:pPr>
              <w:pStyle w:val="ListParagraph"/>
              <w:numPr>
                <w:ilvl w:val="0"/>
                <w:numId w:val="20"/>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i/>
                <w:noProof/>
                <w:sz w:val="20"/>
                <w:lang w:val="cs-CZ"/>
              </w:rPr>
            </w:pPr>
            <w:r w:rsidRPr="00795FED">
              <w:rPr>
                <w:rFonts w:ascii="EC Square Sans Pro" w:hAnsi="EC Square Sans Pro"/>
                <w:i/>
                <w:noProof/>
                <w:sz w:val="20"/>
                <w:lang w:val="cs-CZ"/>
              </w:rPr>
              <w:t>Včasná distribuce emisí</w:t>
            </w:r>
          </w:p>
          <w:p w14:paraId="179381F8" w14:textId="77777777" w:rsidR="00FA6020" w:rsidRPr="00795FED" w:rsidRDefault="00FA6020" w:rsidP="00286E0A">
            <w:pPr>
              <w:spacing w:after="40"/>
              <w:ind w:left="226" w:hanging="113"/>
              <w:jc w:val="left"/>
              <w:cnfStyle w:val="000000000000" w:firstRow="0" w:lastRow="0" w:firstColumn="0" w:lastColumn="0" w:oddVBand="0" w:evenVBand="0" w:oddHBand="0" w:evenHBand="0" w:firstRowFirstColumn="0" w:firstRowLastColumn="0" w:lastRowFirstColumn="0" w:lastRowLastColumn="0"/>
              <w:rPr>
                <w:i/>
                <w:noProof/>
                <w:sz w:val="20"/>
                <w:lang w:val="cs-CZ"/>
              </w:rPr>
            </w:pPr>
          </w:p>
        </w:tc>
        <w:tc>
          <w:tcPr>
            <w:tcW w:w="2551" w:type="dxa"/>
            <w:shd w:val="clear" w:color="auto" w:fill="auto"/>
          </w:tcPr>
          <w:p w14:paraId="10EDB301" w14:textId="77777777" w:rsidR="00FA6020" w:rsidRPr="00795FED" w:rsidRDefault="00FA6020" w:rsidP="008D4CA4">
            <w:pPr>
              <w:jc w:val="left"/>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4 syndikace a 4 dražby dluhopisů, což znamená 1–2 emise měsíčně.</w:t>
            </w:r>
          </w:p>
        </w:tc>
        <w:tc>
          <w:tcPr>
            <w:tcW w:w="4678" w:type="dxa"/>
            <w:vMerge/>
          </w:tcPr>
          <w:p w14:paraId="09F8F1C7" w14:textId="77777777" w:rsidR="00FA6020" w:rsidRPr="00795FED" w:rsidRDefault="00FA6020" w:rsidP="008A34F5">
            <w:pPr>
              <w:cnfStyle w:val="000000000000" w:firstRow="0" w:lastRow="0" w:firstColumn="0" w:lastColumn="0" w:oddVBand="0" w:evenVBand="0" w:oddHBand="0" w:evenHBand="0" w:firstRowFirstColumn="0" w:firstRowLastColumn="0" w:lastRowFirstColumn="0" w:lastRowLastColumn="0"/>
              <w:rPr>
                <w:noProof/>
                <w:sz w:val="20"/>
                <w:lang w:val="cs-CZ"/>
              </w:rPr>
            </w:pPr>
          </w:p>
        </w:tc>
      </w:tr>
      <w:tr w:rsidR="00A824B4" w:rsidRPr="00795FED" w14:paraId="1713A0AB"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35CE4BF9" w14:textId="77777777" w:rsidR="00FA6020" w:rsidRPr="00795FED" w:rsidRDefault="00FA6020" w:rsidP="000A7085">
            <w:pPr>
              <w:jc w:val="left"/>
              <w:rPr>
                <w:b w:val="0"/>
                <w:noProof/>
                <w:color w:val="034EA2" w:themeColor="accent1"/>
                <w:sz w:val="20"/>
                <w:lang w:val="cs-CZ"/>
              </w:rPr>
            </w:pPr>
          </w:p>
        </w:tc>
        <w:tc>
          <w:tcPr>
            <w:tcW w:w="3264" w:type="dxa"/>
            <w:vMerge/>
          </w:tcPr>
          <w:p w14:paraId="464565A0" w14:textId="77777777" w:rsidR="00FA6020" w:rsidRPr="00795FED" w:rsidRDefault="00FA6020" w:rsidP="000A7085">
            <w:pPr>
              <w:pStyle w:val="ListParagraph"/>
              <w:numPr>
                <w:ilvl w:val="0"/>
                <w:numId w:val="27"/>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20"/>
                <w:lang w:val="cs-CZ"/>
              </w:rPr>
            </w:pPr>
          </w:p>
        </w:tc>
        <w:tc>
          <w:tcPr>
            <w:tcW w:w="2268" w:type="dxa"/>
            <w:shd w:val="clear" w:color="auto" w:fill="auto"/>
          </w:tcPr>
          <w:p w14:paraId="6F58809E" w14:textId="77777777" w:rsidR="00FA6020" w:rsidRPr="00795FED" w:rsidRDefault="00FA6020" w:rsidP="00286E0A">
            <w:pPr>
              <w:pStyle w:val="ListParagraph"/>
              <w:numPr>
                <w:ilvl w:val="0"/>
                <w:numId w:val="20"/>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noProof/>
                <w:sz w:val="20"/>
                <w:lang w:val="cs-CZ"/>
              </w:rPr>
            </w:pPr>
            <w:r w:rsidRPr="00795FED">
              <w:rPr>
                <w:rFonts w:ascii="EC Square Sans Pro" w:hAnsi="EC Square Sans Pro"/>
                <w:i/>
                <w:noProof/>
                <w:sz w:val="20"/>
                <w:lang w:val="cs-CZ"/>
              </w:rPr>
              <w:t>Zelené emise</w:t>
            </w:r>
            <w:r w:rsidRPr="00795FED">
              <w:rPr>
                <w:rStyle w:val="FootnoteReference"/>
                <w:rFonts w:ascii="EC Square Sans Pro" w:hAnsi="EC Square Sans Pro" w:cs="Times New Roman"/>
                <w:i/>
                <w:noProof/>
                <w:sz w:val="20"/>
                <w:lang w:val="cs-CZ"/>
              </w:rPr>
              <w:footnoteReference w:id="17"/>
            </w:r>
          </w:p>
        </w:tc>
        <w:tc>
          <w:tcPr>
            <w:tcW w:w="2551" w:type="dxa"/>
            <w:shd w:val="clear" w:color="auto" w:fill="auto"/>
          </w:tcPr>
          <w:p w14:paraId="314B10E8" w14:textId="77777777" w:rsidR="00FA6020" w:rsidRPr="00795FED" w:rsidRDefault="00FA6020" w:rsidP="008D4CA4">
            <w:pPr>
              <w:jc w:val="left"/>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Přibližně 5 miliard EUR prostřednictvím navyšování emisí dluhopisů splatných v letech 2048 a 2033.</w:t>
            </w:r>
          </w:p>
        </w:tc>
        <w:tc>
          <w:tcPr>
            <w:tcW w:w="4678" w:type="dxa"/>
            <w:vMerge/>
          </w:tcPr>
          <w:p w14:paraId="27D45027" w14:textId="77777777" w:rsidR="00FA6020" w:rsidRPr="00795FED" w:rsidRDefault="00FA6020" w:rsidP="008A34F5">
            <w:pPr>
              <w:cnfStyle w:val="000000100000" w:firstRow="0" w:lastRow="0" w:firstColumn="0" w:lastColumn="0" w:oddVBand="0" w:evenVBand="0" w:oddHBand="1" w:evenHBand="0" w:firstRowFirstColumn="0" w:firstRowLastColumn="0" w:lastRowFirstColumn="0" w:lastRowLastColumn="0"/>
              <w:rPr>
                <w:noProof/>
                <w:sz w:val="20"/>
                <w:lang w:val="cs-CZ"/>
              </w:rPr>
            </w:pPr>
          </w:p>
        </w:tc>
      </w:tr>
      <w:tr w:rsidR="00A824B4" w:rsidRPr="00795FED" w14:paraId="7AF8A40D" w14:textId="77777777" w:rsidTr="005952C7">
        <w:trPr>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670771F2" w14:textId="77777777" w:rsidR="00FA6020" w:rsidRPr="00795FED" w:rsidRDefault="00FA6020" w:rsidP="000A7085">
            <w:pPr>
              <w:jc w:val="left"/>
              <w:rPr>
                <w:noProof/>
                <w:sz w:val="20"/>
                <w:lang w:val="cs-CZ"/>
              </w:rPr>
            </w:pPr>
          </w:p>
        </w:tc>
        <w:tc>
          <w:tcPr>
            <w:tcW w:w="3264" w:type="dxa"/>
            <w:shd w:val="clear" w:color="auto" w:fill="auto"/>
          </w:tcPr>
          <w:p w14:paraId="23AB491A" w14:textId="0B115B9C" w:rsidR="00FA6020" w:rsidRPr="00795FED" w:rsidRDefault="00F51815" w:rsidP="000A7085">
            <w:pPr>
              <w:pStyle w:val="ListParagraph"/>
              <w:numPr>
                <w:ilvl w:val="0"/>
                <w:numId w:val="27"/>
              </w:numPr>
              <w:spacing w:after="60" w:line="240" w:lineRule="auto"/>
              <w:ind w:left="170" w:hanging="17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color w:val="034EA2" w:themeColor="accent1"/>
                <w:sz w:val="20"/>
                <w:lang w:val="cs-CZ"/>
              </w:rPr>
            </w:pPr>
            <w:r w:rsidRPr="00795FED">
              <w:rPr>
                <w:rFonts w:ascii="EC Square Sans Pro" w:hAnsi="EC Square Sans Pro"/>
                <w:noProof/>
                <w:color w:val="034EA2" w:themeColor="accent1"/>
                <w:sz w:val="20"/>
                <w:lang w:val="cs-CZ"/>
              </w:rPr>
              <w:t xml:space="preserve"> Dosažení správné rovnováhy mezi dražbami a syndikacemi</w:t>
            </w:r>
          </w:p>
          <w:p w14:paraId="7D202B68" w14:textId="77777777" w:rsidR="00FA6020" w:rsidRPr="00795FED" w:rsidRDefault="00FA6020" w:rsidP="000A7085">
            <w:pPr>
              <w:jc w:val="left"/>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Náležitě vyvážené používání různých technik financování v závislosti na celkovém objemu emisí a tržních podmínkách s cílem řídit rizika realizace, zlepšit likviditu sekundárního trhu a zlepšit výpůjční náklady.</w:t>
            </w:r>
          </w:p>
        </w:tc>
        <w:tc>
          <w:tcPr>
            <w:tcW w:w="2268" w:type="dxa"/>
            <w:shd w:val="clear" w:color="auto" w:fill="auto"/>
          </w:tcPr>
          <w:p w14:paraId="562E2120" w14:textId="77777777" w:rsidR="00FA6020" w:rsidRPr="00795FED" w:rsidRDefault="00FA6020" w:rsidP="00286E0A">
            <w:pPr>
              <w:pStyle w:val="ListParagraph"/>
              <w:numPr>
                <w:ilvl w:val="0"/>
                <w:numId w:val="23"/>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noProof/>
                <w:sz w:val="20"/>
                <w:lang w:val="cs-CZ"/>
              </w:rPr>
            </w:pPr>
            <w:r w:rsidRPr="00795FED">
              <w:rPr>
                <w:rFonts w:ascii="EC Square Sans Pro" w:hAnsi="EC Square Sans Pro"/>
                <w:i/>
                <w:noProof/>
                <w:sz w:val="20"/>
                <w:lang w:val="cs-CZ"/>
              </w:rPr>
              <w:t xml:space="preserve">Rozdělení dražeb/syndikací v % </w:t>
            </w:r>
          </w:p>
        </w:tc>
        <w:tc>
          <w:tcPr>
            <w:tcW w:w="2551" w:type="dxa"/>
            <w:shd w:val="clear" w:color="auto" w:fill="auto"/>
          </w:tcPr>
          <w:p w14:paraId="42B9BBA4" w14:textId="77777777" w:rsidR="00FA6020" w:rsidRPr="00795FED" w:rsidRDefault="00FA6020" w:rsidP="008D4CA4">
            <w:pPr>
              <w:jc w:val="left"/>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 xml:space="preserve">36 % emisí dluhopisů prostřednictvím dražeb. </w:t>
            </w:r>
          </w:p>
        </w:tc>
        <w:tc>
          <w:tcPr>
            <w:tcW w:w="4678" w:type="dxa"/>
            <w:shd w:val="clear" w:color="auto" w:fill="auto"/>
          </w:tcPr>
          <w:p w14:paraId="0CBAF293" w14:textId="3C4C21DF" w:rsidR="00FA6020" w:rsidRPr="00795FED" w:rsidRDefault="00FA6020" w:rsidP="008A34F5">
            <w:pPr>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Ve druhé polovině roku 2023 vydala Komise 36 %</w:t>
            </w:r>
            <w:r w:rsidRPr="00795FED">
              <w:rPr>
                <w:noProof/>
                <w:lang w:val="cs-CZ"/>
              </w:rPr>
              <w:t xml:space="preserve"> </w:t>
            </w:r>
            <w:r w:rsidRPr="00795FED">
              <w:rPr>
                <w:noProof/>
                <w:lang w:val="cs-CZ"/>
              </w:rPr>
              <w:br/>
            </w:r>
            <w:r w:rsidRPr="00795FED">
              <w:rPr>
                <w:noProof/>
                <w:sz w:val="20"/>
                <w:lang w:val="cs-CZ"/>
              </w:rPr>
              <w:t>dluhopisů EU prostřednictvím dražeb, což je víceméně stejný podíl jako v předchozím pololetí financování. Cílem je rozšířit používání této techniky dražeb a zároveň zohlednit specifika trhu (např. absorpční kapacitu trhu) a potřeby emise (např. schopnost využít stávající dluhopisy prostřednictvím dražeb oproti potřebě emise nových linií prostřednictvím syndikace).</w:t>
            </w:r>
          </w:p>
        </w:tc>
      </w:tr>
      <w:tr w:rsidR="00A824B4" w:rsidRPr="00795FED" w14:paraId="4D8C054A"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2FBA7ED6" w14:textId="77777777" w:rsidR="00FA6020" w:rsidRPr="00795FED" w:rsidRDefault="00FA6020" w:rsidP="000A7085">
            <w:pPr>
              <w:jc w:val="left"/>
              <w:rPr>
                <w:noProof/>
                <w:sz w:val="20"/>
                <w:lang w:val="cs-CZ"/>
              </w:rPr>
            </w:pPr>
          </w:p>
        </w:tc>
        <w:tc>
          <w:tcPr>
            <w:tcW w:w="3264" w:type="dxa"/>
            <w:vMerge w:val="restart"/>
            <w:shd w:val="clear" w:color="auto" w:fill="auto"/>
          </w:tcPr>
          <w:p w14:paraId="20A091D0" w14:textId="7C665DCD" w:rsidR="00FA6020" w:rsidRPr="00795FED" w:rsidRDefault="00324A5C" w:rsidP="000A7085">
            <w:pPr>
              <w:pStyle w:val="ListParagraph"/>
              <w:numPr>
                <w:ilvl w:val="0"/>
                <w:numId w:val="27"/>
              </w:numPr>
              <w:spacing w:after="60" w:line="240" w:lineRule="auto"/>
              <w:ind w:left="170" w:hanging="17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20"/>
                <w:lang w:val="cs-CZ"/>
              </w:rPr>
            </w:pPr>
            <w:r w:rsidRPr="00795FED">
              <w:rPr>
                <w:rFonts w:ascii="EC Square Sans Pro" w:hAnsi="EC Square Sans Pro"/>
                <w:noProof/>
                <w:color w:val="034EA2" w:themeColor="accent1"/>
                <w:sz w:val="20"/>
                <w:lang w:val="cs-CZ"/>
              </w:rPr>
              <w:t xml:space="preserve"> Zavedení velkých a likvidních referenčních dluhopisů</w:t>
            </w:r>
          </w:p>
          <w:p w14:paraId="59A69A38" w14:textId="7AB4D26E" w:rsidR="00FA6020" w:rsidRPr="00795FED" w:rsidRDefault="00FA6020" w:rsidP="000A7085">
            <w:pPr>
              <w:jc w:val="left"/>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Navýšení stávajících dluhopisů EU, aby se nesplacený objem různých linií dostal na úroveň odpovídající velkým a likvidním referenčním liniím.</w:t>
            </w:r>
          </w:p>
        </w:tc>
        <w:tc>
          <w:tcPr>
            <w:tcW w:w="2268" w:type="dxa"/>
            <w:shd w:val="clear" w:color="auto" w:fill="auto"/>
          </w:tcPr>
          <w:p w14:paraId="65B387E3" w14:textId="5589C521" w:rsidR="00FA6020" w:rsidRPr="00795FED" w:rsidRDefault="00FA6020" w:rsidP="005D59EF">
            <w:pPr>
              <w:pStyle w:val="ListParagraph"/>
              <w:numPr>
                <w:ilvl w:val="0"/>
                <w:numId w:val="22"/>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i/>
                <w:noProof/>
                <w:sz w:val="20"/>
                <w:lang w:val="cs-CZ"/>
              </w:rPr>
            </w:pPr>
            <w:r w:rsidRPr="00795FED">
              <w:rPr>
                <w:rFonts w:ascii="EC Square Sans Pro" w:hAnsi="EC Square Sans Pro"/>
                <w:i/>
                <w:noProof/>
                <w:sz w:val="20"/>
                <w:lang w:val="cs-CZ"/>
              </w:rPr>
              <w:t>Emise prostřednictvím nových dluhopisů vs. objem vydaný prostřednictvím navyšování stávajících dluhopisů</w:t>
            </w:r>
          </w:p>
        </w:tc>
        <w:tc>
          <w:tcPr>
            <w:tcW w:w="2551" w:type="dxa"/>
            <w:shd w:val="clear" w:color="auto" w:fill="auto"/>
          </w:tcPr>
          <w:p w14:paraId="5441870E" w14:textId="77777777" w:rsidR="000500DD" w:rsidRPr="00795FED" w:rsidRDefault="00FA6020" w:rsidP="008D4CA4">
            <w:pPr>
              <w:pStyle w:val="ListParagraph"/>
              <w:numPr>
                <w:ilvl w:val="0"/>
                <w:numId w:val="15"/>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sz w:val="20"/>
                <w:lang w:val="cs-CZ"/>
              </w:rPr>
            </w:pPr>
            <w:r w:rsidRPr="00795FED">
              <w:rPr>
                <w:rFonts w:ascii="EC Square Sans Pro" w:hAnsi="EC Square Sans Pro"/>
                <w:noProof/>
                <w:sz w:val="20"/>
                <w:lang w:val="cs-CZ"/>
              </w:rPr>
              <w:t xml:space="preserve">14 miliard EUR prostřednictvím nových dluhopisů </w:t>
            </w:r>
          </w:p>
          <w:p w14:paraId="0FD82E4F" w14:textId="1E739C57" w:rsidR="00FA6020" w:rsidRPr="00795FED" w:rsidRDefault="00FA6020" w:rsidP="008D4CA4">
            <w:pPr>
              <w:pStyle w:val="ListParagraph"/>
              <w:numPr>
                <w:ilvl w:val="0"/>
                <w:numId w:val="15"/>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sz w:val="20"/>
                <w:lang w:val="cs-CZ"/>
              </w:rPr>
            </w:pPr>
            <w:r w:rsidRPr="00795FED">
              <w:rPr>
                <w:rFonts w:ascii="EC Square Sans Pro" w:hAnsi="EC Square Sans Pro"/>
                <w:noProof/>
                <w:sz w:val="20"/>
                <w:lang w:val="cs-CZ"/>
              </w:rPr>
              <w:t>23,7 miliardy EUR prostřednictvím navyšování stávajících dluhopisů</w:t>
            </w:r>
          </w:p>
        </w:tc>
        <w:tc>
          <w:tcPr>
            <w:tcW w:w="4678" w:type="dxa"/>
            <w:vMerge w:val="restart"/>
            <w:shd w:val="clear" w:color="auto" w:fill="auto"/>
          </w:tcPr>
          <w:p w14:paraId="7375523B" w14:textId="77777777" w:rsidR="00FA6020" w:rsidRPr="00795FED" w:rsidRDefault="00FA6020" w:rsidP="008A34F5">
            <w:pPr>
              <w:cnfStyle w:val="000000100000" w:firstRow="0" w:lastRow="0" w:firstColumn="0" w:lastColumn="0" w:oddVBand="0" w:evenVBand="0" w:oddHBand="1" w:evenHBand="0" w:firstRowFirstColumn="0" w:firstRowLastColumn="0" w:lastRowFirstColumn="0" w:lastRowLastColumn="0"/>
              <w:rPr>
                <w:noProof/>
                <w:spacing w:val="-4"/>
                <w:sz w:val="20"/>
                <w:lang w:val="cs-CZ"/>
              </w:rPr>
            </w:pPr>
            <w:r w:rsidRPr="00795FED">
              <w:rPr>
                <w:noProof/>
                <w:sz w:val="20"/>
                <w:lang w:val="cs-CZ"/>
              </w:rPr>
              <w:t>Komise s ohledem na likviditu svých cenných papírů využila své transakce k navýšení stávajících linií financování, přičemž zhruba 63 % objemu financování bylo mobilizováno prostřednictvím navýšení stávajících dluhopisů.</w:t>
            </w:r>
          </w:p>
          <w:p w14:paraId="76E090D9" w14:textId="77777777" w:rsidR="00FA6020" w:rsidRPr="00795FED" w:rsidRDefault="00FA6020" w:rsidP="008A34F5">
            <w:pPr>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 xml:space="preserve">Na základě doporučení primárních dealerů EU byly zavedeny nové linie financování, které mají trhu poskytnout nové referenční linie tam, kde je to na křivce potřeba. V průběhu pololetí byly na trh uvedeny nové pětileté, sedmileté a dvacetileté dluhopisy. </w:t>
            </w:r>
          </w:p>
          <w:p w14:paraId="2021D8EF" w14:textId="77777777" w:rsidR="00FA6020" w:rsidRPr="00795FED" w:rsidRDefault="00FA6020" w:rsidP="008A34F5">
            <w:pPr>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V důsledku toho průměrná nesplacená částka na jeden dluhopis zůstala do konce pololetí v přibližné výši 13 miliard EUR, což zajistilo stálou likviditu dluhopisů.</w:t>
            </w:r>
          </w:p>
        </w:tc>
      </w:tr>
      <w:tr w:rsidR="005D59EF" w:rsidRPr="00795FED" w14:paraId="1EF01A84" w14:textId="77777777" w:rsidTr="005952C7">
        <w:trPr>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0FB3D821" w14:textId="77777777" w:rsidR="00FA6020" w:rsidRPr="00795FED" w:rsidRDefault="00FA6020" w:rsidP="000A7085">
            <w:pPr>
              <w:jc w:val="left"/>
              <w:rPr>
                <w:noProof/>
                <w:sz w:val="20"/>
                <w:lang w:val="cs-CZ"/>
              </w:rPr>
            </w:pPr>
          </w:p>
        </w:tc>
        <w:tc>
          <w:tcPr>
            <w:tcW w:w="3264" w:type="dxa"/>
            <w:vMerge/>
          </w:tcPr>
          <w:p w14:paraId="01772137" w14:textId="77777777" w:rsidR="00FA6020" w:rsidRPr="00795FED" w:rsidRDefault="00FA6020" w:rsidP="000A7085">
            <w:pPr>
              <w:pStyle w:val="ListParagraph"/>
              <w:numPr>
                <w:ilvl w:val="0"/>
                <w:numId w:val="27"/>
              </w:numPr>
              <w:spacing w:line="240" w:lineRule="auto"/>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color w:val="034EA2" w:themeColor="accent1"/>
                <w:sz w:val="20"/>
                <w:lang w:val="cs-CZ"/>
              </w:rPr>
            </w:pPr>
          </w:p>
        </w:tc>
        <w:tc>
          <w:tcPr>
            <w:tcW w:w="2268" w:type="dxa"/>
            <w:shd w:val="clear" w:color="auto" w:fill="auto"/>
          </w:tcPr>
          <w:p w14:paraId="5241E96F" w14:textId="77777777" w:rsidR="00FA6020" w:rsidRPr="00795FED" w:rsidRDefault="00FA6020" w:rsidP="00286E0A">
            <w:pPr>
              <w:pStyle w:val="ListParagraph"/>
              <w:numPr>
                <w:ilvl w:val="0"/>
                <w:numId w:val="22"/>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noProof/>
                <w:sz w:val="20"/>
                <w:lang w:val="cs-CZ"/>
              </w:rPr>
            </w:pPr>
            <w:r w:rsidRPr="00795FED">
              <w:rPr>
                <w:rFonts w:ascii="EC Square Sans Pro" w:hAnsi="EC Square Sans Pro"/>
                <w:i/>
                <w:noProof/>
                <w:sz w:val="20"/>
                <w:lang w:val="cs-CZ"/>
              </w:rPr>
              <w:t>Rychlost navyšování nových dluhopisů</w:t>
            </w:r>
            <w:r w:rsidRPr="00795FED">
              <w:rPr>
                <w:rStyle w:val="FootnoteReference"/>
                <w:rFonts w:ascii="EC Square Sans Pro" w:hAnsi="EC Square Sans Pro" w:cs="Times New Roman"/>
                <w:i/>
                <w:noProof/>
                <w:sz w:val="20"/>
                <w:lang w:val="cs-CZ"/>
              </w:rPr>
              <w:footnoteReference w:id="18"/>
            </w:r>
          </w:p>
        </w:tc>
        <w:tc>
          <w:tcPr>
            <w:tcW w:w="2551" w:type="dxa"/>
            <w:shd w:val="clear" w:color="auto" w:fill="auto"/>
          </w:tcPr>
          <w:p w14:paraId="45A538D7" w14:textId="77777777" w:rsidR="00FA6020" w:rsidRPr="00795FED" w:rsidRDefault="00FA6020" w:rsidP="008A34F5">
            <w:pPr>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1 až 2 měsíce</w:t>
            </w:r>
          </w:p>
        </w:tc>
        <w:tc>
          <w:tcPr>
            <w:tcW w:w="4678" w:type="dxa"/>
            <w:vMerge/>
          </w:tcPr>
          <w:p w14:paraId="6E827C86" w14:textId="77777777" w:rsidR="00FA6020" w:rsidRPr="00795FED" w:rsidRDefault="00FA6020" w:rsidP="008A34F5">
            <w:pPr>
              <w:cnfStyle w:val="000000000000" w:firstRow="0" w:lastRow="0" w:firstColumn="0" w:lastColumn="0" w:oddVBand="0" w:evenVBand="0" w:oddHBand="0" w:evenHBand="0" w:firstRowFirstColumn="0" w:firstRowLastColumn="0" w:lastRowFirstColumn="0" w:lastRowLastColumn="0"/>
              <w:rPr>
                <w:noProof/>
                <w:sz w:val="20"/>
                <w:lang w:val="cs-CZ"/>
              </w:rPr>
            </w:pPr>
          </w:p>
        </w:tc>
      </w:tr>
      <w:tr w:rsidR="005D59EF" w:rsidRPr="00795FED" w14:paraId="39B89EB7"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7C35FAEA" w14:textId="77777777" w:rsidR="00FA6020" w:rsidRPr="00795FED" w:rsidRDefault="00FA6020" w:rsidP="000A7085">
            <w:pPr>
              <w:jc w:val="left"/>
              <w:rPr>
                <w:noProof/>
                <w:sz w:val="20"/>
                <w:lang w:val="cs-CZ"/>
              </w:rPr>
            </w:pPr>
          </w:p>
        </w:tc>
        <w:tc>
          <w:tcPr>
            <w:tcW w:w="3264" w:type="dxa"/>
            <w:vMerge/>
          </w:tcPr>
          <w:p w14:paraId="3DE7CF5B" w14:textId="77777777" w:rsidR="00FA6020" w:rsidRPr="00795FED" w:rsidRDefault="00FA6020" w:rsidP="000A7085">
            <w:pPr>
              <w:pStyle w:val="ListParagraph"/>
              <w:numPr>
                <w:ilvl w:val="0"/>
                <w:numId w:val="27"/>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20"/>
                <w:lang w:val="cs-CZ"/>
              </w:rPr>
            </w:pPr>
          </w:p>
        </w:tc>
        <w:tc>
          <w:tcPr>
            <w:tcW w:w="2268" w:type="dxa"/>
            <w:shd w:val="clear" w:color="auto" w:fill="auto"/>
          </w:tcPr>
          <w:p w14:paraId="1010F2FE" w14:textId="7E2A21AB" w:rsidR="00FA6020" w:rsidRPr="00795FED" w:rsidRDefault="00FA6020" w:rsidP="005D59EF">
            <w:pPr>
              <w:pStyle w:val="ListParagraph"/>
              <w:numPr>
                <w:ilvl w:val="0"/>
                <w:numId w:val="22"/>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i/>
                <w:noProof/>
                <w:sz w:val="20"/>
                <w:lang w:val="cs-CZ"/>
              </w:rPr>
            </w:pPr>
            <w:r w:rsidRPr="00795FED">
              <w:rPr>
                <w:rFonts w:ascii="EC Square Sans Pro" w:hAnsi="EC Square Sans Pro"/>
                <w:i/>
                <w:noProof/>
                <w:sz w:val="20"/>
                <w:lang w:val="cs-CZ"/>
              </w:rPr>
              <w:t>Průměrná velikost nesplacených dluhopisů</w:t>
            </w:r>
            <w:r w:rsidRPr="00795FED">
              <w:rPr>
                <w:rStyle w:val="FootnoteReference"/>
                <w:rFonts w:ascii="EC Square Sans Pro" w:hAnsi="EC Square Sans Pro" w:cs="Times New Roman"/>
                <w:i/>
                <w:noProof/>
                <w:sz w:val="20"/>
                <w:lang w:val="cs-CZ"/>
              </w:rPr>
              <w:footnoteReference w:id="19"/>
            </w:r>
          </w:p>
        </w:tc>
        <w:tc>
          <w:tcPr>
            <w:tcW w:w="2551" w:type="dxa"/>
            <w:shd w:val="clear" w:color="auto" w:fill="auto"/>
          </w:tcPr>
          <w:p w14:paraId="7546A9B4" w14:textId="77777777" w:rsidR="00FA6020" w:rsidRPr="00795FED" w:rsidRDefault="00FA6020" w:rsidP="008A34F5">
            <w:pPr>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Přibližně 13 miliard</w:t>
            </w:r>
          </w:p>
        </w:tc>
        <w:tc>
          <w:tcPr>
            <w:tcW w:w="4678" w:type="dxa"/>
            <w:vMerge/>
          </w:tcPr>
          <w:p w14:paraId="32E942E8" w14:textId="77777777" w:rsidR="00FA6020" w:rsidRPr="00795FED" w:rsidRDefault="00FA6020" w:rsidP="008A34F5">
            <w:pPr>
              <w:cnfStyle w:val="000000100000" w:firstRow="0" w:lastRow="0" w:firstColumn="0" w:lastColumn="0" w:oddVBand="0" w:evenVBand="0" w:oddHBand="1" w:evenHBand="0" w:firstRowFirstColumn="0" w:firstRowLastColumn="0" w:lastRowFirstColumn="0" w:lastRowLastColumn="0"/>
              <w:rPr>
                <w:noProof/>
                <w:sz w:val="20"/>
                <w:lang w:val="cs-CZ"/>
              </w:rPr>
            </w:pPr>
          </w:p>
        </w:tc>
      </w:tr>
      <w:tr w:rsidR="005D59EF" w:rsidRPr="00795FED" w14:paraId="4742DAF5" w14:textId="77777777" w:rsidTr="005952C7">
        <w:trPr>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7AADA38D" w14:textId="77777777" w:rsidR="00FA6020" w:rsidRPr="00795FED" w:rsidRDefault="00FA6020" w:rsidP="000A7085">
            <w:pPr>
              <w:jc w:val="left"/>
              <w:rPr>
                <w:noProof/>
                <w:sz w:val="20"/>
                <w:lang w:val="cs-CZ"/>
              </w:rPr>
            </w:pPr>
          </w:p>
        </w:tc>
        <w:tc>
          <w:tcPr>
            <w:tcW w:w="3264" w:type="dxa"/>
            <w:vMerge/>
          </w:tcPr>
          <w:p w14:paraId="72684697" w14:textId="77777777" w:rsidR="00FA6020" w:rsidRPr="00795FED" w:rsidRDefault="00FA6020" w:rsidP="000A7085">
            <w:pPr>
              <w:pStyle w:val="ListParagraph"/>
              <w:numPr>
                <w:ilvl w:val="0"/>
                <w:numId w:val="27"/>
              </w:numPr>
              <w:spacing w:line="240" w:lineRule="auto"/>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color w:val="034EA2" w:themeColor="accent1"/>
                <w:sz w:val="20"/>
                <w:lang w:val="cs-CZ"/>
              </w:rPr>
            </w:pPr>
          </w:p>
        </w:tc>
        <w:tc>
          <w:tcPr>
            <w:tcW w:w="2268" w:type="dxa"/>
            <w:shd w:val="clear" w:color="auto" w:fill="auto"/>
          </w:tcPr>
          <w:p w14:paraId="2568FE20" w14:textId="77777777" w:rsidR="00FA6020" w:rsidRPr="00795FED" w:rsidRDefault="0D353577" w:rsidP="4E7C6B93">
            <w:pPr>
              <w:pStyle w:val="ListParagraph"/>
              <w:numPr>
                <w:ilvl w:val="0"/>
                <w:numId w:val="22"/>
              </w:numPr>
              <w:spacing w:after="40" w:line="240" w:lineRule="auto"/>
              <w:ind w:left="226" w:hanging="113"/>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noProof/>
                <w:sz w:val="20"/>
                <w:lang w:val="cs-CZ"/>
              </w:rPr>
            </w:pPr>
            <w:r w:rsidRPr="00795FED">
              <w:rPr>
                <w:rFonts w:ascii="EC Square Sans Pro" w:hAnsi="EC Square Sans Pro"/>
                <w:i/>
                <w:noProof/>
                <w:sz w:val="20"/>
                <w:lang w:val="cs-CZ"/>
              </w:rPr>
              <w:t>Obrat v poměru k objemu emise</w:t>
            </w:r>
          </w:p>
        </w:tc>
        <w:tc>
          <w:tcPr>
            <w:tcW w:w="2551" w:type="dxa"/>
            <w:shd w:val="clear" w:color="auto" w:fill="auto"/>
          </w:tcPr>
          <w:p w14:paraId="47E9E16C" w14:textId="5E433D82" w:rsidR="00FA6020" w:rsidRPr="00795FED" w:rsidRDefault="0D353577" w:rsidP="008D4CA4">
            <w:pPr>
              <w:jc w:val="left"/>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Přibližně 92 % v roce 2023 oproti 80 % v druhé polovině roku 2022</w:t>
            </w:r>
          </w:p>
        </w:tc>
        <w:tc>
          <w:tcPr>
            <w:tcW w:w="4678" w:type="dxa"/>
            <w:vMerge/>
          </w:tcPr>
          <w:p w14:paraId="7279D73B" w14:textId="77777777" w:rsidR="00FA6020" w:rsidRPr="00795FED" w:rsidRDefault="00FA6020" w:rsidP="008A34F5">
            <w:pPr>
              <w:cnfStyle w:val="000000000000" w:firstRow="0" w:lastRow="0" w:firstColumn="0" w:lastColumn="0" w:oddVBand="0" w:evenVBand="0" w:oddHBand="0" w:evenHBand="0" w:firstRowFirstColumn="0" w:firstRowLastColumn="0" w:lastRowFirstColumn="0" w:lastRowLastColumn="0"/>
              <w:rPr>
                <w:noProof/>
                <w:sz w:val="20"/>
                <w:lang w:val="cs-CZ"/>
              </w:rPr>
            </w:pPr>
          </w:p>
        </w:tc>
      </w:tr>
      <w:tr w:rsidR="00A824B4" w:rsidRPr="00795FED" w14:paraId="28CB6B5B"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6AD6D1D4" w14:textId="77777777" w:rsidR="00FA6020" w:rsidRPr="00795FED" w:rsidRDefault="00FA6020" w:rsidP="000A7085">
            <w:pPr>
              <w:jc w:val="left"/>
              <w:rPr>
                <w:noProof/>
                <w:sz w:val="20"/>
                <w:lang w:val="cs-CZ"/>
              </w:rPr>
            </w:pPr>
          </w:p>
        </w:tc>
        <w:tc>
          <w:tcPr>
            <w:tcW w:w="3264" w:type="dxa"/>
            <w:vMerge/>
          </w:tcPr>
          <w:p w14:paraId="4E3C9046" w14:textId="77777777" w:rsidR="00FA6020" w:rsidRPr="00795FED" w:rsidRDefault="00FA6020" w:rsidP="000A7085">
            <w:pPr>
              <w:pStyle w:val="ListParagraph"/>
              <w:numPr>
                <w:ilvl w:val="0"/>
                <w:numId w:val="27"/>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20"/>
                <w:lang w:val="cs-CZ"/>
              </w:rPr>
            </w:pPr>
          </w:p>
        </w:tc>
        <w:tc>
          <w:tcPr>
            <w:tcW w:w="2268" w:type="dxa"/>
            <w:shd w:val="clear" w:color="auto" w:fill="auto"/>
          </w:tcPr>
          <w:p w14:paraId="0477BAC1" w14:textId="77777777" w:rsidR="00FA6020" w:rsidRPr="00795FED" w:rsidRDefault="0D353577" w:rsidP="4E7C6B93">
            <w:pPr>
              <w:pStyle w:val="ListParagraph"/>
              <w:numPr>
                <w:ilvl w:val="0"/>
                <w:numId w:val="22"/>
              </w:numPr>
              <w:spacing w:after="40" w:line="240" w:lineRule="auto"/>
              <w:ind w:left="226" w:hanging="113"/>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noProof/>
                <w:sz w:val="20"/>
                <w:lang w:val="cs-CZ"/>
              </w:rPr>
            </w:pPr>
            <w:r w:rsidRPr="00795FED">
              <w:rPr>
                <w:rFonts w:ascii="EC Square Sans Pro" w:hAnsi="EC Square Sans Pro"/>
                <w:i/>
                <w:noProof/>
                <w:sz w:val="20"/>
                <w:lang w:val="cs-CZ"/>
              </w:rPr>
              <w:t>Absolutní obrat</w:t>
            </w:r>
          </w:p>
        </w:tc>
        <w:tc>
          <w:tcPr>
            <w:tcW w:w="2551" w:type="dxa"/>
            <w:shd w:val="clear" w:color="auto" w:fill="auto"/>
          </w:tcPr>
          <w:p w14:paraId="53435E9F" w14:textId="56012A2C" w:rsidR="00FA6020" w:rsidRPr="00795FED" w:rsidRDefault="0D353577" w:rsidP="4E7C6B93">
            <w:pPr>
              <w:jc w:val="left"/>
              <w:cnfStyle w:val="000000100000" w:firstRow="0" w:lastRow="0" w:firstColumn="0" w:lastColumn="0" w:oddVBand="0" w:evenVBand="0" w:oddHBand="1" w:evenHBand="0" w:firstRowFirstColumn="0" w:firstRowLastColumn="0" w:lastRowFirstColumn="0" w:lastRowLastColumn="0"/>
              <w:rPr>
                <w:noProof/>
                <w:spacing w:val="-6"/>
                <w:sz w:val="20"/>
                <w:lang w:val="cs-CZ"/>
              </w:rPr>
            </w:pPr>
            <w:r w:rsidRPr="00795FED">
              <w:rPr>
                <w:noProof/>
                <w:sz w:val="20"/>
                <w:lang w:val="cs-CZ"/>
              </w:rPr>
              <w:t>397 miliard EUR ve druhém pololetí roku 2023 oproti 241 miliardám EUR ve druhém pololetí roku 2022</w:t>
            </w:r>
          </w:p>
        </w:tc>
        <w:tc>
          <w:tcPr>
            <w:tcW w:w="4678" w:type="dxa"/>
            <w:vMerge/>
          </w:tcPr>
          <w:p w14:paraId="5A91DCAB" w14:textId="77777777" w:rsidR="00FA6020" w:rsidRPr="00795FED" w:rsidRDefault="00FA6020" w:rsidP="008A34F5">
            <w:pPr>
              <w:cnfStyle w:val="000000100000" w:firstRow="0" w:lastRow="0" w:firstColumn="0" w:lastColumn="0" w:oddVBand="0" w:evenVBand="0" w:oddHBand="1" w:evenHBand="0" w:firstRowFirstColumn="0" w:firstRowLastColumn="0" w:lastRowFirstColumn="0" w:lastRowLastColumn="0"/>
              <w:rPr>
                <w:noProof/>
                <w:sz w:val="20"/>
                <w:lang w:val="cs-CZ"/>
              </w:rPr>
            </w:pPr>
          </w:p>
        </w:tc>
      </w:tr>
      <w:tr w:rsidR="00A824B4" w:rsidRPr="00795FED" w14:paraId="18EF7337" w14:textId="77777777" w:rsidTr="005952C7">
        <w:trPr>
          <w:trHeight w:val="20"/>
        </w:trPr>
        <w:tc>
          <w:tcPr>
            <w:cnfStyle w:val="001000000000" w:firstRow="0" w:lastRow="0" w:firstColumn="1" w:lastColumn="0" w:oddVBand="0" w:evenVBand="0" w:oddHBand="0" w:evenHBand="0" w:firstRowFirstColumn="0" w:firstRowLastColumn="0" w:lastRowFirstColumn="0" w:lastRowLastColumn="0"/>
            <w:tcW w:w="1664" w:type="dxa"/>
            <w:vMerge w:val="restart"/>
            <w:shd w:val="clear" w:color="auto" w:fill="auto"/>
          </w:tcPr>
          <w:p w14:paraId="1EE256BB" w14:textId="77777777" w:rsidR="00FA6020" w:rsidRPr="00795FED" w:rsidRDefault="00FA6020" w:rsidP="000A7085">
            <w:pPr>
              <w:jc w:val="left"/>
              <w:rPr>
                <w:noProof/>
                <w:sz w:val="20"/>
                <w:lang w:val="cs-CZ"/>
              </w:rPr>
            </w:pPr>
          </w:p>
        </w:tc>
        <w:tc>
          <w:tcPr>
            <w:tcW w:w="3264" w:type="dxa"/>
            <w:vMerge w:val="restart"/>
            <w:shd w:val="clear" w:color="auto" w:fill="auto"/>
          </w:tcPr>
          <w:p w14:paraId="6C260126" w14:textId="028AE9C4" w:rsidR="00FA6020" w:rsidRPr="00795FED" w:rsidRDefault="00C04650" w:rsidP="000A7085">
            <w:pPr>
              <w:pStyle w:val="ListParagraph"/>
              <w:numPr>
                <w:ilvl w:val="0"/>
                <w:numId w:val="28"/>
              </w:numPr>
              <w:spacing w:after="60" w:line="240" w:lineRule="auto"/>
              <w:ind w:left="170" w:hanging="170"/>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color w:val="034EA2" w:themeColor="accent1"/>
                <w:sz w:val="20"/>
                <w:lang w:val="cs-CZ"/>
              </w:rPr>
            </w:pPr>
            <w:r w:rsidRPr="00795FED">
              <w:rPr>
                <w:rFonts w:ascii="EC Square Sans Pro" w:hAnsi="EC Square Sans Pro"/>
                <w:noProof/>
                <w:color w:val="034EA2" w:themeColor="accent1"/>
                <w:sz w:val="20"/>
                <w:lang w:val="cs-CZ"/>
              </w:rPr>
              <w:t xml:space="preserve"> Řízení profilu splatnosti emisí dluhopisů EU s řádným </w:t>
            </w:r>
            <w:r w:rsidRPr="00795FED">
              <w:rPr>
                <w:noProof/>
                <w:lang w:val="cs-CZ"/>
              </w:rPr>
              <w:br/>
            </w:r>
            <w:r w:rsidRPr="00795FED">
              <w:rPr>
                <w:rFonts w:ascii="EC Square Sans Pro" w:hAnsi="EC Square Sans Pro"/>
                <w:noProof/>
                <w:color w:val="034EA2" w:themeColor="accent1"/>
                <w:sz w:val="20"/>
                <w:lang w:val="cs-CZ"/>
              </w:rPr>
              <w:t>ohledem na:</w:t>
            </w:r>
          </w:p>
          <w:p w14:paraId="0906F802" w14:textId="2636B8F4" w:rsidR="00FA6020" w:rsidRPr="00795FED" w:rsidRDefault="00FA6020" w:rsidP="000A7085">
            <w:pPr>
              <w:pStyle w:val="ListParagraph"/>
              <w:numPr>
                <w:ilvl w:val="0"/>
                <w:numId w:val="10"/>
              </w:numPr>
              <w:spacing w:after="60" w:line="240" w:lineRule="auto"/>
              <w:ind w:left="340" w:hanging="17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sz w:val="20"/>
                <w:lang w:val="cs-CZ"/>
              </w:rPr>
            </w:pPr>
            <w:r w:rsidRPr="00795FED">
              <w:rPr>
                <w:rFonts w:ascii="EC Square Sans Pro" w:hAnsi="EC Square Sans Pro"/>
                <w:noProof/>
                <w:sz w:val="20"/>
                <w:lang w:val="cs-CZ"/>
              </w:rPr>
              <w:t>dočasnou dodatečnou rezervu (pro výpůjčky související s nástrojem NGEU) a trvalou rezervu (pro MFA+) v rámci rozpočtu EU,</w:t>
            </w:r>
          </w:p>
          <w:p w14:paraId="6B651919" w14:textId="77777777" w:rsidR="00FA6020" w:rsidRPr="00795FED" w:rsidRDefault="00FA6020" w:rsidP="000A7085">
            <w:pPr>
              <w:pStyle w:val="ListParagraph"/>
              <w:numPr>
                <w:ilvl w:val="0"/>
                <w:numId w:val="10"/>
              </w:numPr>
              <w:spacing w:after="60" w:line="240" w:lineRule="auto"/>
              <w:ind w:left="340" w:hanging="17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sz w:val="20"/>
                <w:lang w:val="cs-CZ"/>
              </w:rPr>
            </w:pPr>
            <w:r w:rsidRPr="00795FED">
              <w:rPr>
                <w:rFonts w:ascii="EC Square Sans Pro" w:hAnsi="EC Square Sans Pro"/>
                <w:noProof/>
                <w:sz w:val="20"/>
                <w:lang w:val="cs-CZ"/>
              </w:rPr>
              <w:t xml:space="preserve">budoucí umoření výplat v daném roce, </w:t>
            </w:r>
          </w:p>
          <w:p w14:paraId="5EB034BF" w14:textId="77777777" w:rsidR="003409E9" w:rsidRPr="00795FED" w:rsidRDefault="00FA6020" w:rsidP="000A7085">
            <w:pPr>
              <w:pStyle w:val="ListParagraph"/>
              <w:numPr>
                <w:ilvl w:val="0"/>
                <w:numId w:val="10"/>
              </w:numPr>
              <w:spacing w:after="60" w:line="240" w:lineRule="auto"/>
              <w:ind w:left="340" w:hanging="17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sz w:val="20"/>
                <w:lang w:val="cs-CZ"/>
              </w:rPr>
            </w:pPr>
            <w:r w:rsidRPr="00795FED">
              <w:rPr>
                <w:rFonts w:ascii="EC Square Sans Pro" w:hAnsi="EC Square Sans Pro"/>
                <w:noProof/>
                <w:sz w:val="20"/>
                <w:lang w:val="cs-CZ"/>
              </w:rPr>
              <w:t>stabilní budoucí potřeba refinancování,</w:t>
            </w:r>
          </w:p>
          <w:p w14:paraId="44B1E10D" w14:textId="77777777" w:rsidR="00801BCC" w:rsidRPr="00795FED" w:rsidRDefault="00801BCC" w:rsidP="000A7085">
            <w:pPr>
              <w:pStyle w:val="ListParagraph"/>
              <w:spacing w:after="60" w:line="240" w:lineRule="auto"/>
              <w:ind w:left="34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sz w:val="20"/>
                <w:lang w:val="cs-CZ"/>
              </w:rPr>
            </w:pPr>
          </w:p>
          <w:p w14:paraId="092BE88B" w14:textId="3F41E9B9" w:rsidR="00FA6020" w:rsidRPr="00795FED" w:rsidRDefault="00FA6020" w:rsidP="000A7085">
            <w:pPr>
              <w:pStyle w:val="ListParagraph"/>
              <w:numPr>
                <w:ilvl w:val="0"/>
                <w:numId w:val="10"/>
              </w:numPr>
              <w:spacing w:after="60" w:line="240" w:lineRule="auto"/>
              <w:ind w:left="340" w:hanging="17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sz w:val="20"/>
                <w:lang w:val="cs-CZ"/>
              </w:rPr>
            </w:pPr>
            <w:r w:rsidRPr="00795FED">
              <w:rPr>
                <w:rFonts w:ascii="EC Square Sans Pro" w:hAnsi="EC Square Sans Pro"/>
                <w:noProof/>
                <w:sz w:val="20"/>
                <w:lang w:val="cs-CZ"/>
              </w:rPr>
              <w:t>potřebu chránit rating EU, aby se zajistily nízké výpůjční náklady v dlouhodobém horizontu a silná poptávka ze strany hlavní investorské základny.</w:t>
            </w:r>
          </w:p>
        </w:tc>
        <w:tc>
          <w:tcPr>
            <w:tcW w:w="2268" w:type="dxa"/>
            <w:shd w:val="clear" w:color="auto" w:fill="auto"/>
          </w:tcPr>
          <w:p w14:paraId="7484D6CA" w14:textId="77777777" w:rsidR="00FA6020" w:rsidRPr="00795FED" w:rsidRDefault="00FA6020" w:rsidP="00286E0A">
            <w:pPr>
              <w:pStyle w:val="ListParagraph"/>
              <w:numPr>
                <w:ilvl w:val="0"/>
                <w:numId w:val="21"/>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noProof/>
                <w:sz w:val="20"/>
                <w:lang w:val="cs-CZ"/>
              </w:rPr>
            </w:pPr>
            <w:r w:rsidRPr="00795FED">
              <w:rPr>
                <w:rFonts w:ascii="EC Square Sans Pro" w:hAnsi="EC Square Sans Pro"/>
                <w:i/>
                <w:noProof/>
                <w:sz w:val="20"/>
                <w:lang w:val="cs-CZ"/>
              </w:rPr>
              <w:t xml:space="preserve">Průměrná splatnost emise </w:t>
            </w:r>
          </w:p>
        </w:tc>
        <w:tc>
          <w:tcPr>
            <w:tcW w:w="2551" w:type="dxa"/>
            <w:shd w:val="clear" w:color="auto" w:fill="auto"/>
          </w:tcPr>
          <w:p w14:paraId="2730E95D" w14:textId="77777777" w:rsidR="00FA6020" w:rsidRPr="00795FED" w:rsidRDefault="00FA6020" w:rsidP="008A34F5">
            <w:pPr>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 xml:space="preserve">Přibližně 13 let </w:t>
            </w:r>
          </w:p>
        </w:tc>
        <w:tc>
          <w:tcPr>
            <w:tcW w:w="4678" w:type="dxa"/>
            <w:vMerge w:val="restart"/>
            <w:shd w:val="clear" w:color="auto" w:fill="auto"/>
          </w:tcPr>
          <w:p w14:paraId="1A755081" w14:textId="77777777" w:rsidR="00FA6020" w:rsidRPr="00795FED" w:rsidRDefault="00FA6020" w:rsidP="008A34F5">
            <w:pPr>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Ve druhém pololetí roku 2023 měly emise dluhopisů průměrnou splatnost 13 let. To odráželo cíl Komise rozložit profil odkupů v čase a zároveň přilákat investory k transakcím na primárním trhu EU. Průměrná doba splatnosti zůstala pod maximální průměrnou dobou splatnosti 17 let stanovenou v rozhodnutí o ročních výpůjčkách na rok 2023.</w:t>
            </w:r>
          </w:p>
          <w:p w14:paraId="219E35CA" w14:textId="77777777" w:rsidR="00FA6020" w:rsidRPr="00795FED" w:rsidRDefault="00FA6020" w:rsidP="008A34F5">
            <w:pPr>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Průměrná doba do splatnosti nesplaceného dluhu zůstala stabilní (přibližně 12 let).</w:t>
            </w:r>
          </w:p>
          <w:p w14:paraId="4D824074" w14:textId="77777777" w:rsidR="00FA6020" w:rsidRPr="00795FED" w:rsidRDefault="00FA6020" w:rsidP="008A34F5">
            <w:pPr>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Refinancování zůstalo rovněž stabilní, což je odrazem minulých emisí a souvisejícího profilu umořování.</w:t>
            </w:r>
          </w:p>
        </w:tc>
      </w:tr>
      <w:tr w:rsidR="00A824B4" w:rsidRPr="00795FED" w14:paraId="5CDD41AF"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3523CCFD" w14:textId="77777777" w:rsidR="00FA6020" w:rsidRPr="00795FED" w:rsidRDefault="00FA6020" w:rsidP="000A7085">
            <w:pPr>
              <w:jc w:val="left"/>
              <w:rPr>
                <w:noProof/>
                <w:sz w:val="20"/>
                <w:lang w:val="cs-CZ"/>
              </w:rPr>
            </w:pPr>
          </w:p>
        </w:tc>
        <w:tc>
          <w:tcPr>
            <w:tcW w:w="3264" w:type="dxa"/>
            <w:vMerge/>
          </w:tcPr>
          <w:p w14:paraId="397BCEBE" w14:textId="77777777" w:rsidR="00FA6020" w:rsidRPr="00795FED" w:rsidRDefault="00FA6020" w:rsidP="000A7085">
            <w:pPr>
              <w:pStyle w:val="ListParagraph"/>
              <w:numPr>
                <w:ilvl w:val="0"/>
                <w:numId w:val="28"/>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20"/>
                <w:lang w:val="cs-CZ"/>
              </w:rPr>
            </w:pPr>
          </w:p>
        </w:tc>
        <w:tc>
          <w:tcPr>
            <w:tcW w:w="2268" w:type="dxa"/>
            <w:shd w:val="clear" w:color="auto" w:fill="auto"/>
          </w:tcPr>
          <w:p w14:paraId="5DB717C7" w14:textId="77777777" w:rsidR="00FA6020" w:rsidRPr="00795FED" w:rsidRDefault="00FA6020" w:rsidP="00286E0A">
            <w:pPr>
              <w:pStyle w:val="ListParagraph"/>
              <w:numPr>
                <w:ilvl w:val="0"/>
                <w:numId w:val="21"/>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noProof/>
                <w:sz w:val="20"/>
                <w:lang w:val="cs-CZ"/>
              </w:rPr>
            </w:pPr>
            <w:r w:rsidRPr="00795FED">
              <w:rPr>
                <w:rFonts w:ascii="EC Square Sans Pro" w:hAnsi="EC Square Sans Pro"/>
                <w:i/>
                <w:noProof/>
                <w:sz w:val="20"/>
                <w:lang w:val="cs-CZ"/>
              </w:rPr>
              <w:t>Průměrná doba do splatnosti nesplaceného dluhu</w:t>
            </w:r>
          </w:p>
        </w:tc>
        <w:tc>
          <w:tcPr>
            <w:tcW w:w="2551" w:type="dxa"/>
            <w:shd w:val="clear" w:color="auto" w:fill="auto"/>
          </w:tcPr>
          <w:p w14:paraId="54181571" w14:textId="77777777" w:rsidR="00FA6020" w:rsidRPr="00795FED" w:rsidRDefault="00FA6020" w:rsidP="008A34F5">
            <w:pPr>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Přibližně 12 let.</w:t>
            </w:r>
          </w:p>
        </w:tc>
        <w:tc>
          <w:tcPr>
            <w:tcW w:w="4678" w:type="dxa"/>
            <w:vMerge/>
          </w:tcPr>
          <w:p w14:paraId="3AFB7C53" w14:textId="77777777" w:rsidR="00FA6020" w:rsidRPr="00795FED" w:rsidRDefault="00FA6020" w:rsidP="008A34F5">
            <w:pPr>
              <w:cnfStyle w:val="000000100000" w:firstRow="0" w:lastRow="0" w:firstColumn="0" w:lastColumn="0" w:oddVBand="0" w:evenVBand="0" w:oddHBand="1" w:evenHBand="0" w:firstRowFirstColumn="0" w:firstRowLastColumn="0" w:lastRowFirstColumn="0" w:lastRowLastColumn="0"/>
              <w:rPr>
                <w:noProof/>
                <w:sz w:val="20"/>
                <w:lang w:val="cs-CZ"/>
              </w:rPr>
            </w:pPr>
          </w:p>
        </w:tc>
      </w:tr>
      <w:tr w:rsidR="00A824B4" w:rsidRPr="00795FED" w14:paraId="5D4D6431" w14:textId="77777777" w:rsidTr="005952C7">
        <w:trPr>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2F2DC5FE" w14:textId="77777777" w:rsidR="00FA6020" w:rsidRPr="00795FED" w:rsidRDefault="00FA6020" w:rsidP="000A7085">
            <w:pPr>
              <w:jc w:val="left"/>
              <w:rPr>
                <w:noProof/>
                <w:sz w:val="20"/>
                <w:lang w:val="cs-CZ"/>
              </w:rPr>
            </w:pPr>
          </w:p>
        </w:tc>
        <w:tc>
          <w:tcPr>
            <w:tcW w:w="3264" w:type="dxa"/>
            <w:vMerge/>
          </w:tcPr>
          <w:p w14:paraId="0A117EF0" w14:textId="77777777" w:rsidR="00FA6020" w:rsidRPr="00795FED" w:rsidRDefault="00FA6020" w:rsidP="000A7085">
            <w:pPr>
              <w:pStyle w:val="ListParagraph"/>
              <w:numPr>
                <w:ilvl w:val="0"/>
                <w:numId w:val="28"/>
              </w:numPr>
              <w:spacing w:line="240" w:lineRule="auto"/>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noProof/>
                <w:color w:val="034EA2" w:themeColor="accent1"/>
                <w:sz w:val="20"/>
                <w:lang w:val="cs-CZ"/>
              </w:rPr>
            </w:pPr>
          </w:p>
        </w:tc>
        <w:tc>
          <w:tcPr>
            <w:tcW w:w="2268" w:type="dxa"/>
            <w:shd w:val="clear" w:color="auto" w:fill="auto"/>
          </w:tcPr>
          <w:p w14:paraId="5C3F729C" w14:textId="77777777" w:rsidR="00FA6020" w:rsidRPr="00795FED" w:rsidRDefault="00FA6020" w:rsidP="00286E0A">
            <w:pPr>
              <w:pStyle w:val="ListParagraph"/>
              <w:numPr>
                <w:ilvl w:val="0"/>
                <w:numId w:val="21"/>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noProof/>
                <w:sz w:val="20"/>
                <w:lang w:val="cs-CZ"/>
              </w:rPr>
            </w:pPr>
            <w:r w:rsidRPr="00795FED">
              <w:rPr>
                <w:rFonts w:ascii="EC Square Sans Pro" w:hAnsi="EC Square Sans Pro"/>
                <w:i/>
                <w:noProof/>
                <w:sz w:val="20"/>
                <w:lang w:val="cs-CZ"/>
              </w:rPr>
              <w:t>Refinancování v krátkodobém horizontu, tj. procento nesplacených dluhopisů a pokladničních poukázek se splatností v příštích 12 měsících</w:t>
            </w:r>
          </w:p>
        </w:tc>
        <w:tc>
          <w:tcPr>
            <w:tcW w:w="2551" w:type="dxa"/>
            <w:shd w:val="clear" w:color="auto" w:fill="auto"/>
          </w:tcPr>
          <w:p w14:paraId="091CB812" w14:textId="77777777" w:rsidR="00FA6020" w:rsidRPr="00795FED" w:rsidRDefault="00FA6020" w:rsidP="008A34F5">
            <w:pPr>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Méně než 10 %</w:t>
            </w:r>
          </w:p>
        </w:tc>
        <w:tc>
          <w:tcPr>
            <w:tcW w:w="4678" w:type="dxa"/>
            <w:vMerge/>
          </w:tcPr>
          <w:p w14:paraId="2DCE4582" w14:textId="77777777" w:rsidR="00FA6020" w:rsidRPr="00795FED" w:rsidRDefault="00FA6020" w:rsidP="008A34F5">
            <w:pPr>
              <w:cnfStyle w:val="000000000000" w:firstRow="0" w:lastRow="0" w:firstColumn="0" w:lastColumn="0" w:oddVBand="0" w:evenVBand="0" w:oddHBand="0" w:evenHBand="0" w:firstRowFirstColumn="0" w:firstRowLastColumn="0" w:lastRowFirstColumn="0" w:lastRowLastColumn="0"/>
              <w:rPr>
                <w:noProof/>
                <w:sz w:val="20"/>
                <w:lang w:val="cs-CZ"/>
              </w:rPr>
            </w:pPr>
          </w:p>
        </w:tc>
      </w:tr>
      <w:tr w:rsidR="00A824B4" w:rsidRPr="00795FED" w14:paraId="276475F0"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7D098F14" w14:textId="77777777" w:rsidR="00FA6020" w:rsidRPr="00795FED" w:rsidRDefault="00FA6020" w:rsidP="000A7085">
            <w:pPr>
              <w:jc w:val="left"/>
              <w:rPr>
                <w:noProof/>
                <w:sz w:val="20"/>
                <w:lang w:val="cs-CZ"/>
              </w:rPr>
            </w:pPr>
          </w:p>
        </w:tc>
        <w:tc>
          <w:tcPr>
            <w:tcW w:w="3264" w:type="dxa"/>
            <w:vMerge/>
          </w:tcPr>
          <w:p w14:paraId="72C2E5F4" w14:textId="77777777" w:rsidR="00FA6020" w:rsidRPr="00795FED" w:rsidRDefault="00FA6020" w:rsidP="000A7085">
            <w:pPr>
              <w:pStyle w:val="ListParagraph"/>
              <w:numPr>
                <w:ilvl w:val="0"/>
                <w:numId w:val="28"/>
              </w:numPr>
              <w:spacing w:line="240" w:lineRule="auto"/>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noProof/>
                <w:color w:val="034EA2" w:themeColor="accent1"/>
                <w:sz w:val="20"/>
                <w:lang w:val="cs-CZ"/>
              </w:rPr>
            </w:pPr>
          </w:p>
        </w:tc>
        <w:tc>
          <w:tcPr>
            <w:tcW w:w="2268" w:type="dxa"/>
            <w:shd w:val="clear" w:color="auto" w:fill="auto"/>
          </w:tcPr>
          <w:p w14:paraId="39FCACDD" w14:textId="77777777" w:rsidR="00FA6020" w:rsidRPr="00795FED" w:rsidRDefault="00FA6020" w:rsidP="00286E0A">
            <w:pPr>
              <w:pStyle w:val="ListParagraph"/>
              <w:numPr>
                <w:ilvl w:val="0"/>
                <w:numId w:val="21"/>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noProof/>
                <w:spacing w:val="-6"/>
                <w:sz w:val="20"/>
                <w:lang w:val="cs-CZ"/>
              </w:rPr>
            </w:pPr>
            <w:r w:rsidRPr="00795FED">
              <w:rPr>
                <w:rFonts w:ascii="EC Square Sans Pro" w:hAnsi="EC Square Sans Pro"/>
                <w:i/>
                <w:noProof/>
                <w:sz w:val="20"/>
                <w:lang w:val="cs-CZ"/>
              </w:rPr>
              <w:t>Refinancování ve střednědobém horizontu, tj. procento nesplacených dluhopisů a pokladničních poukázek se splatností v příštích 5 letech</w:t>
            </w:r>
          </w:p>
        </w:tc>
        <w:tc>
          <w:tcPr>
            <w:tcW w:w="2551" w:type="dxa"/>
            <w:shd w:val="clear" w:color="auto" w:fill="auto"/>
          </w:tcPr>
          <w:p w14:paraId="2D80716E" w14:textId="77777777" w:rsidR="00FA6020" w:rsidRPr="00795FED" w:rsidRDefault="00FA6020" w:rsidP="008A34F5">
            <w:pPr>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Méně než 35 %.</w:t>
            </w:r>
          </w:p>
        </w:tc>
        <w:tc>
          <w:tcPr>
            <w:tcW w:w="4678" w:type="dxa"/>
            <w:vMerge/>
          </w:tcPr>
          <w:p w14:paraId="338C45F4" w14:textId="77777777" w:rsidR="00FA6020" w:rsidRPr="00795FED" w:rsidRDefault="00FA6020" w:rsidP="008A34F5">
            <w:pPr>
              <w:cnfStyle w:val="000000100000" w:firstRow="0" w:lastRow="0" w:firstColumn="0" w:lastColumn="0" w:oddVBand="0" w:evenVBand="0" w:oddHBand="1" w:evenHBand="0" w:firstRowFirstColumn="0" w:firstRowLastColumn="0" w:lastRowFirstColumn="0" w:lastRowLastColumn="0"/>
              <w:rPr>
                <w:noProof/>
                <w:sz w:val="20"/>
                <w:lang w:val="cs-CZ"/>
              </w:rPr>
            </w:pPr>
          </w:p>
        </w:tc>
      </w:tr>
      <w:tr w:rsidR="008562DF" w:rsidRPr="00795FED" w14:paraId="6B94D5D3" w14:textId="77777777" w:rsidTr="005952C7">
        <w:trPr>
          <w:trHeight w:val="20"/>
        </w:trPr>
        <w:tc>
          <w:tcPr>
            <w:cnfStyle w:val="001000000000" w:firstRow="0" w:lastRow="0" w:firstColumn="1" w:lastColumn="0" w:oddVBand="0" w:evenVBand="0" w:oddHBand="0" w:evenHBand="0" w:firstRowFirstColumn="0" w:firstRowLastColumn="0" w:lastRowFirstColumn="0" w:lastRowLastColumn="0"/>
            <w:tcW w:w="1664" w:type="dxa"/>
            <w:vMerge w:val="restart"/>
            <w:shd w:val="clear" w:color="auto" w:fill="auto"/>
          </w:tcPr>
          <w:p w14:paraId="540D38ED" w14:textId="0DB43AA8" w:rsidR="00FA6020" w:rsidRPr="00795FED" w:rsidRDefault="00FA6020" w:rsidP="000A7085">
            <w:pPr>
              <w:jc w:val="left"/>
              <w:rPr>
                <w:noProof/>
                <w:color w:val="034EA2" w:themeColor="accent1"/>
                <w:sz w:val="20"/>
                <w:lang w:val="cs-CZ"/>
              </w:rPr>
            </w:pPr>
            <w:r w:rsidRPr="00795FED">
              <w:rPr>
                <w:noProof/>
                <w:color w:val="034EA2" w:themeColor="accent1"/>
                <w:sz w:val="20"/>
                <w:lang w:val="cs-CZ"/>
              </w:rPr>
              <w:t>Provádění programu pokladničních poukázek EU</w:t>
            </w:r>
          </w:p>
          <w:p w14:paraId="1A4DB38B" w14:textId="77777777" w:rsidR="00FA6020" w:rsidRPr="00795FED" w:rsidRDefault="00FA6020" w:rsidP="000A7085">
            <w:pPr>
              <w:jc w:val="left"/>
              <w:rPr>
                <w:noProof/>
                <w:sz w:val="20"/>
                <w:lang w:val="cs-CZ"/>
              </w:rPr>
            </w:pPr>
          </w:p>
        </w:tc>
        <w:tc>
          <w:tcPr>
            <w:tcW w:w="3264" w:type="dxa"/>
            <w:vMerge w:val="restart"/>
            <w:shd w:val="clear" w:color="auto" w:fill="auto"/>
          </w:tcPr>
          <w:p w14:paraId="016D59D0" w14:textId="2842C23A" w:rsidR="00FA6020" w:rsidRPr="00795FED" w:rsidRDefault="00FA6020" w:rsidP="000A7085">
            <w:pPr>
              <w:jc w:val="left"/>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Pravidelné vydávání pokladničních poukázek EU se splatností do jednoho roku prostřednictvím dražeb s cílem přilákat další investory (nebo další portfolia stávajících investorů) a podpořit řízení likvidity.</w:t>
            </w:r>
          </w:p>
        </w:tc>
        <w:tc>
          <w:tcPr>
            <w:tcW w:w="2268" w:type="dxa"/>
            <w:shd w:val="clear" w:color="auto" w:fill="auto"/>
          </w:tcPr>
          <w:p w14:paraId="3FDE7BD4" w14:textId="5F865BC1" w:rsidR="00FA6020" w:rsidRPr="00795FED" w:rsidRDefault="00FA6020" w:rsidP="008562DF">
            <w:pPr>
              <w:pStyle w:val="ListParagraph"/>
              <w:numPr>
                <w:ilvl w:val="0"/>
                <w:numId w:val="24"/>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cs="Times New Roman"/>
                <w:i/>
                <w:noProof/>
                <w:sz w:val="20"/>
                <w:lang w:val="cs-CZ"/>
              </w:rPr>
            </w:pPr>
            <w:r w:rsidRPr="00795FED">
              <w:rPr>
                <w:rFonts w:ascii="EC Square Sans Pro" w:hAnsi="EC Square Sans Pro"/>
                <w:i/>
                <w:noProof/>
                <w:sz w:val="20"/>
                <w:lang w:val="cs-CZ"/>
              </w:rPr>
              <w:t>Nesplacený objem pokladničních poukázek EU</w:t>
            </w:r>
          </w:p>
        </w:tc>
        <w:tc>
          <w:tcPr>
            <w:tcW w:w="2551" w:type="dxa"/>
            <w:shd w:val="clear" w:color="auto" w:fill="auto"/>
          </w:tcPr>
          <w:p w14:paraId="554152A6" w14:textId="77777777" w:rsidR="00FA6020" w:rsidRPr="00795FED" w:rsidRDefault="00FA6020" w:rsidP="008A34F5">
            <w:pPr>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15–19 miliard EUR</w:t>
            </w:r>
          </w:p>
        </w:tc>
        <w:tc>
          <w:tcPr>
            <w:tcW w:w="4678" w:type="dxa"/>
            <w:vMerge w:val="restart"/>
            <w:shd w:val="clear" w:color="auto" w:fill="auto"/>
          </w:tcPr>
          <w:p w14:paraId="460C93F4" w14:textId="77777777" w:rsidR="00FA6020" w:rsidRPr="00795FED" w:rsidRDefault="00FA6020" w:rsidP="008A34F5">
            <w:pPr>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Vzhledem k potřebám likvidity a objemům dlouhodobého financování zachovala Komise emise v rámci programu pokladničních poukázek EU na minimální úrovni. Až dvě dražby měsíčně se konaly jen proto, aby se pokryly požadavky na odkup. Nesplacený dluh v rámci programu pokladničních poukázek EU tak zůstal v daném období stabilní na úrovni přibližně 15–19 miliard EUR.</w:t>
            </w:r>
          </w:p>
        </w:tc>
      </w:tr>
      <w:tr w:rsidR="008562DF" w:rsidRPr="00795FED" w14:paraId="5329F637"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47DBE5DB" w14:textId="77777777" w:rsidR="00FA6020" w:rsidRPr="00795FED" w:rsidRDefault="00FA6020" w:rsidP="000A7085">
            <w:pPr>
              <w:jc w:val="left"/>
              <w:rPr>
                <w:b w:val="0"/>
                <w:noProof/>
                <w:color w:val="034EA2" w:themeColor="accent1"/>
                <w:sz w:val="20"/>
                <w:lang w:val="cs-CZ"/>
              </w:rPr>
            </w:pPr>
          </w:p>
        </w:tc>
        <w:tc>
          <w:tcPr>
            <w:tcW w:w="3264" w:type="dxa"/>
            <w:vMerge/>
          </w:tcPr>
          <w:p w14:paraId="5A0DD31B" w14:textId="77777777" w:rsidR="00FA6020" w:rsidRPr="00795FED" w:rsidRDefault="00FA6020" w:rsidP="000A7085">
            <w:pPr>
              <w:jc w:val="left"/>
              <w:cnfStyle w:val="000000100000" w:firstRow="0" w:lastRow="0" w:firstColumn="0" w:lastColumn="0" w:oddVBand="0" w:evenVBand="0" w:oddHBand="1" w:evenHBand="0" w:firstRowFirstColumn="0" w:firstRowLastColumn="0" w:lastRowFirstColumn="0" w:lastRowLastColumn="0"/>
              <w:rPr>
                <w:noProof/>
                <w:sz w:val="20"/>
                <w:lang w:val="cs-CZ"/>
              </w:rPr>
            </w:pPr>
          </w:p>
        </w:tc>
        <w:tc>
          <w:tcPr>
            <w:tcW w:w="2268" w:type="dxa"/>
            <w:shd w:val="clear" w:color="auto" w:fill="auto"/>
          </w:tcPr>
          <w:p w14:paraId="5F6896C3" w14:textId="77777777" w:rsidR="00FA6020" w:rsidRPr="00795FED" w:rsidRDefault="00FA6020" w:rsidP="00286E0A">
            <w:pPr>
              <w:pStyle w:val="ListParagraph"/>
              <w:numPr>
                <w:ilvl w:val="0"/>
                <w:numId w:val="24"/>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noProof/>
                <w:sz w:val="20"/>
                <w:lang w:val="cs-CZ"/>
              </w:rPr>
            </w:pPr>
            <w:r w:rsidRPr="00795FED">
              <w:rPr>
                <w:rFonts w:ascii="EC Square Sans Pro" w:hAnsi="EC Square Sans Pro"/>
                <w:i/>
                <w:noProof/>
                <w:sz w:val="20"/>
                <w:lang w:val="cs-CZ"/>
              </w:rPr>
              <w:t>Počet dražeb pokladničních směnek EU</w:t>
            </w:r>
          </w:p>
        </w:tc>
        <w:tc>
          <w:tcPr>
            <w:tcW w:w="2551" w:type="dxa"/>
            <w:shd w:val="clear" w:color="auto" w:fill="auto"/>
          </w:tcPr>
          <w:p w14:paraId="4A6C9C84" w14:textId="77777777" w:rsidR="00FA6020" w:rsidRPr="00795FED" w:rsidRDefault="00FA6020" w:rsidP="008A34F5">
            <w:pPr>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10</w:t>
            </w:r>
          </w:p>
        </w:tc>
        <w:tc>
          <w:tcPr>
            <w:tcW w:w="4678" w:type="dxa"/>
            <w:vMerge/>
          </w:tcPr>
          <w:p w14:paraId="43BD6073" w14:textId="77777777" w:rsidR="00FA6020" w:rsidRPr="00795FED" w:rsidRDefault="00FA6020" w:rsidP="008A34F5">
            <w:pPr>
              <w:cnfStyle w:val="000000100000" w:firstRow="0" w:lastRow="0" w:firstColumn="0" w:lastColumn="0" w:oddVBand="0" w:evenVBand="0" w:oddHBand="1" w:evenHBand="0" w:firstRowFirstColumn="0" w:firstRowLastColumn="0" w:lastRowFirstColumn="0" w:lastRowLastColumn="0"/>
              <w:rPr>
                <w:noProof/>
                <w:sz w:val="20"/>
                <w:lang w:val="cs-CZ"/>
              </w:rPr>
            </w:pPr>
          </w:p>
        </w:tc>
      </w:tr>
      <w:tr w:rsidR="00FA6020" w:rsidRPr="00795FED" w14:paraId="397880ED" w14:textId="77777777" w:rsidTr="005952C7">
        <w:trPr>
          <w:trHeight w:val="20"/>
        </w:trPr>
        <w:tc>
          <w:tcPr>
            <w:cnfStyle w:val="001000000000" w:firstRow="0" w:lastRow="0" w:firstColumn="1" w:lastColumn="0" w:oddVBand="0" w:evenVBand="0" w:oddHBand="0" w:evenHBand="0" w:firstRowFirstColumn="0" w:firstRowLastColumn="0" w:lastRowFirstColumn="0" w:lastRowLastColumn="0"/>
            <w:tcW w:w="1664" w:type="dxa"/>
            <w:shd w:val="clear" w:color="auto" w:fill="auto"/>
          </w:tcPr>
          <w:p w14:paraId="0BD77F0A" w14:textId="77777777" w:rsidR="00FA6020" w:rsidRPr="00795FED" w:rsidRDefault="00FA6020" w:rsidP="000A7085">
            <w:pPr>
              <w:jc w:val="left"/>
              <w:rPr>
                <w:noProof/>
                <w:color w:val="034EA2" w:themeColor="accent1"/>
                <w:sz w:val="20"/>
                <w:lang w:val="cs-CZ"/>
              </w:rPr>
            </w:pPr>
            <w:r w:rsidRPr="00795FED">
              <w:rPr>
                <w:noProof/>
                <w:color w:val="034EA2" w:themeColor="accent1"/>
                <w:sz w:val="20"/>
                <w:lang w:val="cs-CZ"/>
              </w:rPr>
              <w:t>Řízení likvidity</w:t>
            </w:r>
          </w:p>
          <w:p w14:paraId="65315B0D" w14:textId="77777777" w:rsidR="00FA6020" w:rsidRPr="00795FED" w:rsidRDefault="00FA6020" w:rsidP="000A7085">
            <w:pPr>
              <w:jc w:val="left"/>
              <w:rPr>
                <w:noProof/>
                <w:sz w:val="20"/>
                <w:lang w:val="cs-CZ"/>
              </w:rPr>
            </w:pPr>
          </w:p>
        </w:tc>
        <w:tc>
          <w:tcPr>
            <w:tcW w:w="3264" w:type="dxa"/>
            <w:shd w:val="clear" w:color="auto" w:fill="auto"/>
          </w:tcPr>
          <w:p w14:paraId="6F2F21A4" w14:textId="577614F2" w:rsidR="00FA6020" w:rsidRPr="00795FED" w:rsidRDefault="00FA6020" w:rsidP="000A7085">
            <w:pPr>
              <w:jc w:val="left"/>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Řízení fondu likvidity s ohledem na platební závazky, potřeby v oblasti výplaty prostředků a náklady na pokladní hotovost s náležitým ohledem na převládající podmínky na trhu.</w:t>
            </w:r>
          </w:p>
        </w:tc>
        <w:tc>
          <w:tcPr>
            <w:tcW w:w="2268" w:type="dxa"/>
            <w:shd w:val="clear" w:color="auto" w:fill="auto"/>
          </w:tcPr>
          <w:p w14:paraId="7E2A7787" w14:textId="77777777" w:rsidR="00FA6020" w:rsidRPr="00795FED" w:rsidRDefault="00FA6020" w:rsidP="00286E0A">
            <w:pPr>
              <w:pStyle w:val="ListParagraph"/>
              <w:numPr>
                <w:ilvl w:val="0"/>
                <w:numId w:val="25"/>
              </w:numPr>
              <w:spacing w:after="40" w:line="240" w:lineRule="auto"/>
              <w:ind w:left="226" w:hanging="113"/>
              <w:contextualSpacing w:val="0"/>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noProof/>
                <w:sz w:val="20"/>
                <w:lang w:val="cs-CZ"/>
              </w:rPr>
            </w:pPr>
            <w:r w:rsidRPr="00795FED">
              <w:rPr>
                <w:rFonts w:ascii="EC Square Sans Pro" w:hAnsi="EC Square Sans Pro"/>
                <w:i/>
                <w:noProof/>
                <w:sz w:val="20"/>
                <w:lang w:val="cs-CZ"/>
              </w:rPr>
              <w:t>Počet výpadků plateb z důvodu nedostatku likvidity</w:t>
            </w:r>
          </w:p>
        </w:tc>
        <w:tc>
          <w:tcPr>
            <w:tcW w:w="2551" w:type="dxa"/>
            <w:shd w:val="clear" w:color="auto" w:fill="auto"/>
          </w:tcPr>
          <w:p w14:paraId="3E386610" w14:textId="77777777" w:rsidR="00FA6020" w:rsidRPr="00795FED" w:rsidRDefault="00FA6020" w:rsidP="008D4CA4">
            <w:pPr>
              <w:jc w:val="left"/>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Žádná</w:t>
            </w:r>
          </w:p>
          <w:p w14:paraId="14B03C92" w14:textId="77777777" w:rsidR="00FA6020" w:rsidRPr="00795FED" w:rsidRDefault="00FA6020" w:rsidP="008D4CA4">
            <w:pPr>
              <w:jc w:val="left"/>
              <w:cnfStyle w:val="000000000000" w:firstRow="0" w:lastRow="0" w:firstColumn="0" w:lastColumn="0" w:oddVBand="0" w:evenVBand="0" w:oddHBand="0" w:evenHBand="0" w:firstRowFirstColumn="0" w:firstRowLastColumn="0" w:lastRowFirstColumn="0" w:lastRowLastColumn="0"/>
              <w:rPr>
                <w:noProof/>
                <w:sz w:val="20"/>
                <w:lang w:val="cs-CZ"/>
              </w:rPr>
            </w:pPr>
          </w:p>
        </w:tc>
        <w:tc>
          <w:tcPr>
            <w:tcW w:w="4678" w:type="dxa"/>
            <w:shd w:val="clear" w:color="auto" w:fill="auto"/>
          </w:tcPr>
          <w:p w14:paraId="48106ED3" w14:textId="77777777" w:rsidR="00FA6020" w:rsidRPr="00795FED" w:rsidRDefault="00FA6020" w:rsidP="008A34F5">
            <w:pPr>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Komise úspěšně plnila potřeby v oblasti výplat prostředků a v průběhu pololetí nedošlo k žádnému selhání při vypořádání.</w:t>
            </w:r>
          </w:p>
        </w:tc>
      </w:tr>
      <w:tr w:rsidR="00FA6020" w:rsidRPr="00795FED" w14:paraId="48FA4AD3"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shd w:val="clear" w:color="auto" w:fill="auto"/>
          </w:tcPr>
          <w:p w14:paraId="5EF6C9A1" w14:textId="77777777" w:rsidR="00FA6020" w:rsidRPr="00795FED" w:rsidRDefault="00FA6020" w:rsidP="000A7085">
            <w:pPr>
              <w:jc w:val="left"/>
              <w:rPr>
                <w:noProof/>
                <w:sz w:val="20"/>
                <w:lang w:val="cs-CZ"/>
              </w:rPr>
            </w:pPr>
            <w:r w:rsidRPr="00795FED">
              <w:rPr>
                <w:noProof/>
                <w:color w:val="034EA2" w:themeColor="accent1"/>
                <w:sz w:val="20"/>
                <w:lang w:val="cs-CZ"/>
              </w:rPr>
              <w:t>Síť primárních dealerů</w:t>
            </w:r>
          </w:p>
        </w:tc>
        <w:tc>
          <w:tcPr>
            <w:tcW w:w="3264" w:type="dxa"/>
            <w:shd w:val="clear" w:color="auto" w:fill="auto"/>
          </w:tcPr>
          <w:p w14:paraId="3CA214E8" w14:textId="1D922A1F" w:rsidR="00FA6020" w:rsidRPr="00795FED" w:rsidRDefault="00FA6020" w:rsidP="000A7085">
            <w:pPr>
              <w:jc w:val="left"/>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Přilákání široké škály finančních institucí, které projevují silné odhodlání podporovat emise EU.</w:t>
            </w:r>
          </w:p>
        </w:tc>
        <w:tc>
          <w:tcPr>
            <w:tcW w:w="2268" w:type="dxa"/>
            <w:shd w:val="clear" w:color="auto" w:fill="auto"/>
          </w:tcPr>
          <w:p w14:paraId="3108E5F1" w14:textId="77777777" w:rsidR="00FA6020" w:rsidRPr="00795FED" w:rsidRDefault="00FA6020" w:rsidP="00286E0A">
            <w:pPr>
              <w:pStyle w:val="ListParagraph"/>
              <w:numPr>
                <w:ilvl w:val="0"/>
                <w:numId w:val="13"/>
              </w:numPr>
              <w:spacing w:after="40" w:line="240" w:lineRule="auto"/>
              <w:ind w:left="226" w:hanging="113"/>
              <w:contextualSpacing w:val="0"/>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cs="Times New Roman"/>
                <w:i/>
                <w:noProof/>
                <w:sz w:val="20"/>
                <w:lang w:val="cs-CZ"/>
              </w:rPr>
            </w:pPr>
            <w:r w:rsidRPr="00795FED">
              <w:rPr>
                <w:rFonts w:ascii="EC Square Sans Pro" w:hAnsi="EC Square Sans Pro"/>
                <w:i/>
                <w:noProof/>
                <w:sz w:val="20"/>
                <w:lang w:val="cs-CZ"/>
              </w:rPr>
              <w:t>Počet institucí, které podepsaly upisovací závazky u transakcí za posledních 6 měsíců</w:t>
            </w:r>
          </w:p>
        </w:tc>
        <w:tc>
          <w:tcPr>
            <w:tcW w:w="2551" w:type="dxa"/>
            <w:shd w:val="clear" w:color="auto" w:fill="auto"/>
          </w:tcPr>
          <w:p w14:paraId="3D6A2A57" w14:textId="77777777" w:rsidR="00FA6020" w:rsidRPr="00795FED" w:rsidRDefault="00FA6020" w:rsidP="008D4CA4">
            <w:pPr>
              <w:jc w:val="left"/>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16 (v porovnání se 17 v druhé polovině roku 2022).</w:t>
            </w:r>
          </w:p>
        </w:tc>
        <w:tc>
          <w:tcPr>
            <w:tcW w:w="4678" w:type="dxa"/>
            <w:shd w:val="clear" w:color="auto" w:fill="auto"/>
          </w:tcPr>
          <w:p w14:paraId="37C2D88C" w14:textId="2D94058B" w:rsidR="00FA6020" w:rsidRPr="00795FED" w:rsidRDefault="00FA6020" w:rsidP="008A34F5">
            <w:pPr>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Primární dealeři v EU Komisi nadále podporovali a rotace při syndikaci pomohla Komisi co nejlépe využít všechny banky způsobilé účastnit se syndikátu.</w:t>
            </w:r>
          </w:p>
        </w:tc>
      </w:tr>
      <w:tr w:rsidR="004A4C37" w:rsidRPr="00795FED" w14:paraId="13FFCF79" w14:textId="77777777" w:rsidTr="005952C7">
        <w:trPr>
          <w:trHeight w:val="2094"/>
        </w:trPr>
        <w:tc>
          <w:tcPr>
            <w:cnfStyle w:val="001000000000" w:firstRow="0" w:lastRow="0" w:firstColumn="1" w:lastColumn="0" w:oddVBand="0" w:evenVBand="0" w:oddHBand="0" w:evenHBand="0" w:firstRowFirstColumn="0" w:firstRowLastColumn="0" w:lastRowFirstColumn="0" w:lastRowLastColumn="0"/>
            <w:tcW w:w="1664" w:type="dxa"/>
            <w:vMerge w:val="restart"/>
            <w:shd w:val="clear" w:color="auto" w:fill="auto"/>
          </w:tcPr>
          <w:p w14:paraId="451563EF" w14:textId="77777777" w:rsidR="00FA6020" w:rsidRPr="00795FED" w:rsidRDefault="00FA6020" w:rsidP="000A7085">
            <w:pPr>
              <w:jc w:val="left"/>
              <w:rPr>
                <w:noProof/>
                <w:sz w:val="20"/>
                <w:lang w:val="cs-CZ"/>
              </w:rPr>
            </w:pPr>
            <w:r w:rsidRPr="00795FED">
              <w:rPr>
                <w:noProof/>
                <w:color w:val="034EA2" w:themeColor="accent1"/>
                <w:sz w:val="20"/>
                <w:lang w:val="cs-CZ"/>
              </w:rPr>
              <w:t xml:space="preserve">Komunikace s různými zúčastněnými stranami na trhu a srovnatelnými emitenty </w:t>
            </w:r>
          </w:p>
        </w:tc>
        <w:tc>
          <w:tcPr>
            <w:tcW w:w="3264" w:type="dxa"/>
            <w:vMerge w:val="restart"/>
            <w:shd w:val="clear" w:color="auto" w:fill="auto"/>
          </w:tcPr>
          <w:p w14:paraId="7BB3E99B" w14:textId="3C20F6D8" w:rsidR="00FA6020" w:rsidRPr="00795FED" w:rsidRDefault="00FA6020" w:rsidP="000A7085">
            <w:pPr>
              <w:jc w:val="left"/>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Udržování a budování důvěry s investorskou základnou, účastníky trhu a srovnatelnými emitenty s cílem podpořit poptávku po dluhu EU a zlepšit znalosti EU o dynamice trhu a potřebách investorů.</w:t>
            </w:r>
          </w:p>
        </w:tc>
        <w:tc>
          <w:tcPr>
            <w:tcW w:w="2268" w:type="dxa"/>
            <w:shd w:val="clear" w:color="auto" w:fill="auto"/>
          </w:tcPr>
          <w:p w14:paraId="4015E20F" w14:textId="77777777" w:rsidR="00FA6020" w:rsidRPr="00795FED" w:rsidRDefault="00FA6020" w:rsidP="00286E0A">
            <w:pPr>
              <w:pStyle w:val="ListParagraph"/>
              <w:numPr>
                <w:ilvl w:val="0"/>
                <w:numId w:val="26"/>
              </w:numPr>
              <w:spacing w:after="40"/>
              <w:ind w:left="226" w:hanging="113"/>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noProof/>
                <w:sz w:val="20"/>
                <w:lang w:val="cs-CZ"/>
              </w:rPr>
            </w:pPr>
            <w:r w:rsidRPr="00795FED">
              <w:rPr>
                <w:rFonts w:ascii="EC Square Sans Pro" w:hAnsi="EC Square Sans Pro"/>
                <w:i/>
                <w:noProof/>
                <w:sz w:val="20"/>
                <w:lang w:val="cs-CZ"/>
              </w:rPr>
              <w:t xml:space="preserve">Odchylky od předem oznámených termínů zveřejnění plánů financování </w:t>
            </w:r>
          </w:p>
        </w:tc>
        <w:tc>
          <w:tcPr>
            <w:tcW w:w="2551" w:type="dxa"/>
            <w:shd w:val="clear" w:color="auto" w:fill="auto"/>
          </w:tcPr>
          <w:p w14:paraId="228E31F1" w14:textId="77777777" w:rsidR="00FA6020" w:rsidRPr="00795FED" w:rsidRDefault="00FA6020" w:rsidP="008D4CA4">
            <w:pPr>
              <w:jc w:val="left"/>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Žádné</w:t>
            </w:r>
          </w:p>
        </w:tc>
        <w:tc>
          <w:tcPr>
            <w:tcW w:w="4678" w:type="dxa"/>
            <w:vMerge w:val="restart"/>
            <w:shd w:val="clear" w:color="auto" w:fill="auto"/>
          </w:tcPr>
          <w:p w14:paraId="441EB1E2" w14:textId="77777777" w:rsidR="00FA6020" w:rsidRPr="00795FED" w:rsidRDefault="00FA6020" w:rsidP="00D154FF">
            <w:pPr>
              <w:spacing w:after="120"/>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Komise v souladu s předchozími oznámeními udržovala pravidelnou a předvídatelnou komunikaci s trhy. V aktuálním pololetí nedošlo k žádné odchylce mezi původním cílem v oblasti financování a oznámeným objemem transakcí financování. U dražeb dluhopisů však došlo ke snížení alokace o 3 miliardy EUR z důvodu zajištění atraktivních podmínek financování.</w:t>
            </w:r>
          </w:p>
          <w:p w14:paraId="689B01F1" w14:textId="77777777" w:rsidR="00FA6020" w:rsidRPr="00795FED" w:rsidRDefault="00FA6020" w:rsidP="008562DF">
            <w:pPr>
              <w:spacing w:after="120"/>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Komise pravidelně zveřejňovala statistiky investorů, které zůstaly stabilní, a nadále zaznamenávala nárůst diverzifikované investorské základny.</w:t>
            </w:r>
          </w:p>
          <w:p w14:paraId="1DA66866" w14:textId="77777777" w:rsidR="00FA6020" w:rsidRPr="00795FED" w:rsidRDefault="00FA6020" w:rsidP="008A34F5">
            <w:pPr>
              <w:cnfStyle w:val="000000000000" w:firstRow="0" w:lastRow="0" w:firstColumn="0" w:lastColumn="0" w:oddVBand="0" w:evenVBand="0" w:oddHBand="0" w:evenHBand="0" w:firstRowFirstColumn="0" w:firstRowLastColumn="0" w:lastRowFirstColumn="0" w:lastRowLastColumn="0"/>
              <w:rPr>
                <w:noProof/>
                <w:sz w:val="20"/>
                <w:lang w:val="cs-CZ"/>
              </w:rPr>
            </w:pPr>
          </w:p>
        </w:tc>
      </w:tr>
      <w:tr w:rsidR="004A4C37" w:rsidRPr="00795FED" w14:paraId="1BF95014" w14:textId="77777777" w:rsidTr="005952C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57C71432" w14:textId="77777777" w:rsidR="00FA6020" w:rsidRPr="00795FED" w:rsidRDefault="00FA6020" w:rsidP="000A7085">
            <w:pPr>
              <w:jc w:val="left"/>
              <w:rPr>
                <w:b w:val="0"/>
                <w:noProof/>
                <w:color w:val="034EA2" w:themeColor="accent1"/>
                <w:sz w:val="20"/>
                <w:lang w:val="cs-CZ"/>
              </w:rPr>
            </w:pPr>
          </w:p>
        </w:tc>
        <w:tc>
          <w:tcPr>
            <w:tcW w:w="3264" w:type="dxa"/>
            <w:vMerge/>
          </w:tcPr>
          <w:p w14:paraId="0B5EA7B2" w14:textId="77777777" w:rsidR="00FA6020" w:rsidRPr="00795FED" w:rsidRDefault="00FA6020" w:rsidP="000A7085">
            <w:pPr>
              <w:jc w:val="left"/>
              <w:cnfStyle w:val="000000100000" w:firstRow="0" w:lastRow="0" w:firstColumn="0" w:lastColumn="0" w:oddVBand="0" w:evenVBand="0" w:oddHBand="1" w:evenHBand="0" w:firstRowFirstColumn="0" w:firstRowLastColumn="0" w:lastRowFirstColumn="0" w:lastRowLastColumn="0"/>
              <w:rPr>
                <w:noProof/>
                <w:sz w:val="20"/>
                <w:lang w:val="cs-CZ"/>
              </w:rPr>
            </w:pPr>
          </w:p>
        </w:tc>
        <w:tc>
          <w:tcPr>
            <w:tcW w:w="2268" w:type="dxa"/>
            <w:shd w:val="clear" w:color="auto" w:fill="auto"/>
          </w:tcPr>
          <w:p w14:paraId="49540FDC" w14:textId="77777777" w:rsidR="00FA6020" w:rsidRPr="00795FED" w:rsidRDefault="00FA6020" w:rsidP="00286E0A">
            <w:pPr>
              <w:pStyle w:val="ListParagraph"/>
              <w:numPr>
                <w:ilvl w:val="0"/>
                <w:numId w:val="26"/>
              </w:numPr>
              <w:spacing w:after="40"/>
              <w:ind w:left="226" w:hanging="113"/>
              <w:jc w:val="left"/>
              <w:cnfStyle w:val="000000100000" w:firstRow="0" w:lastRow="0" w:firstColumn="0" w:lastColumn="0" w:oddVBand="0" w:evenVBand="0" w:oddHBand="1" w:evenHBand="0" w:firstRowFirstColumn="0" w:firstRowLastColumn="0" w:lastRowFirstColumn="0" w:lastRowLastColumn="0"/>
              <w:rPr>
                <w:rFonts w:ascii="EC Square Sans Pro" w:hAnsi="EC Square Sans Pro"/>
                <w:i/>
                <w:noProof/>
                <w:sz w:val="20"/>
                <w:lang w:val="cs-CZ"/>
              </w:rPr>
            </w:pPr>
            <w:r w:rsidRPr="00795FED">
              <w:rPr>
                <w:rFonts w:ascii="EC Square Sans Pro" w:hAnsi="EC Square Sans Pro"/>
                <w:i/>
                <w:noProof/>
                <w:sz w:val="20"/>
                <w:lang w:val="cs-CZ"/>
              </w:rPr>
              <w:t xml:space="preserve">Odchylka od objemů oznámených v plánu financování </w:t>
            </w:r>
          </w:p>
        </w:tc>
        <w:tc>
          <w:tcPr>
            <w:tcW w:w="2551" w:type="dxa"/>
            <w:shd w:val="clear" w:color="auto" w:fill="auto"/>
          </w:tcPr>
          <w:p w14:paraId="38F14D9A" w14:textId="09FFFD34" w:rsidR="00FA6020" w:rsidRPr="00795FED" w:rsidRDefault="00FA6020" w:rsidP="008D4CA4">
            <w:pPr>
              <w:jc w:val="left"/>
              <w:cnfStyle w:val="000000100000" w:firstRow="0" w:lastRow="0" w:firstColumn="0" w:lastColumn="0" w:oddVBand="0" w:evenVBand="0" w:oddHBand="1" w:evenHBand="0" w:firstRowFirstColumn="0" w:firstRowLastColumn="0" w:lastRowFirstColumn="0" w:lastRowLastColumn="0"/>
              <w:rPr>
                <w:noProof/>
                <w:sz w:val="20"/>
                <w:lang w:val="cs-CZ"/>
              </w:rPr>
            </w:pPr>
            <w:r w:rsidRPr="00795FED">
              <w:rPr>
                <w:noProof/>
                <w:sz w:val="20"/>
                <w:lang w:val="cs-CZ"/>
              </w:rPr>
              <w:t>Méně než 3 miliardy EUR nebo méně než 6 % (ve srovnání s méně než 2,5 % v první polovině roku 2023).</w:t>
            </w:r>
          </w:p>
        </w:tc>
        <w:tc>
          <w:tcPr>
            <w:tcW w:w="4678" w:type="dxa"/>
            <w:vMerge/>
          </w:tcPr>
          <w:p w14:paraId="1C3AEF41" w14:textId="77777777" w:rsidR="00FA6020" w:rsidRPr="00795FED" w:rsidRDefault="00FA6020" w:rsidP="008A34F5">
            <w:pPr>
              <w:cnfStyle w:val="000000100000" w:firstRow="0" w:lastRow="0" w:firstColumn="0" w:lastColumn="0" w:oddVBand="0" w:evenVBand="0" w:oddHBand="1" w:evenHBand="0" w:firstRowFirstColumn="0" w:firstRowLastColumn="0" w:lastRowFirstColumn="0" w:lastRowLastColumn="0"/>
              <w:rPr>
                <w:noProof/>
                <w:sz w:val="20"/>
                <w:lang w:val="cs-CZ"/>
              </w:rPr>
            </w:pPr>
          </w:p>
        </w:tc>
      </w:tr>
      <w:tr w:rsidR="004A4C37" w:rsidRPr="00795FED" w14:paraId="35B1EFFD" w14:textId="77777777" w:rsidTr="005952C7">
        <w:trPr>
          <w:trHeight w:val="20"/>
        </w:trPr>
        <w:tc>
          <w:tcPr>
            <w:cnfStyle w:val="001000000000" w:firstRow="0" w:lastRow="0" w:firstColumn="1" w:lastColumn="0" w:oddVBand="0" w:evenVBand="0" w:oddHBand="0" w:evenHBand="0" w:firstRowFirstColumn="0" w:firstRowLastColumn="0" w:lastRowFirstColumn="0" w:lastRowLastColumn="0"/>
            <w:tcW w:w="1664" w:type="dxa"/>
            <w:vMerge/>
          </w:tcPr>
          <w:p w14:paraId="4681E356" w14:textId="77777777" w:rsidR="00FA6020" w:rsidRPr="00795FED" w:rsidRDefault="00FA6020" w:rsidP="000A7085">
            <w:pPr>
              <w:jc w:val="left"/>
              <w:rPr>
                <w:b w:val="0"/>
                <w:noProof/>
                <w:color w:val="034EA2" w:themeColor="accent1"/>
                <w:sz w:val="20"/>
                <w:lang w:val="cs-CZ"/>
              </w:rPr>
            </w:pPr>
          </w:p>
        </w:tc>
        <w:tc>
          <w:tcPr>
            <w:tcW w:w="3264" w:type="dxa"/>
            <w:vMerge/>
          </w:tcPr>
          <w:p w14:paraId="7FFB2C6F" w14:textId="77777777" w:rsidR="00FA6020" w:rsidRPr="00795FED" w:rsidRDefault="00FA6020" w:rsidP="000A7085">
            <w:pPr>
              <w:jc w:val="left"/>
              <w:cnfStyle w:val="000000000000" w:firstRow="0" w:lastRow="0" w:firstColumn="0" w:lastColumn="0" w:oddVBand="0" w:evenVBand="0" w:oddHBand="0" w:evenHBand="0" w:firstRowFirstColumn="0" w:firstRowLastColumn="0" w:lastRowFirstColumn="0" w:lastRowLastColumn="0"/>
              <w:rPr>
                <w:noProof/>
                <w:sz w:val="20"/>
                <w:lang w:val="cs-CZ"/>
              </w:rPr>
            </w:pPr>
          </w:p>
        </w:tc>
        <w:tc>
          <w:tcPr>
            <w:tcW w:w="2268" w:type="dxa"/>
            <w:shd w:val="clear" w:color="auto" w:fill="auto"/>
          </w:tcPr>
          <w:p w14:paraId="61E4A87E" w14:textId="77777777" w:rsidR="00FA6020" w:rsidRPr="00795FED" w:rsidRDefault="00FA6020" w:rsidP="00286E0A">
            <w:pPr>
              <w:pStyle w:val="ListParagraph"/>
              <w:numPr>
                <w:ilvl w:val="0"/>
                <w:numId w:val="26"/>
              </w:numPr>
              <w:spacing w:after="40"/>
              <w:ind w:left="226" w:hanging="113"/>
              <w:jc w:val="left"/>
              <w:cnfStyle w:val="000000000000" w:firstRow="0" w:lastRow="0" w:firstColumn="0" w:lastColumn="0" w:oddVBand="0" w:evenVBand="0" w:oddHBand="0" w:evenHBand="0" w:firstRowFirstColumn="0" w:firstRowLastColumn="0" w:lastRowFirstColumn="0" w:lastRowLastColumn="0"/>
              <w:rPr>
                <w:rFonts w:ascii="EC Square Sans Pro" w:hAnsi="EC Square Sans Pro"/>
                <w:i/>
                <w:noProof/>
                <w:sz w:val="20"/>
                <w:lang w:val="cs-CZ"/>
              </w:rPr>
            </w:pPr>
            <w:r w:rsidRPr="00795FED">
              <w:rPr>
                <w:rFonts w:ascii="EC Square Sans Pro" w:hAnsi="EC Square Sans Pro"/>
                <w:i/>
                <w:noProof/>
                <w:sz w:val="20"/>
                <w:lang w:val="cs-CZ"/>
              </w:rPr>
              <w:t>Statistika rozdělení investorů</w:t>
            </w:r>
          </w:p>
        </w:tc>
        <w:tc>
          <w:tcPr>
            <w:tcW w:w="2551" w:type="dxa"/>
            <w:shd w:val="clear" w:color="auto" w:fill="auto"/>
          </w:tcPr>
          <w:p w14:paraId="2FACB354" w14:textId="649C9C1F" w:rsidR="00FA6020" w:rsidRPr="00795FED" w:rsidRDefault="00FA6020" w:rsidP="004A3236">
            <w:pPr>
              <w:jc w:val="left"/>
              <w:cnfStyle w:val="000000000000" w:firstRow="0" w:lastRow="0" w:firstColumn="0" w:lastColumn="0" w:oddVBand="0" w:evenVBand="0" w:oddHBand="0" w:evenHBand="0" w:firstRowFirstColumn="0" w:firstRowLastColumn="0" w:lastRowFirstColumn="0" w:lastRowLastColumn="0"/>
              <w:rPr>
                <w:noProof/>
                <w:sz w:val="20"/>
                <w:lang w:val="cs-CZ"/>
              </w:rPr>
            </w:pPr>
            <w:r w:rsidRPr="00795FED">
              <w:rPr>
                <w:noProof/>
                <w:sz w:val="20"/>
                <w:lang w:val="cs-CZ"/>
              </w:rPr>
              <w:t>Podle typu: centrální banky / státní instituce 30,8 %, finanční správy bank 30,0 %, správci fondů 19,1 %, pojišťovny a penzijní fondy 11,7 %, banky</w:t>
            </w:r>
            <w:r w:rsidRPr="00795FED">
              <w:rPr>
                <w:noProof/>
                <w:lang w:val="cs-CZ"/>
              </w:rPr>
              <w:t xml:space="preserve"> </w:t>
            </w:r>
            <w:r w:rsidRPr="00795FED">
              <w:rPr>
                <w:noProof/>
                <w:lang w:val="cs-CZ"/>
              </w:rPr>
              <w:br/>
            </w:r>
            <w:r w:rsidRPr="00795FED">
              <w:rPr>
                <w:noProof/>
                <w:sz w:val="20"/>
                <w:lang w:val="cs-CZ"/>
              </w:rPr>
              <w:t xml:space="preserve">5.9 %, hedgeové fondy </w:t>
            </w:r>
            <w:r w:rsidRPr="00795FED">
              <w:rPr>
                <w:noProof/>
                <w:lang w:val="cs-CZ"/>
              </w:rPr>
              <w:br/>
            </w:r>
            <w:r w:rsidRPr="00795FED">
              <w:rPr>
                <w:noProof/>
                <w:sz w:val="20"/>
                <w:lang w:val="cs-CZ"/>
              </w:rPr>
              <w:t xml:space="preserve">2.5 % Podle zemí/regionů: </w:t>
            </w:r>
            <w:r w:rsidRPr="00795FED">
              <w:rPr>
                <w:noProof/>
                <w:lang w:val="cs-CZ"/>
              </w:rPr>
              <w:br/>
            </w:r>
            <w:r w:rsidRPr="00795FED">
              <w:rPr>
                <w:noProof/>
                <w:sz w:val="20"/>
                <w:lang w:val="cs-CZ"/>
              </w:rPr>
              <w:t>Velká Británie 17,6 %, Benelux 16,2 %, Francie 12,3 %, Asie a Tichomoří 10,0 %, Německo 9,1 %, severské země 9,0 %, Itálie 7,6 %, ostatní země EU 6,6 %, Pyrenejský poloostrov 6,0 %, Severní a Jižní Amerika 2,1 %,</w:t>
            </w:r>
            <w:r w:rsidRPr="00795FED">
              <w:rPr>
                <w:noProof/>
                <w:lang w:val="cs-CZ"/>
              </w:rPr>
              <w:t xml:space="preserve"> </w:t>
            </w:r>
            <w:r w:rsidRPr="00795FED">
              <w:rPr>
                <w:noProof/>
                <w:lang w:val="cs-CZ"/>
              </w:rPr>
              <w:br/>
            </w:r>
            <w:r w:rsidRPr="00795FED">
              <w:rPr>
                <w:noProof/>
                <w:sz w:val="20"/>
                <w:lang w:val="cs-CZ"/>
              </w:rPr>
              <w:t>ostatní země Evropy 2,0 %, Blízký východ a Afrika 1,5 %</w:t>
            </w:r>
          </w:p>
        </w:tc>
        <w:tc>
          <w:tcPr>
            <w:tcW w:w="4678" w:type="dxa"/>
            <w:vMerge/>
          </w:tcPr>
          <w:p w14:paraId="0F687735" w14:textId="77777777" w:rsidR="00FA6020" w:rsidRPr="00795FED" w:rsidRDefault="00FA6020" w:rsidP="008A34F5">
            <w:pPr>
              <w:cnfStyle w:val="000000000000" w:firstRow="0" w:lastRow="0" w:firstColumn="0" w:lastColumn="0" w:oddVBand="0" w:evenVBand="0" w:oddHBand="0" w:evenHBand="0" w:firstRowFirstColumn="0" w:firstRowLastColumn="0" w:lastRowFirstColumn="0" w:lastRowLastColumn="0"/>
              <w:rPr>
                <w:noProof/>
                <w:sz w:val="20"/>
                <w:lang w:val="cs-CZ"/>
              </w:rPr>
            </w:pPr>
          </w:p>
        </w:tc>
      </w:tr>
    </w:tbl>
    <w:p w14:paraId="5CB7B63B" w14:textId="77777777" w:rsidR="00FA6020" w:rsidRPr="00795FED" w:rsidRDefault="00FA6020" w:rsidP="00F9742E">
      <w:pPr>
        <w:rPr>
          <w:b/>
          <w:noProof/>
          <w:lang w:val="cs-CZ"/>
        </w:rPr>
      </w:pPr>
    </w:p>
    <w:sectPr w:rsidR="00FA6020" w:rsidRPr="00795FED" w:rsidSect="00A046A3">
      <w:headerReference w:type="even" r:id="rId39"/>
      <w:headerReference w:type="default" r:id="rId40"/>
      <w:footerReference w:type="even" r:id="rId41"/>
      <w:footerReference w:type="default" r:id="rId42"/>
      <w:headerReference w:type="first" r:id="rId43"/>
      <w:footerReference w:type="first" r:id="rId44"/>
      <w:pgSz w:w="16839" w:h="11907"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1BBCF" w14:textId="77777777" w:rsidR="00615FE2" w:rsidRDefault="00615FE2" w:rsidP="008B6253">
      <w:pPr>
        <w:spacing w:after="0"/>
      </w:pPr>
      <w:r>
        <w:separator/>
      </w:r>
    </w:p>
  </w:endnote>
  <w:endnote w:type="continuationSeparator" w:id="0">
    <w:p w14:paraId="055D6DB8" w14:textId="77777777" w:rsidR="00615FE2" w:rsidRDefault="00615FE2" w:rsidP="008B6253">
      <w:pPr>
        <w:spacing w:after="0"/>
      </w:pPr>
      <w:r>
        <w:continuationSeparator/>
      </w:r>
    </w:p>
  </w:endnote>
  <w:endnote w:type="continuationNotice" w:id="1">
    <w:p w14:paraId="75540592" w14:textId="77777777" w:rsidR="00615FE2" w:rsidRDefault="00615F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 Square Sans Pro">
    <w:altName w:val="Calibri"/>
    <w:charset w:val="00"/>
    <w:family w:val="swiss"/>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Tung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FA9C1" w14:textId="0052E451" w:rsidR="001073E5" w:rsidRPr="001073E5" w:rsidRDefault="001073E5" w:rsidP="001073E5">
    <w:pPr>
      <w:pStyle w:val="FooterCoverPage"/>
      <w:rPr>
        <w:rFonts w:ascii="Arial" w:hAnsi="Arial" w:cs="Arial"/>
        <w:b/>
        <w:sz w:val="48"/>
      </w:rPr>
    </w:pPr>
    <w:r w:rsidRPr="001073E5">
      <w:rPr>
        <w:rFonts w:ascii="Arial" w:hAnsi="Arial" w:cs="Arial"/>
        <w:b/>
        <w:sz w:val="48"/>
      </w:rPr>
      <w:t>CS</w:t>
    </w:r>
    <w:r w:rsidRPr="001073E5">
      <w:rPr>
        <w:rFonts w:ascii="Arial" w:hAnsi="Arial" w:cs="Arial"/>
        <w:b/>
        <w:sz w:val="48"/>
      </w:rPr>
      <w:tab/>
    </w:r>
    <w:r w:rsidRPr="001073E5">
      <w:rPr>
        <w:rFonts w:ascii="Arial" w:hAnsi="Arial" w:cs="Arial"/>
        <w:b/>
        <w:sz w:val="48"/>
      </w:rPr>
      <w:tab/>
    </w:r>
    <w:r w:rsidRPr="001073E5">
      <w:tab/>
    </w:r>
    <w:r w:rsidRPr="001073E5">
      <w:rPr>
        <w:rFonts w:ascii="Arial" w:hAnsi="Arial" w:cs="Arial"/>
        <w:b/>
        <w:sz w:val="48"/>
      </w:rPr>
      <w:t>CS</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2FFC7" w14:textId="77777777" w:rsidR="001C2621" w:rsidRDefault="001C262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1F71" w14:textId="649A40BC" w:rsidR="001C2621" w:rsidRDefault="001C2621">
    <w:pPr>
      <w:pStyle w:val="Footer"/>
      <w:jc w:val="center"/>
    </w:pPr>
    <w:r>
      <w:fldChar w:fldCharType="begin"/>
    </w:r>
    <w:r>
      <w:instrText xml:space="preserve"> PAGE   \* MERGEFORMAT </w:instrText>
    </w:r>
    <w:r>
      <w:fldChar w:fldCharType="separate"/>
    </w:r>
    <w:r>
      <w:t>10</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856E" w14:textId="77777777" w:rsidR="001C2621" w:rsidRDefault="001C2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852A" w14:textId="3B93FBF2" w:rsidR="001073E5" w:rsidRPr="001073E5" w:rsidRDefault="001073E5" w:rsidP="001073E5">
    <w:pPr>
      <w:pStyle w:val="FooterCoverPage"/>
      <w:rPr>
        <w:rFonts w:ascii="Arial" w:hAnsi="Arial" w:cs="Arial"/>
        <w:b/>
        <w:sz w:val="48"/>
      </w:rPr>
    </w:pPr>
    <w:r w:rsidRPr="001073E5">
      <w:rPr>
        <w:rFonts w:ascii="Arial" w:hAnsi="Arial" w:cs="Arial"/>
        <w:b/>
        <w:sz w:val="48"/>
      </w:rPr>
      <w:t>CS</w:t>
    </w:r>
    <w:r w:rsidRPr="001073E5">
      <w:rPr>
        <w:rFonts w:ascii="Arial" w:hAnsi="Arial" w:cs="Arial"/>
        <w:b/>
        <w:sz w:val="48"/>
      </w:rPr>
      <w:tab/>
    </w:r>
    <w:r w:rsidRPr="001073E5">
      <w:rPr>
        <w:rFonts w:ascii="Arial" w:hAnsi="Arial" w:cs="Arial"/>
        <w:b/>
        <w:sz w:val="48"/>
      </w:rPr>
      <w:tab/>
    </w:r>
    <w:r w:rsidRPr="001073E5">
      <w:tab/>
    </w:r>
    <w:r w:rsidRPr="001073E5">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4668" w14:textId="77777777" w:rsidR="001073E5" w:rsidRPr="001073E5" w:rsidRDefault="001073E5" w:rsidP="001073E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73F5" w14:textId="77777777" w:rsidR="001C2621" w:rsidRDefault="001C26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C523" w14:textId="77777777" w:rsidR="001C2621" w:rsidRPr="007352EE" w:rsidRDefault="001C2621" w:rsidP="00BD68A5">
    <w:pPr>
      <w:pStyle w:val="FooterCoverPage"/>
      <w:rPr>
        <w:rFonts w:ascii="Arial" w:hAnsi="Arial" w:cs="Arial"/>
        <w:b/>
        <w:sz w:val="48"/>
      </w:rPr>
    </w:pPr>
    <w:r>
      <w:rPr>
        <w:rFonts w:ascii="Arial" w:hAnsi="Arial"/>
        <w:b/>
        <w:sz w:val="48"/>
      </w:rPr>
      <w:t>CS</w:t>
    </w:r>
    <w:r>
      <w:tab/>
    </w:r>
    <w:r>
      <w:tab/>
    </w:r>
    <w:r>
      <w:tab/>
    </w:r>
    <w:r>
      <w:rPr>
        <w:rFonts w:ascii="Arial" w:hAnsi="Arial"/>
        <w:b/>
        <w:sz w:val="48"/>
      </w:rPr>
      <w:t>CS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E83E4" w14:textId="77777777" w:rsidR="001C2621" w:rsidRDefault="001C262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B17A" w14:textId="77777777" w:rsidR="001C2621" w:rsidRDefault="001C262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095215"/>
      <w:docPartObj>
        <w:docPartGallery w:val="Page Numbers (Bottom of Page)"/>
        <w:docPartUnique/>
      </w:docPartObj>
    </w:sdtPr>
    <w:sdtEndPr/>
    <w:sdtContent>
      <w:p w14:paraId="19D1479D" w14:textId="561EF2E8" w:rsidR="001C2621" w:rsidRDefault="001C2621">
        <w:pPr>
          <w:pStyle w:val="Footer"/>
          <w:jc w:val="right"/>
        </w:pPr>
        <w:r>
          <w:fldChar w:fldCharType="begin"/>
        </w:r>
        <w:r>
          <w:instrText xml:space="preserve"> PAGE   \* MERGEFORMAT </w:instrText>
        </w:r>
        <w:r>
          <w:fldChar w:fldCharType="separate"/>
        </w:r>
        <w:r w:rsidR="001073E5">
          <w:rPr>
            <w:noProof/>
          </w:rPr>
          <w:t>11</w:t>
        </w:r>
        <w:r>
          <w:fldChar w:fldCharType="end"/>
        </w:r>
      </w:p>
    </w:sdtContent>
  </w:sdt>
  <w:p w14:paraId="0CB50D4F" w14:textId="77777777" w:rsidR="001C2621" w:rsidRDefault="001C262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D0206" w14:textId="77777777" w:rsidR="001C2621" w:rsidRDefault="001C2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DCB31" w14:textId="77777777" w:rsidR="00615FE2" w:rsidRDefault="00615FE2" w:rsidP="008B6253">
      <w:pPr>
        <w:spacing w:after="0"/>
      </w:pPr>
      <w:r>
        <w:separator/>
      </w:r>
    </w:p>
  </w:footnote>
  <w:footnote w:type="continuationSeparator" w:id="0">
    <w:p w14:paraId="54A6C2D4" w14:textId="77777777" w:rsidR="00615FE2" w:rsidRDefault="00615FE2" w:rsidP="008B6253">
      <w:pPr>
        <w:spacing w:after="0"/>
      </w:pPr>
      <w:r>
        <w:continuationSeparator/>
      </w:r>
    </w:p>
  </w:footnote>
  <w:footnote w:type="continuationNotice" w:id="1">
    <w:p w14:paraId="6D892983" w14:textId="77777777" w:rsidR="00615FE2" w:rsidRDefault="00615FE2">
      <w:pPr>
        <w:spacing w:after="0"/>
      </w:pPr>
    </w:p>
  </w:footnote>
  <w:footnote w:id="2">
    <w:p w14:paraId="1C12DD74" w14:textId="7688BCB8" w:rsidR="001C2621" w:rsidRPr="001A5608" w:rsidRDefault="001C2621">
      <w:pPr>
        <w:pStyle w:val="FootnoteText"/>
      </w:pPr>
      <w:r>
        <w:rPr>
          <w:rStyle w:val="FootnoteReference"/>
        </w:rPr>
        <w:footnoteRef/>
      </w:r>
      <w:r>
        <w:rPr>
          <w:rStyle w:val="FootnoteReference"/>
        </w:rPr>
        <w:t xml:space="preserve"> </w:t>
      </w:r>
      <w:r>
        <w:t>Evropský nástroj pro dočasnou podporu na zmírnění rizik nezaměstnanosti v mimořádné situaci (SURE).</w:t>
      </w:r>
    </w:p>
  </w:footnote>
  <w:footnote w:id="3">
    <w:p w14:paraId="22CC849F" w14:textId="5A7E6C7C" w:rsidR="00C12C05" w:rsidRPr="000659B4" w:rsidRDefault="000659B4" w:rsidP="00C12C05">
      <w:pPr>
        <w:pStyle w:val="FootnoteText"/>
        <w:ind w:left="0" w:firstLine="0"/>
      </w:pPr>
      <w:r>
        <w:rPr>
          <w:rStyle w:val="FootnoteReference"/>
        </w:rPr>
        <w:footnoteRef/>
      </w:r>
      <w:r>
        <w:rPr>
          <w:rStyle w:val="FootnoteReference"/>
        </w:rPr>
        <w:t xml:space="preserve"> </w:t>
      </w:r>
      <w:r>
        <w:t>V souladu s článkem 220a finančního nařízení (nařízení Evropského parlamentu a Rady (EU, Euratom) 2018/1046, kterým se stanoví finanční pravidla pro souhrnný rozpočet Unie).</w:t>
      </w:r>
    </w:p>
  </w:footnote>
  <w:footnote w:id="4">
    <w:p w14:paraId="434F6FC5" w14:textId="6E8E18EC" w:rsidR="005341C2" w:rsidRPr="000659B4" w:rsidRDefault="005341C2" w:rsidP="00ED2294">
      <w:pPr>
        <w:pStyle w:val="FootnoteText"/>
        <w:ind w:left="0" w:firstLine="0"/>
      </w:pPr>
      <w:r>
        <w:rPr>
          <w:rStyle w:val="FootnoteReference"/>
        </w:rPr>
        <w:footnoteRef/>
      </w:r>
      <w:r>
        <w:t xml:space="preserve"> Viz například výroční zprávy o </w:t>
      </w:r>
      <w:hyperlink r:id="rId1" w:history="1">
        <w:r>
          <w:rPr>
            <w:rStyle w:val="Hyperlink"/>
          </w:rPr>
          <w:t>Nástroji pro oživení a odolnost</w:t>
        </w:r>
      </w:hyperlink>
      <w:r>
        <w:t xml:space="preserve"> a </w:t>
      </w:r>
      <w:hyperlink r:id="rId2" w:history="1">
        <w:r>
          <w:rPr>
            <w:rStyle w:val="Hyperlink"/>
          </w:rPr>
          <w:t>makrofinanční pomoci</w:t>
        </w:r>
      </w:hyperlink>
      <w:r>
        <w:t xml:space="preserve"> a </w:t>
      </w:r>
      <w:hyperlink r:id="rId3" w:history="1">
        <w:r>
          <w:rPr>
            <w:rStyle w:val="Hyperlink"/>
          </w:rPr>
          <w:t>zpráva o alokaci peněžních prostředků získaných vydáním zelených dluhopisů v rámci nástroje NextGenerationEU a o dopadu těchto dluhopisů</w:t>
        </w:r>
      </w:hyperlink>
      <w:r>
        <w:t xml:space="preserve">. </w:t>
      </w:r>
    </w:p>
  </w:footnote>
  <w:footnote w:id="5">
    <w:p w14:paraId="741ACB73" w14:textId="54726DCA" w:rsidR="00B7513E" w:rsidRPr="000659B4" w:rsidRDefault="000659B4">
      <w:pPr>
        <w:pStyle w:val="FootnoteText"/>
      </w:pPr>
      <w:r>
        <w:rPr>
          <w:rStyle w:val="FootnoteReference"/>
        </w:rPr>
        <w:footnoteRef/>
      </w:r>
      <w:r>
        <w:t xml:space="preserve"> </w:t>
      </w:r>
      <w:hyperlink r:id="rId4" w:history="1">
        <w:r>
          <w:rPr>
            <w:rStyle w:val="Hyperlink"/>
          </w:rPr>
          <w:t>Zvláštní zpráva 16/2023:</w:t>
        </w:r>
      </w:hyperlink>
      <w:hyperlink r:id="rId5" w:history="1">
        <w:r>
          <w:rPr>
            <w:rStyle w:val="Hyperlink"/>
          </w:rPr>
          <w:t xml:space="preserve"> Jak Komise spravuje dluh nástroje Evropské unie na podporu oživení (NGEU)</w:t>
        </w:r>
      </w:hyperlink>
      <w:r>
        <w:t xml:space="preserve"> a </w:t>
      </w:r>
      <w:hyperlink r:id="rId6" w:history="1">
        <w:r>
          <w:rPr>
            <w:rStyle w:val="Hyperlink"/>
          </w:rPr>
          <w:t>odpovědi Komise</w:t>
        </w:r>
      </w:hyperlink>
      <w:r>
        <w:t>.</w:t>
      </w:r>
    </w:p>
  </w:footnote>
  <w:footnote w:id="6">
    <w:p w14:paraId="0269C524" w14:textId="30116DBB" w:rsidR="001C2621" w:rsidRPr="00B551F9" w:rsidRDefault="001C2621" w:rsidP="00C602C6">
      <w:pPr>
        <w:pStyle w:val="FootnoteText"/>
        <w:ind w:left="0" w:firstLine="0"/>
      </w:pPr>
      <w:r>
        <w:rPr>
          <w:rStyle w:val="FootnoteReference"/>
        </w:rPr>
        <w:footnoteRef/>
      </w:r>
      <w:r>
        <w:t xml:space="preserve"> Popis zastřešující strategie řízení dluhu je obsažen v pololetní zprávě o provádění výpůjčních a úvěrových operací EU za období od 1. ledna do 30. června 2023, viz </w:t>
      </w:r>
      <w:hyperlink r:id="rId7" w:history="1">
        <w:r>
          <w:rPr>
            <w:rStyle w:val="Hyperlink"/>
          </w:rPr>
          <w:t>Čtvrtá pololetní zpráva o provádění výpůjčních a úvěrových operací EU.PDF (europa.eu</w:t>
        </w:r>
      </w:hyperlink>
      <w:r>
        <w:t>).</w:t>
      </w:r>
    </w:p>
  </w:footnote>
  <w:footnote w:id="7">
    <w:p w14:paraId="17E3DEC6" w14:textId="54FD2090" w:rsidR="00681F32" w:rsidRPr="00681F32" w:rsidRDefault="00681F32" w:rsidP="00520896">
      <w:pPr>
        <w:pStyle w:val="FootnoteText"/>
        <w:ind w:left="0" w:firstLine="0"/>
      </w:pPr>
      <w:r>
        <w:rPr>
          <w:rStyle w:val="FootnoteReference"/>
        </w:rPr>
        <w:footnoteRef/>
      </w:r>
      <w:r>
        <w:t xml:space="preserve"> Prosinec bývá na finančních trzích klidným měsícem, jelikož investoři před koncem roku zpravidla uzavírají své účetnictví, což snižuje atraktivitu trhu pro primární emisi.</w:t>
      </w:r>
    </w:p>
  </w:footnote>
  <w:footnote w:id="8">
    <w:p w14:paraId="0AF853BC" w14:textId="6C2899E4" w:rsidR="001C2621" w:rsidRPr="00C44E47" w:rsidRDefault="001C2621" w:rsidP="00456D3B">
      <w:pPr>
        <w:pStyle w:val="FootnoteText"/>
        <w:ind w:left="113" w:hanging="113"/>
      </w:pPr>
      <w:r>
        <w:rPr>
          <w:rStyle w:val="FootnoteReference"/>
        </w:rPr>
        <w:footnoteRef/>
      </w:r>
      <w:r>
        <w:t xml:space="preserve"> Doposud přilákaly emise EU celkem více než 1 700 různých investorů ze 70 různých zemí. Více než 60 % investic do syndikací dluhopisů EU pochází od investorů ze zemí EU a více než 20 % od mezinárodních investorů působících ve Spojeném království. Zbylá část investic pochází od mezinárodních investorů z Asie nebo jiných evropských zemí mimo EU, např. Norska a Švýcarska. Více než 65 % vydaných dluhopisů EU koupili investoři se strategií „kup a drž“ (tj. správci fondů, pojišťovny, penzijní fondy a centrální banky / státní instituce). Dostatečně jsou také zastoupeni investoři, kteří požadují různé doby splatnosti. Centrální banky / státní instituce a finanční správy bank (které obvykle preferují investice se splatností do deseti let) se na nákupech dluhopisů EU na primárních trzích podílejí přibližně 45 %, </w:t>
      </w:r>
      <w:r>
        <w:br/>
        <w:t>zatímco penzijní fondy a pojišťovny (které preferují splatnosti nad deset let) představují téměř 15 %.</w:t>
      </w:r>
    </w:p>
  </w:footnote>
  <w:footnote w:id="9">
    <w:p w14:paraId="24050A48" w14:textId="3C0AF7D2" w:rsidR="001C2621" w:rsidRPr="006839E6" w:rsidRDefault="001C2621" w:rsidP="006839E6">
      <w:pPr>
        <w:pStyle w:val="FootnoteText"/>
        <w:ind w:left="113" w:hanging="113"/>
      </w:pPr>
      <w:r>
        <w:rPr>
          <w:rStyle w:val="FootnoteReference"/>
        </w:rPr>
        <w:footnoteRef/>
      </w:r>
      <w:r>
        <w:t xml:space="preserve"> Toto nové emisní ážio je prémie, kterou emitent platí, aby přesvědčil investory ke koupi svých dluhopisů na primárním trhu namísto sekundárního trhu. </w:t>
      </w:r>
    </w:p>
  </w:footnote>
  <w:footnote w:id="10">
    <w:p w14:paraId="7A49910E" w14:textId="5E19AE3A" w:rsidR="007B6993" w:rsidRPr="00D3721F" w:rsidRDefault="007B6993" w:rsidP="007B6993">
      <w:pPr>
        <w:pStyle w:val="FootnoteText"/>
        <w:ind w:left="113" w:hanging="113"/>
        <w:rPr>
          <w:vertAlign w:val="superscript"/>
        </w:rPr>
      </w:pPr>
      <w:r>
        <w:rPr>
          <w:rStyle w:val="FootnoteReference"/>
        </w:rPr>
        <w:footnoteRef/>
      </w:r>
      <w:r>
        <w:rPr>
          <w:rStyle w:val="FootnoteReference"/>
        </w:rPr>
        <w:t xml:space="preserve"> </w:t>
      </w:r>
      <w:r>
        <w:t>Vzniklé úrokové náklady jsou přidělovány do rozpočtu a členským státům, které dostávají půjčky, v souladu s metodikou stanovenou v prováděcím rozhodnutí Komise (EU) 2021/1095 a navazujícím prováděcím rozhodnutí Komise (EU) 2022/9701. Tato metodika rozlišuje tři různé kategorie nákladů: i) náklady na financování výplat nevratné podpory a půjček vypočtené pro šestiměsíční časové úseky, ii) náklady na držení a správu likvidity a iii) administrativní náklady.</w:t>
      </w:r>
    </w:p>
  </w:footnote>
  <w:footnote w:id="11">
    <w:p w14:paraId="53574F09" w14:textId="3BE0CFAD" w:rsidR="001C2621" w:rsidRPr="00520896" w:rsidRDefault="001C2621" w:rsidP="00E811A6">
      <w:pPr>
        <w:pStyle w:val="FootnoteText"/>
        <w:ind w:left="113" w:hanging="113"/>
      </w:pPr>
      <w:r>
        <w:rPr>
          <w:rStyle w:val="FootnoteReference"/>
        </w:rPr>
        <w:footnoteRef/>
      </w:r>
      <w:r>
        <w:t xml:space="preserve"> Například od 29. června 2023 uplatňuje ECB ve svém rámci kontroly rizik pro úvěrové operace stejnou srážku (tj. snížení hodnoty, pokud je cenný papír použit jako zajištění) na dluhopisy EU jako na dluhové nástroje vydané centrálními vládami.</w:t>
      </w:r>
    </w:p>
  </w:footnote>
  <w:footnote w:id="12">
    <w:p w14:paraId="343C48BD" w14:textId="216C3F62" w:rsidR="003824EB" w:rsidRPr="003824EB" w:rsidRDefault="003824EB">
      <w:pPr>
        <w:pStyle w:val="FootnoteText"/>
      </w:pPr>
      <w:r>
        <w:rPr>
          <w:rStyle w:val="FootnoteReference"/>
        </w:rPr>
        <w:footnoteRef/>
      </w:r>
      <w:r>
        <w:t xml:space="preserve"> Zúčastnilo se ho 128 respondentů. </w:t>
      </w:r>
    </w:p>
  </w:footnote>
  <w:footnote w:id="13">
    <w:p w14:paraId="7040FC31" w14:textId="77777777" w:rsidR="001C33B2" w:rsidRPr="006A74F1" w:rsidRDefault="001C33B2" w:rsidP="001C33B2">
      <w:pPr>
        <w:pStyle w:val="FootnoteText"/>
      </w:pPr>
      <w:r>
        <w:rPr>
          <w:rStyle w:val="FootnoteReference"/>
        </w:rPr>
        <w:footnoteRef/>
      </w:r>
      <w:r>
        <w:t xml:space="preserve"> Podrobnější informace o výsledcích průzkumu naleznete na internetových stránkách Komise </w:t>
      </w:r>
      <w:hyperlink r:id="rId8" w:history="1">
        <w:r>
          <w:rPr>
            <w:rStyle w:val="Hyperlink"/>
          </w:rPr>
          <w:t>zde</w:t>
        </w:r>
      </w:hyperlink>
      <w:r>
        <w:t>.</w:t>
      </w:r>
    </w:p>
  </w:footnote>
  <w:footnote w:id="14">
    <w:p w14:paraId="763F2236" w14:textId="20787A6A" w:rsidR="00456072" w:rsidRPr="002C7AD0" w:rsidRDefault="00456072" w:rsidP="00CF61A0">
      <w:pPr>
        <w:contextualSpacing/>
        <w:rPr>
          <w:sz w:val="20"/>
        </w:rPr>
      </w:pPr>
      <w:r>
        <w:rPr>
          <w:rStyle w:val="FootnoteReference"/>
        </w:rPr>
        <w:footnoteRef/>
      </w:r>
      <w:r>
        <w:t xml:space="preserve"> </w:t>
      </w:r>
      <w:r>
        <w:rPr>
          <w:sz w:val="20"/>
        </w:rPr>
        <w:t>Díky této službě Komise přejde od systému vypořádání, který zahrnuje komerční poskytovatele služeb vypořádání, k infrastruktuře vypořádání založené na Eurosystému, přičemž roli centrálního depozitáře cenných papírů emitenta a zástupce pro vypořádání (Issuer-CSD) převezme Belgická národní banka a ECB bude plnit roli platebního zástupce. Dluhové cenné papíry EU, které byly poprvé vydány před lednem 2024, se budou nadále řídit opatřeními Komise pro operace po uzavření obchodu před spuštěním služby pro vydávání dluhopisů EU, kdy jako depozitář cenných papírů vystupuje Clearstream Luxembourg a roli vypořádací banky má BNP Paribas Luxembourg. Koexistence starších systému vypořádání a služby pro vydávání dluhopisů EU nepředstavuje žádné provozní problémy.</w:t>
      </w:r>
    </w:p>
  </w:footnote>
  <w:footnote w:id="15">
    <w:p w14:paraId="754CEB10" w14:textId="047C104E" w:rsidR="00822BCC" w:rsidRPr="002C7AD0" w:rsidRDefault="00822BCC" w:rsidP="00A66DA5">
      <w:pPr>
        <w:spacing w:after="0"/>
        <w:contextualSpacing/>
        <w:rPr>
          <w:sz w:val="20"/>
        </w:rPr>
      </w:pPr>
      <w:r>
        <w:rPr>
          <w:rStyle w:val="FootnoteReference"/>
          <w:sz w:val="20"/>
        </w:rPr>
        <w:footnoteRef/>
      </w:r>
      <w:r>
        <w:rPr>
          <w:sz w:val="20"/>
        </w:rPr>
        <w:t xml:space="preserve"> Podrobnější informace o těchto rolích lze nalézt v dokumentu </w:t>
      </w:r>
      <w:hyperlink r:id="rId9" w:history="1">
        <w:r>
          <w:rPr>
            <w:rStyle w:val="Hyperlink"/>
            <w:sz w:val="20"/>
          </w:rPr>
          <w:t>Informativní přehled služby pro vydávání dluhopisů EU</w:t>
        </w:r>
      </w:hyperlink>
    </w:p>
  </w:footnote>
  <w:footnote w:id="16">
    <w:p w14:paraId="2038C92C" w14:textId="37EEBD79" w:rsidR="00E85E9C" w:rsidRPr="00D757BF" w:rsidRDefault="00E85E9C" w:rsidP="00822BCC">
      <w:pPr>
        <w:pStyle w:val="PlainText"/>
        <w:contextualSpacing/>
        <w:rPr>
          <w:rFonts w:ascii="EC Square Sans Pro" w:hAnsi="EC Square Sans Pro" w:cs="Times New Roman"/>
          <w:sz w:val="20"/>
        </w:rPr>
      </w:pPr>
      <w:r>
        <w:rPr>
          <w:rStyle w:val="FootnoteReference"/>
          <w:rFonts w:ascii="EC Square Sans Pro" w:hAnsi="EC Square Sans Pro" w:cs="Times New Roman"/>
          <w:sz w:val="20"/>
        </w:rPr>
        <w:footnoteRef/>
      </w:r>
      <w:r>
        <w:rPr>
          <w:rFonts w:ascii="EC Square Sans Pro" w:hAnsi="EC Square Sans Pro"/>
          <w:sz w:val="20"/>
        </w:rPr>
        <w:t xml:space="preserve"> </w:t>
      </w:r>
      <w:hyperlink r:id="rId10" w:history="1">
        <w:r>
          <w:rPr>
            <w:rStyle w:val="Hyperlink"/>
            <w:rFonts w:ascii="EC Square Sans Pro" w:hAnsi="EC Square Sans Pro"/>
            <w:sz w:val="20"/>
          </w:rPr>
          <w:t>Zpráva o alokaci peněžních prostředků získaných vydáním zelených dluhopisů v rámci nástroje NextGenerationEU a o dopadu těchto dluhopisů</w:t>
        </w:r>
      </w:hyperlink>
    </w:p>
  </w:footnote>
  <w:footnote w:id="17">
    <w:p w14:paraId="06509E8C" w14:textId="77777777" w:rsidR="00FA6020" w:rsidRPr="00D22BFC" w:rsidRDefault="00FA6020" w:rsidP="00FA6020">
      <w:pPr>
        <w:pStyle w:val="FootnoteText"/>
      </w:pPr>
      <w:r>
        <w:rPr>
          <w:rStyle w:val="FootnoteReference"/>
        </w:rPr>
        <w:footnoteRef/>
      </w:r>
      <w:r>
        <w:t xml:space="preserve"> Další informace o zelených dluhopisech nástroje NGEU naleznete v přehledu ukazatelů zelených dluhopisů nástroje NGEU zde: </w:t>
      </w:r>
      <w:hyperlink r:id="rId11" w:history="1">
        <w:r>
          <w:rPr>
            <w:rStyle w:val="Hyperlink"/>
          </w:rPr>
          <w:t>Přehled ukazatelů (europa.eu)</w:t>
        </w:r>
      </w:hyperlink>
    </w:p>
  </w:footnote>
  <w:footnote w:id="18">
    <w:p w14:paraId="5DDF07F8" w14:textId="77777777" w:rsidR="00FA6020" w:rsidRPr="00391716" w:rsidRDefault="00FA6020" w:rsidP="00FA6020">
      <w:pPr>
        <w:spacing w:after="0"/>
        <w:rPr>
          <w:sz w:val="18"/>
        </w:rPr>
      </w:pPr>
      <w:r>
        <w:rPr>
          <w:rStyle w:val="FootnoteReference"/>
          <w:sz w:val="18"/>
        </w:rPr>
        <w:footnoteRef/>
      </w:r>
      <w:r>
        <w:rPr>
          <w:sz w:val="18"/>
        </w:rPr>
        <w:t xml:space="preserve"> Na základě průměrného počtu měsíců mezi novou emisí a prvním navýšením při zohlednění nových linek navýšených v průběhu pololetí.</w:t>
      </w:r>
    </w:p>
    <w:p w14:paraId="5041AE41" w14:textId="77777777" w:rsidR="00FA6020" w:rsidRPr="00391716" w:rsidRDefault="00FA6020" w:rsidP="00A5711F">
      <w:pPr>
        <w:pStyle w:val="FootnoteText"/>
        <w:ind w:left="0" w:firstLine="0"/>
        <w:rPr>
          <w:sz w:val="18"/>
        </w:rPr>
      </w:pPr>
    </w:p>
  </w:footnote>
  <w:footnote w:id="19">
    <w:p w14:paraId="02C6C271" w14:textId="77777777" w:rsidR="00FA6020" w:rsidRPr="0002172B" w:rsidRDefault="00FA6020" w:rsidP="00FA6020">
      <w:pPr>
        <w:pStyle w:val="FootnoteText"/>
      </w:pPr>
      <w:r>
        <w:rPr>
          <w:rStyle w:val="FootnoteReference"/>
          <w:sz w:val="18"/>
        </w:rPr>
        <w:footnoteRef/>
      </w:r>
      <w:r>
        <w:t xml:space="preserve"> </w:t>
      </w:r>
      <w:r>
        <w:rPr>
          <w:sz w:val="18"/>
        </w:rPr>
        <w:t>Nesplacené dluhopisy oproti počtu dluhopisů ke konci pololetí. Na základě dluhopisů vydaných v rámci diverzifikované strategie financování.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2E93C" w14:textId="77777777" w:rsidR="001073E5" w:rsidRPr="001073E5" w:rsidRDefault="001073E5" w:rsidP="001073E5">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F7D7D" w14:textId="77777777" w:rsidR="001C2621" w:rsidRDefault="001C262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54C" w14:textId="77777777" w:rsidR="001C2621" w:rsidRDefault="001C262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6542" w14:textId="77777777" w:rsidR="001C2621" w:rsidRDefault="001C2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A5DA0" w14:textId="77777777" w:rsidR="001073E5" w:rsidRPr="001073E5" w:rsidRDefault="001073E5" w:rsidP="001073E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11EDE" w14:textId="77777777" w:rsidR="001073E5" w:rsidRPr="001073E5" w:rsidRDefault="001073E5" w:rsidP="001073E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2ED0" w14:textId="77777777" w:rsidR="001C2621" w:rsidRDefault="001C26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83EC3" w14:textId="77777777" w:rsidR="001C2621" w:rsidRDefault="001C26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5F291" w14:textId="77777777" w:rsidR="001C2621" w:rsidRDefault="001C26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06167" w14:textId="77777777" w:rsidR="001C2621" w:rsidRDefault="001C262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BCEE" w14:textId="77777777" w:rsidR="001C2621" w:rsidRPr="00657B16" w:rsidRDefault="001C2621" w:rsidP="008927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9C5B" w14:textId="77777777" w:rsidR="001C2621" w:rsidRDefault="001C2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7285"/>
    <w:multiLevelType w:val="hybridMultilevel"/>
    <w:tmpl w:val="03C0452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161A4A"/>
    <w:multiLevelType w:val="hybridMultilevel"/>
    <w:tmpl w:val="9D847452"/>
    <w:lvl w:ilvl="0" w:tplc="0D9A2F48">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BB670D"/>
    <w:multiLevelType w:val="hybridMultilevel"/>
    <w:tmpl w:val="7C3C86A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194ED2"/>
    <w:multiLevelType w:val="hybridMultilevel"/>
    <w:tmpl w:val="2B06D7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55A0B"/>
    <w:multiLevelType w:val="hybridMultilevel"/>
    <w:tmpl w:val="04DCAB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7E7CA7"/>
    <w:multiLevelType w:val="hybridMultilevel"/>
    <w:tmpl w:val="DC8443FA"/>
    <w:lvl w:ilvl="0" w:tplc="36305444">
      <w:start w:val="1"/>
      <w:numFmt w:val="bullet"/>
      <w:lvlText w:val="-"/>
      <w:lvlJc w:val="left"/>
      <w:pPr>
        <w:ind w:left="720" w:hanging="360"/>
      </w:pPr>
      <w:rPr>
        <w:rFonts w:ascii="EC Square Sans Pro" w:eastAsia="Times New Roman" w:hAnsi="EC Square Sans Pro" w:cs="Times New Roman" w:hint="default"/>
        <w:b/>
        <w:color w:val="70AD47" w:themeColor="accent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F05598"/>
    <w:multiLevelType w:val="hybridMultilevel"/>
    <w:tmpl w:val="2C3074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D43C7C"/>
    <w:multiLevelType w:val="hybridMultilevel"/>
    <w:tmpl w:val="58C04AA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614371"/>
    <w:multiLevelType w:val="hybridMultilevel"/>
    <w:tmpl w:val="7C3C86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A71202"/>
    <w:multiLevelType w:val="hybridMultilevel"/>
    <w:tmpl w:val="28CCA644"/>
    <w:lvl w:ilvl="0" w:tplc="111E0DF2">
      <w:start w:val="1"/>
      <w:numFmt w:val="bullet"/>
      <w:lvlText w:val=""/>
      <w:lvlJc w:val="left"/>
      <w:pPr>
        <w:ind w:left="720" w:hanging="360"/>
      </w:pPr>
      <w:rPr>
        <w:rFonts w:ascii="Symbol" w:hAnsi="Symbol" w:hint="default"/>
        <w:color w:val="034EA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84BB5"/>
    <w:multiLevelType w:val="hybridMultilevel"/>
    <w:tmpl w:val="DFC08A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751D3"/>
    <w:multiLevelType w:val="hybridMultilevel"/>
    <w:tmpl w:val="2CA2CE64"/>
    <w:lvl w:ilvl="0" w:tplc="6ECAA736">
      <w:start w:val="1"/>
      <w:numFmt w:val="lowerRoman"/>
      <w:lvlText w:val="%1."/>
      <w:lvlJc w:val="right"/>
      <w:pPr>
        <w:ind w:left="720" w:hanging="360"/>
      </w:pPr>
      <w:rPr>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E24E98"/>
    <w:multiLevelType w:val="hybridMultilevel"/>
    <w:tmpl w:val="E37CC0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20080"/>
    <w:multiLevelType w:val="hybridMultilevel"/>
    <w:tmpl w:val="9D4E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473A4"/>
    <w:multiLevelType w:val="hybridMultilevel"/>
    <w:tmpl w:val="6D3E5978"/>
    <w:lvl w:ilvl="0" w:tplc="CDBC193C">
      <w:start w:val="1"/>
      <w:numFmt w:val="bullet"/>
      <w:lvlText w:val=""/>
      <w:lvlJc w:val="left"/>
      <w:pPr>
        <w:ind w:left="360" w:hanging="360"/>
      </w:pPr>
      <w:rPr>
        <w:rFonts w:ascii="Symbol" w:hAnsi="Symbol" w:hint="default"/>
        <w:color w:val="034EA2"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112BB0"/>
    <w:multiLevelType w:val="hybridMultilevel"/>
    <w:tmpl w:val="E9527C90"/>
    <w:lvl w:ilvl="0" w:tplc="0F465D34">
      <w:start w:val="12"/>
      <w:numFmt w:val="bullet"/>
      <w:lvlText w:val="-"/>
      <w:lvlJc w:val="left"/>
      <w:pPr>
        <w:ind w:left="720" w:hanging="360"/>
      </w:pPr>
      <w:rPr>
        <w:rFonts w:ascii="Verdana" w:eastAsia="Times New Roman" w:hAnsi="Verdana"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0A63F3E"/>
    <w:multiLevelType w:val="hybridMultilevel"/>
    <w:tmpl w:val="15F6BF5C"/>
    <w:lvl w:ilvl="0" w:tplc="FFFFFFFF">
      <w:start w:val="4"/>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1E926F6"/>
    <w:multiLevelType w:val="hybridMultilevel"/>
    <w:tmpl w:val="9282F37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D205736"/>
    <w:multiLevelType w:val="multilevel"/>
    <w:tmpl w:val="FC98DC46"/>
    <w:lvl w:ilvl="0">
      <w:start w:val="1"/>
      <w:numFmt w:val="decimal"/>
      <w:pStyle w:val="Heading1"/>
      <w:lvlText w:val="%1."/>
      <w:lvlJc w:val="left"/>
      <w:pPr>
        <w:ind w:left="502" w:hanging="360"/>
      </w:pPr>
    </w:lvl>
    <w:lvl w:ilvl="1">
      <w:start w:val="2"/>
      <w:numFmt w:val="decimal"/>
      <w:isLgl/>
      <w:lvlText w:val="%1.%2"/>
      <w:lvlJc w:val="left"/>
      <w:pPr>
        <w:ind w:left="720" w:hanging="360"/>
      </w:pPr>
      <w:rPr>
        <w:rFonts w:hint="default"/>
        <w:b/>
      </w:rPr>
    </w:lvl>
    <w:lvl w:ilvl="2">
      <w:start w:val="1"/>
      <w:numFmt w:val="decimalZero"/>
      <w:isLgl/>
      <w:lvlText w:val="%1.%2.%3"/>
      <w:lvlJc w:val="left"/>
      <w:pPr>
        <w:ind w:left="1298" w:hanging="720"/>
      </w:pPr>
      <w:rPr>
        <w:rFonts w:hint="default"/>
        <w:b/>
      </w:rPr>
    </w:lvl>
    <w:lvl w:ilvl="3">
      <w:start w:val="1"/>
      <w:numFmt w:val="decimal"/>
      <w:isLgl/>
      <w:lvlText w:val="%1.%2.%3.%4"/>
      <w:lvlJc w:val="left"/>
      <w:pPr>
        <w:ind w:left="1516" w:hanging="720"/>
      </w:pPr>
      <w:rPr>
        <w:rFonts w:hint="default"/>
        <w:b/>
      </w:rPr>
    </w:lvl>
    <w:lvl w:ilvl="4">
      <w:start w:val="1"/>
      <w:numFmt w:val="decimal"/>
      <w:isLgl/>
      <w:lvlText w:val="%1.%2.%3.%4.%5"/>
      <w:lvlJc w:val="left"/>
      <w:pPr>
        <w:ind w:left="2094" w:hanging="1080"/>
      </w:pPr>
      <w:rPr>
        <w:rFonts w:hint="default"/>
        <w:b/>
      </w:rPr>
    </w:lvl>
    <w:lvl w:ilvl="5">
      <w:start w:val="1"/>
      <w:numFmt w:val="decimal"/>
      <w:isLgl/>
      <w:lvlText w:val="%1.%2.%3.%4.%5.%6"/>
      <w:lvlJc w:val="left"/>
      <w:pPr>
        <w:ind w:left="2312" w:hanging="1080"/>
      </w:pPr>
      <w:rPr>
        <w:rFonts w:hint="default"/>
        <w:b/>
      </w:rPr>
    </w:lvl>
    <w:lvl w:ilvl="6">
      <w:start w:val="1"/>
      <w:numFmt w:val="decimal"/>
      <w:isLgl/>
      <w:lvlText w:val="%1.%2.%3.%4.%5.%6.%7"/>
      <w:lvlJc w:val="left"/>
      <w:pPr>
        <w:ind w:left="2890" w:hanging="1440"/>
      </w:pPr>
      <w:rPr>
        <w:rFonts w:hint="default"/>
        <w:b/>
      </w:rPr>
    </w:lvl>
    <w:lvl w:ilvl="7">
      <w:start w:val="1"/>
      <w:numFmt w:val="decimal"/>
      <w:isLgl/>
      <w:lvlText w:val="%1.%2.%3.%4.%5.%6.%7.%8"/>
      <w:lvlJc w:val="left"/>
      <w:pPr>
        <w:ind w:left="3468" w:hanging="1800"/>
      </w:pPr>
      <w:rPr>
        <w:rFonts w:hint="default"/>
        <w:b/>
      </w:rPr>
    </w:lvl>
    <w:lvl w:ilvl="8">
      <w:start w:val="1"/>
      <w:numFmt w:val="decimal"/>
      <w:isLgl/>
      <w:lvlText w:val="%1.%2.%3.%4.%5.%6.%7.%8.%9"/>
      <w:lvlJc w:val="left"/>
      <w:pPr>
        <w:ind w:left="3686" w:hanging="1800"/>
      </w:pPr>
      <w:rPr>
        <w:rFonts w:hint="default"/>
        <w:b/>
      </w:rPr>
    </w:lvl>
  </w:abstractNum>
  <w:abstractNum w:abstractNumId="19" w15:restartNumberingAfterBreak="0">
    <w:nsid w:val="65926EE4"/>
    <w:multiLevelType w:val="hybridMultilevel"/>
    <w:tmpl w:val="D26402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32E50"/>
    <w:multiLevelType w:val="hybridMultilevel"/>
    <w:tmpl w:val="D80CFA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5426B"/>
    <w:multiLevelType w:val="hybridMultilevel"/>
    <w:tmpl w:val="04DCAB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2166D"/>
    <w:multiLevelType w:val="hybridMultilevel"/>
    <w:tmpl w:val="135AE8A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C140E52"/>
    <w:multiLevelType w:val="hybridMultilevel"/>
    <w:tmpl w:val="3188A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F34744"/>
    <w:multiLevelType w:val="hybridMultilevel"/>
    <w:tmpl w:val="88DCC72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D7B3804"/>
    <w:multiLevelType w:val="hybridMultilevel"/>
    <w:tmpl w:val="9282F37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DB27204"/>
    <w:multiLevelType w:val="hybridMultilevel"/>
    <w:tmpl w:val="15F6BF5C"/>
    <w:lvl w:ilvl="0" w:tplc="04090017">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3"/>
  </w:num>
  <w:num w:numId="3">
    <w:abstractNumId w:val="1"/>
  </w:num>
  <w:num w:numId="4">
    <w:abstractNumId w:val="15"/>
  </w:num>
  <w:num w:numId="5">
    <w:abstractNumId w:val="6"/>
  </w:num>
  <w:num w:numId="6">
    <w:abstractNumId w:val="8"/>
  </w:num>
  <w:num w:numId="7">
    <w:abstractNumId w:val="10"/>
  </w:num>
  <w:num w:numId="8">
    <w:abstractNumId w:val="12"/>
  </w:num>
  <w:num w:numId="9">
    <w:abstractNumId w:val="3"/>
  </w:num>
  <w:num w:numId="10">
    <w:abstractNumId w:val="9"/>
  </w:num>
  <w:num w:numId="11">
    <w:abstractNumId w:val="20"/>
  </w:num>
  <w:num w:numId="12">
    <w:abstractNumId w:val="19"/>
  </w:num>
  <w:num w:numId="13">
    <w:abstractNumId w:val="21"/>
  </w:num>
  <w:num w:numId="14">
    <w:abstractNumId w:val="26"/>
  </w:num>
  <w:num w:numId="15">
    <w:abstractNumId w:val="14"/>
  </w:num>
  <w:num w:numId="16">
    <w:abstractNumId w:val="4"/>
  </w:num>
  <w:num w:numId="17">
    <w:abstractNumId w:val="13"/>
  </w:num>
  <w:num w:numId="1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7"/>
  </w:num>
  <w:num w:numId="22">
    <w:abstractNumId w:val="24"/>
  </w:num>
  <w:num w:numId="23">
    <w:abstractNumId w:val="25"/>
  </w:num>
  <w:num w:numId="24">
    <w:abstractNumId w:val="0"/>
  </w:num>
  <w:num w:numId="25">
    <w:abstractNumId w:val="11"/>
  </w:num>
  <w:num w:numId="26">
    <w:abstractNumId w:val="22"/>
  </w:num>
  <w:num w:numId="27">
    <w:abstractNumId w:val="2"/>
  </w:num>
  <w:num w:numId="28">
    <w:abstractNumId w:val="16"/>
  </w:num>
  <w:num w:numId="2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A820C4A8-A62F-4AD2-9828-4A496102A8BA"/>
    <w:docVar w:name="LW_COVERPAGE_TYPE" w:val="1"/>
    <w:docVar w:name="LW_CROSSREFERENCE" w:val="&lt;UNUSED&gt;"/>
    <w:docVar w:name="LW_DocType" w:val="NORMAL"/>
    <w:docVar w:name="LW_EMISSION" w:val="22.2.2024"/>
    <w:docVar w:name="LW_EMISSION_ISODATE" w:val="2024-02-22"/>
    <w:docVar w:name="LW_EMISSION_LOCATION" w:val="BRX"/>
    <w:docVar w:name="LW_EMISSION_PREFIX" w:val="V Bruselu dne "/>
    <w:docVar w:name="LW_EMISSION_SUFFIX" w:val=" "/>
    <w:docVar w:name="LW_ID_DOCTYPE_NONLW" w:val="CP-006"/>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24) 9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loletní zpráva o provád\u283?ní výp\u367?j\u269?ních operací, operací \u345?ízení dluhu a souvisejících úv\u283?rových operací podle \u269?lánku 12 provád\u283?cího rozhodnutí Komise C(2022) 9700_x000d__x000d__x000d__x000d__x000d__x000d__x000d__x000d__x000d__x000d__x000b__x000d__x000d__x000d__x000d__x000d__x000d__x000d__x000d__x000d__x000d__x000b__x000d__x000d__x000d__x000d__x000d__x000d__x000d__x000d__x000d__x000d__x000d__x000d__x000d__x000d__x000d__x000d__x000d__x000b__x000d__x000d__x000d__x000d__x000d__x000d__x000d__x000d__x000d__x000d__x000d__x000d__x000d__x000d__x000d__x000d__x000b__x000d_1. \u269?ervence 2023 &lt;FMT:Font=EC Square Sans Pro&gt;\u8211? &lt;/FMT&gt;31. prosince 2023_x000d__x000d__x000d__x000d__x000d__x000d__x000d__x000d__x000d__x000d__x000d__x000d__x000d__x000d__x000d__x000d__x000d__x000b__x000d__x000d__x000d__x000d__x000d__x000d__x000d__x000d__x000d__x000d__x000d__x000d__x000d__x000d__x000d__x000d__x000b__x000d_"/>
    <w:docVar w:name="LW_TYPE.DOC.CP" w:val="ZPRÁVA KOMISE EVROPSKÉMU PARLAMENTU A RAD\u282?"/>
    <w:docVar w:name="LwApiVersions" w:val="LW4CoDe 1.24.5.0; LW 9.0, Build 20240221"/>
  </w:docVars>
  <w:rsids>
    <w:rsidRoot w:val="008B6253"/>
    <w:rsid w:val="000025FB"/>
    <w:rsid w:val="000027C3"/>
    <w:rsid w:val="00003760"/>
    <w:rsid w:val="00003B2C"/>
    <w:rsid w:val="00007866"/>
    <w:rsid w:val="000123E4"/>
    <w:rsid w:val="00012D54"/>
    <w:rsid w:val="00013AFC"/>
    <w:rsid w:val="00015055"/>
    <w:rsid w:val="0001773F"/>
    <w:rsid w:val="00017F73"/>
    <w:rsid w:val="0002126B"/>
    <w:rsid w:val="00026571"/>
    <w:rsid w:val="00030B16"/>
    <w:rsid w:val="00031566"/>
    <w:rsid w:val="000339B4"/>
    <w:rsid w:val="00036A07"/>
    <w:rsid w:val="0004137B"/>
    <w:rsid w:val="0004459A"/>
    <w:rsid w:val="0004607D"/>
    <w:rsid w:val="000500DD"/>
    <w:rsid w:val="00052FDD"/>
    <w:rsid w:val="00055E40"/>
    <w:rsid w:val="00056D87"/>
    <w:rsid w:val="000571C9"/>
    <w:rsid w:val="000623CD"/>
    <w:rsid w:val="0006518B"/>
    <w:rsid w:val="000659B4"/>
    <w:rsid w:val="00067AC8"/>
    <w:rsid w:val="0007609D"/>
    <w:rsid w:val="000761D2"/>
    <w:rsid w:val="000770E1"/>
    <w:rsid w:val="000804D7"/>
    <w:rsid w:val="00080B80"/>
    <w:rsid w:val="000811DA"/>
    <w:rsid w:val="000830C3"/>
    <w:rsid w:val="00084648"/>
    <w:rsid w:val="0009189C"/>
    <w:rsid w:val="0009414B"/>
    <w:rsid w:val="00095BFD"/>
    <w:rsid w:val="00096802"/>
    <w:rsid w:val="00097D72"/>
    <w:rsid w:val="000A0545"/>
    <w:rsid w:val="000A0885"/>
    <w:rsid w:val="000A1136"/>
    <w:rsid w:val="000A7085"/>
    <w:rsid w:val="000B4EF5"/>
    <w:rsid w:val="000B5255"/>
    <w:rsid w:val="000C26FE"/>
    <w:rsid w:val="000C3CD5"/>
    <w:rsid w:val="000C5D88"/>
    <w:rsid w:val="000D008A"/>
    <w:rsid w:val="000D213D"/>
    <w:rsid w:val="000D2596"/>
    <w:rsid w:val="000D2B51"/>
    <w:rsid w:val="000E2B98"/>
    <w:rsid w:val="000E5D4B"/>
    <w:rsid w:val="000F037D"/>
    <w:rsid w:val="001004B8"/>
    <w:rsid w:val="00102D9B"/>
    <w:rsid w:val="00103A63"/>
    <w:rsid w:val="00105940"/>
    <w:rsid w:val="001073E5"/>
    <w:rsid w:val="00113042"/>
    <w:rsid w:val="001137FB"/>
    <w:rsid w:val="00121CE9"/>
    <w:rsid w:val="0013129F"/>
    <w:rsid w:val="0013341B"/>
    <w:rsid w:val="001337A8"/>
    <w:rsid w:val="001359B6"/>
    <w:rsid w:val="0013697B"/>
    <w:rsid w:val="00137822"/>
    <w:rsid w:val="00137CF7"/>
    <w:rsid w:val="001401DA"/>
    <w:rsid w:val="00140C8A"/>
    <w:rsid w:val="00141100"/>
    <w:rsid w:val="00142200"/>
    <w:rsid w:val="00142F64"/>
    <w:rsid w:val="00143B58"/>
    <w:rsid w:val="00146211"/>
    <w:rsid w:val="0015107E"/>
    <w:rsid w:val="001574CF"/>
    <w:rsid w:val="0016009E"/>
    <w:rsid w:val="00160344"/>
    <w:rsid w:val="00160C1F"/>
    <w:rsid w:val="00165420"/>
    <w:rsid w:val="00166CA0"/>
    <w:rsid w:val="001672C7"/>
    <w:rsid w:val="00171240"/>
    <w:rsid w:val="00171F26"/>
    <w:rsid w:val="00176299"/>
    <w:rsid w:val="00181102"/>
    <w:rsid w:val="00187563"/>
    <w:rsid w:val="001936B3"/>
    <w:rsid w:val="001A445F"/>
    <w:rsid w:val="001A5022"/>
    <w:rsid w:val="001A5608"/>
    <w:rsid w:val="001A6BA5"/>
    <w:rsid w:val="001B31F3"/>
    <w:rsid w:val="001B4862"/>
    <w:rsid w:val="001B6959"/>
    <w:rsid w:val="001C0880"/>
    <w:rsid w:val="001C1350"/>
    <w:rsid w:val="001C13F0"/>
    <w:rsid w:val="001C2621"/>
    <w:rsid w:val="001C28B3"/>
    <w:rsid w:val="001C33B2"/>
    <w:rsid w:val="001C3C2E"/>
    <w:rsid w:val="001C445C"/>
    <w:rsid w:val="001D0900"/>
    <w:rsid w:val="001D2A9E"/>
    <w:rsid w:val="001D30CA"/>
    <w:rsid w:val="001D446D"/>
    <w:rsid w:val="001D478A"/>
    <w:rsid w:val="001D5B74"/>
    <w:rsid w:val="001D72F9"/>
    <w:rsid w:val="001E0283"/>
    <w:rsid w:val="001E7C4B"/>
    <w:rsid w:val="001F3746"/>
    <w:rsid w:val="001F6191"/>
    <w:rsid w:val="001F6E5E"/>
    <w:rsid w:val="002039FF"/>
    <w:rsid w:val="00203B8E"/>
    <w:rsid w:val="002040AE"/>
    <w:rsid w:val="002055AD"/>
    <w:rsid w:val="00207920"/>
    <w:rsid w:val="002101E7"/>
    <w:rsid w:val="0021075C"/>
    <w:rsid w:val="00212A39"/>
    <w:rsid w:val="00216746"/>
    <w:rsid w:val="0022595F"/>
    <w:rsid w:val="00231768"/>
    <w:rsid w:val="00232130"/>
    <w:rsid w:val="002338DB"/>
    <w:rsid w:val="00240156"/>
    <w:rsid w:val="0024146E"/>
    <w:rsid w:val="0024343F"/>
    <w:rsid w:val="0024722E"/>
    <w:rsid w:val="00252C49"/>
    <w:rsid w:val="00254D4D"/>
    <w:rsid w:val="00262AC8"/>
    <w:rsid w:val="00264614"/>
    <w:rsid w:val="002703F1"/>
    <w:rsid w:val="00270C15"/>
    <w:rsid w:val="00275FE6"/>
    <w:rsid w:val="00276737"/>
    <w:rsid w:val="00276FC8"/>
    <w:rsid w:val="00280E09"/>
    <w:rsid w:val="002835C6"/>
    <w:rsid w:val="002855E5"/>
    <w:rsid w:val="002858D3"/>
    <w:rsid w:val="00285D29"/>
    <w:rsid w:val="00286E0A"/>
    <w:rsid w:val="00287A0F"/>
    <w:rsid w:val="002918A6"/>
    <w:rsid w:val="002955CD"/>
    <w:rsid w:val="00297C0A"/>
    <w:rsid w:val="002A23D9"/>
    <w:rsid w:val="002A3A30"/>
    <w:rsid w:val="002A67DD"/>
    <w:rsid w:val="002B107F"/>
    <w:rsid w:val="002B4027"/>
    <w:rsid w:val="002B7257"/>
    <w:rsid w:val="002C0B94"/>
    <w:rsid w:val="002C134A"/>
    <w:rsid w:val="002C59A6"/>
    <w:rsid w:val="002C7AD0"/>
    <w:rsid w:val="002D54AC"/>
    <w:rsid w:val="002E2F3C"/>
    <w:rsid w:val="002E39D3"/>
    <w:rsid w:val="002E4FA7"/>
    <w:rsid w:val="002E56EE"/>
    <w:rsid w:val="002F24D1"/>
    <w:rsid w:val="002F28CA"/>
    <w:rsid w:val="002F28D6"/>
    <w:rsid w:val="002F7560"/>
    <w:rsid w:val="002F7768"/>
    <w:rsid w:val="00303189"/>
    <w:rsid w:val="00303954"/>
    <w:rsid w:val="0030418A"/>
    <w:rsid w:val="003130F2"/>
    <w:rsid w:val="00313841"/>
    <w:rsid w:val="003160E0"/>
    <w:rsid w:val="00322997"/>
    <w:rsid w:val="003247A7"/>
    <w:rsid w:val="00324A5C"/>
    <w:rsid w:val="003257E5"/>
    <w:rsid w:val="00325F9E"/>
    <w:rsid w:val="003277B5"/>
    <w:rsid w:val="00330D09"/>
    <w:rsid w:val="00333383"/>
    <w:rsid w:val="0033618F"/>
    <w:rsid w:val="003377B6"/>
    <w:rsid w:val="003409E9"/>
    <w:rsid w:val="00342348"/>
    <w:rsid w:val="00343D6C"/>
    <w:rsid w:val="003468B4"/>
    <w:rsid w:val="00347312"/>
    <w:rsid w:val="00350522"/>
    <w:rsid w:val="00352DCC"/>
    <w:rsid w:val="00361B1E"/>
    <w:rsid w:val="00364E2A"/>
    <w:rsid w:val="00365A3C"/>
    <w:rsid w:val="003668D8"/>
    <w:rsid w:val="00370471"/>
    <w:rsid w:val="003707F5"/>
    <w:rsid w:val="00372518"/>
    <w:rsid w:val="00374646"/>
    <w:rsid w:val="00374A49"/>
    <w:rsid w:val="0037681F"/>
    <w:rsid w:val="003824EB"/>
    <w:rsid w:val="00391716"/>
    <w:rsid w:val="003926DF"/>
    <w:rsid w:val="00394AA7"/>
    <w:rsid w:val="00395373"/>
    <w:rsid w:val="00395DF8"/>
    <w:rsid w:val="003A2408"/>
    <w:rsid w:val="003A4BBC"/>
    <w:rsid w:val="003B0BAD"/>
    <w:rsid w:val="003C0956"/>
    <w:rsid w:val="003C4469"/>
    <w:rsid w:val="003C52F3"/>
    <w:rsid w:val="003D0FED"/>
    <w:rsid w:val="003D7999"/>
    <w:rsid w:val="003E1782"/>
    <w:rsid w:val="003E27DC"/>
    <w:rsid w:val="003E3635"/>
    <w:rsid w:val="003E3DF4"/>
    <w:rsid w:val="003E4A9D"/>
    <w:rsid w:val="003F19E5"/>
    <w:rsid w:val="003F3424"/>
    <w:rsid w:val="003F654D"/>
    <w:rsid w:val="003F775B"/>
    <w:rsid w:val="0040010E"/>
    <w:rsid w:val="0040365E"/>
    <w:rsid w:val="00406FC4"/>
    <w:rsid w:val="004109ED"/>
    <w:rsid w:val="00411F86"/>
    <w:rsid w:val="00412F6D"/>
    <w:rsid w:val="00417698"/>
    <w:rsid w:val="00422A17"/>
    <w:rsid w:val="00423091"/>
    <w:rsid w:val="00423F17"/>
    <w:rsid w:val="00425E4F"/>
    <w:rsid w:val="004261C9"/>
    <w:rsid w:val="00432655"/>
    <w:rsid w:val="00432A72"/>
    <w:rsid w:val="00432EF9"/>
    <w:rsid w:val="00434115"/>
    <w:rsid w:val="00441C73"/>
    <w:rsid w:val="004432DE"/>
    <w:rsid w:val="004446BA"/>
    <w:rsid w:val="00444C81"/>
    <w:rsid w:val="0045555D"/>
    <w:rsid w:val="00455E58"/>
    <w:rsid w:val="00456072"/>
    <w:rsid w:val="00456822"/>
    <w:rsid w:val="00456D3B"/>
    <w:rsid w:val="004650A2"/>
    <w:rsid w:val="00470A50"/>
    <w:rsid w:val="00471D64"/>
    <w:rsid w:val="00472563"/>
    <w:rsid w:val="004745F2"/>
    <w:rsid w:val="00476FFD"/>
    <w:rsid w:val="00477D1E"/>
    <w:rsid w:val="00480A1F"/>
    <w:rsid w:val="00483303"/>
    <w:rsid w:val="0048379F"/>
    <w:rsid w:val="0048674A"/>
    <w:rsid w:val="0048700A"/>
    <w:rsid w:val="00491026"/>
    <w:rsid w:val="00491B57"/>
    <w:rsid w:val="004977A4"/>
    <w:rsid w:val="0049785D"/>
    <w:rsid w:val="004A00F6"/>
    <w:rsid w:val="004A0271"/>
    <w:rsid w:val="004A3236"/>
    <w:rsid w:val="004A4C37"/>
    <w:rsid w:val="004A61C9"/>
    <w:rsid w:val="004A73B2"/>
    <w:rsid w:val="004B11E1"/>
    <w:rsid w:val="004B1671"/>
    <w:rsid w:val="004B58D1"/>
    <w:rsid w:val="004B75BB"/>
    <w:rsid w:val="004C17DE"/>
    <w:rsid w:val="004C351A"/>
    <w:rsid w:val="004C562D"/>
    <w:rsid w:val="004C5BE8"/>
    <w:rsid w:val="004C68F8"/>
    <w:rsid w:val="004D0899"/>
    <w:rsid w:val="004D0EB0"/>
    <w:rsid w:val="004D4588"/>
    <w:rsid w:val="004D4B99"/>
    <w:rsid w:val="004D59F2"/>
    <w:rsid w:val="004E1A9B"/>
    <w:rsid w:val="004E4B5D"/>
    <w:rsid w:val="004F0A38"/>
    <w:rsid w:val="004F2370"/>
    <w:rsid w:val="004F3029"/>
    <w:rsid w:val="004F4654"/>
    <w:rsid w:val="00500DC7"/>
    <w:rsid w:val="00501B59"/>
    <w:rsid w:val="00501CA3"/>
    <w:rsid w:val="005021EA"/>
    <w:rsid w:val="0050453A"/>
    <w:rsid w:val="00504C75"/>
    <w:rsid w:val="00505ED9"/>
    <w:rsid w:val="00511341"/>
    <w:rsid w:val="00511532"/>
    <w:rsid w:val="00512207"/>
    <w:rsid w:val="0051368B"/>
    <w:rsid w:val="0051433A"/>
    <w:rsid w:val="00520896"/>
    <w:rsid w:val="0052098F"/>
    <w:rsid w:val="0052611C"/>
    <w:rsid w:val="00526640"/>
    <w:rsid w:val="00533E04"/>
    <w:rsid w:val="005341C2"/>
    <w:rsid w:val="0053490A"/>
    <w:rsid w:val="00545F6E"/>
    <w:rsid w:val="00547755"/>
    <w:rsid w:val="00547DE9"/>
    <w:rsid w:val="00547E7D"/>
    <w:rsid w:val="00550CD9"/>
    <w:rsid w:val="005515C3"/>
    <w:rsid w:val="005543D6"/>
    <w:rsid w:val="00554456"/>
    <w:rsid w:val="005547C4"/>
    <w:rsid w:val="00556A0B"/>
    <w:rsid w:val="005601D1"/>
    <w:rsid w:val="00560991"/>
    <w:rsid w:val="00561F48"/>
    <w:rsid w:val="0056358A"/>
    <w:rsid w:val="00563BBD"/>
    <w:rsid w:val="00564724"/>
    <w:rsid w:val="00567602"/>
    <w:rsid w:val="00570D76"/>
    <w:rsid w:val="00570D82"/>
    <w:rsid w:val="00571587"/>
    <w:rsid w:val="00571A9E"/>
    <w:rsid w:val="00580C86"/>
    <w:rsid w:val="00582DDA"/>
    <w:rsid w:val="0058487B"/>
    <w:rsid w:val="00585379"/>
    <w:rsid w:val="005866B3"/>
    <w:rsid w:val="005909A6"/>
    <w:rsid w:val="00590CE0"/>
    <w:rsid w:val="00592E38"/>
    <w:rsid w:val="00593541"/>
    <w:rsid w:val="00595034"/>
    <w:rsid w:val="005952C7"/>
    <w:rsid w:val="005971A7"/>
    <w:rsid w:val="005A055B"/>
    <w:rsid w:val="005A2447"/>
    <w:rsid w:val="005A484A"/>
    <w:rsid w:val="005A522E"/>
    <w:rsid w:val="005A544A"/>
    <w:rsid w:val="005B1F67"/>
    <w:rsid w:val="005B2E28"/>
    <w:rsid w:val="005B2E50"/>
    <w:rsid w:val="005B4C56"/>
    <w:rsid w:val="005C37A0"/>
    <w:rsid w:val="005C37F5"/>
    <w:rsid w:val="005C41D9"/>
    <w:rsid w:val="005C6A1E"/>
    <w:rsid w:val="005D04B7"/>
    <w:rsid w:val="005D297C"/>
    <w:rsid w:val="005D30E4"/>
    <w:rsid w:val="005D59EF"/>
    <w:rsid w:val="005D6F11"/>
    <w:rsid w:val="005E4653"/>
    <w:rsid w:val="005E77E4"/>
    <w:rsid w:val="005F5F02"/>
    <w:rsid w:val="005F7E9D"/>
    <w:rsid w:val="006012E4"/>
    <w:rsid w:val="0060139C"/>
    <w:rsid w:val="00607408"/>
    <w:rsid w:val="006115E1"/>
    <w:rsid w:val="006148CC"/>
    <w:rsid w:val="00615FE2"/>
    <w:rsid w:val="0062182B"/>
    <w:rsid w:val="006237D6"/>
    <w:rsid w:val="006263DE"/>
    <w:rsid w:val="00632AD6"/>
    <w:rsid w:val="0063321B"/>
    <w:rsid w:val="006352E7"/>
    <w:rsid w:val="0064048C"/>
    <w:rsid w:val="006429A5"/>
    <w:rsid w:val="006441EE"/>
    <w:rsid w:val="00645FB5"/>
    <w:rsid w:val="006469DE"/>
    <w:rsid w:val="00647E00"/>
    <w:rsid w:val="006502DB"/>
    <w:rsid w:val="006526C6"/>
    <w:rsid w:val="006565E0"/>
    <w:rsid w:val="006601F5"/>
    <w:rsid w:val="00661018"/>
    <w:rsid w:val="006638BA"/>
    <w:rsid w:val="00667E38"/>
    <w:rsid w:val="00671D3F"/>
    <w:rsid w:val="0067556E"/>
    <w:rsid w:val="00676EA2"/>
    <w:rsid w:val="00680C46"/>
    <w:rsid w:val="00681F32"/>
    <w:rsid w:val="0068361C"/>
    <w:rsid w:val="006839E6"/>
    <w:rsid w:val="0068501F"/>
    <w:rsid w:val="006914EA"/>
    <w:rsid w:val="0069582D"/>
    <w:rsid w:val="0069603F"/>
    <w:rsid w:val="0069675F"/>
    <w:rsid w:val="006A07E7"/>
    <w:rsid w:val="006A72DE"/>
    <w:rsid w:val="006A74F1"/>
    <w:rsid w:val="006B12D9"/>
    <w:rsid w:val="006B558E"/>
    <w:rsid w:val="006B726B"/>
    <w:rsid w:val="006C0EC4"/>
    <w:rsid w:val="006C22A4"/>
    <w:rsid w:val="006C29D5"/>
    <w:rsid w:val="006C66D8"/>
    <w:rsid w:val="006C67C1"/>
    <w:rsid w:val="006D00F8"/>
    <w:rsid w:val="006D139D"/>
    <w:rsid w:val="006D23F1"/>
    <w:rsid w:val="006D6C0E"/>
    <w:rsid w:val="006E10F7"/>
    <w:rsid w:val="006E2644"/>
    <w:rsid w:val="006E3BF2"/>
    <w:rsid w:val="006E680B"/>
    <w:rsid w:val="006F2571"/>
    <w:rsid w:val="006F3037"/>
    <w:rsid w:val="006F3103"/>
    <w:rsid w:val="006F65FE"/>
    <w:rsid w:val="006F7559"/>
    <w:rsid w:val="007057CC"/>
    <w:rsid w:val="00710002"/>
    <w:rsid w:val="00711B9E"/>
    <w:rsid w:val="0072000B"/>
    <w:rsid w:val="0072040A"/>
    <w:rsid w:val="00723236"/>
    <w:rsid w:val="00724759"/>
    <w:rsid w:val="00733174"/>
    <w:rsid w:val="00733BD7"/>
    <w:rsid w:val="007352C3"/>
    <w:rsid w:val="00735D8C"/>
    <w:rsid w:val="00737114"/>
    <w:rsid w:val="0074596B"/>
    <w:rsid w:val="00746CFD"/>
    <w:rsid w:val="0075167C"/>
    <w:rsid w:val="00751AE1"/>
    <w:rsid w:val="00751D64"/>
    <w:rsid w:val="00752CE1"/>
    <w:rsid w:val="00755B19"/>
    <w:rsid w:val="007633EC"/>
    <w:rsid w:val="00763ACD"/>
    <w:rsid w:val="007662F6"/>
    <w:rsid w:val="00767241"/>
    <w:rsid w:val="00767987"/>
    <w:rsid w:val="0077082E"/>
    <w:rsid w:val="007712C5"/>
    <w:rsid w:val="00772A8D"/>
    <w:rsid w:val="00786210"/>
    <w:rsid w:val="00786E34"/>
    <w:rsid w:val="0079106F"/>
    <w:rsid w:val="00792B58"/>
    <w:rsid w:val="00792D94"/>
    <w:rsid w:val="00795578"/>
    <w:rsid w:val="00795FED"/>
    <w:rsid w:val="00796DA8"/>
    <w:rsid w:val="007A0D9A"/>
    <w:rsid w:val="007A1FE8"/>
    <w:rsid w:val="007A373F"/>
    <w:rsid w:val="007B08DA"/>
    <w:rsid w:val="007B66F0"/>
    <w:rsid w:val="007B6993"/>
    <w:rsid w:val="007C36D5"/>
    <w:rsid w:val="007C4284"/>
    <w:rsid w:val="007C4BA8"/>
    <w:rsid w:val="007C76AC"/>
    <w:rsid w:val="007D00A6"/>
    <w:rsid w:val="007D6C82"/>
    <w:rsid w:val="007D6E3C"/>
    <w:rsid w:val="007E251D"/>
    <w:rsid w:val="007E5C6F"/>
    <w:rsid w:val="007F10A6"/>
    <w:rsid w:val="007F2DED"/>
    <w:rsid w:val="008002D3"/>
    <w:rsid w:val="00801BCC"/>
    <w:rsid w:val="00804E4F"/>
    <w:rsid w:val="0080768A"/>
    <w:rsid w:val="00810743"/>
    <w:rsid w:val="00810A51"/>
    <w:rsid w:val="00810E0F"/>
    <w:rsid w:val="00812772"/>
    <w:rsid w:val="00813C69"/>
    <w:rsid w:val="008211C8"/>
    <w:rsid w:val="00822BCC"/>
    <w:rsid w:val="00822FCC"/>
    <w:rsid w:val="00832D8D"/>
    <w:rsid w:val="008349E8"/>
    <w:rsid w:val="00837AF0"/>
    <w:rsid w:val="00844DD8"/>
    <w:rsid w:val="0084544F"/>
    <w:rsid w:val="00845ED1"/>
    <w:rsid w:val="00847561"/>
    <w:rsid w:val="0085119E"/>
    <w:rsid w:val="00851FBB"/>
    <w:rsid w:val="00855953"/>
    <w:rsid w:val="008562DF"/>
    <w:rsid w:val="008619D4"/>
    <w:rsid w:val="0087342A"/>
    <w:rsid w:val="00874092"/>
    <w:rsid w:val="00877B96"/>
    <w:rsid w:val="008805AC"/>
    <w:rsid w:val="00881F53"/>
    <w:rsid w:val="0088253F"/>
    <w:rsid w:val="00890FB6"/>
    <w:rsid w:val="008927F4"/>
    <w:rsid w:val="008A02D6"/>
    <w:rsid w:val="008A34F5"/>
    <w:rsid w:val="008A6A46"/>
    <w:rsid w:val="008A6BA6"/>
    <w:rsid w:val="008A6DA6"/>
    <w:rsid w:val="008A7DDB"/>
    <w:rsid w:val="008B0676"/>
    <w:rsid w:val="008B23B9"/>
    <w:rsid w:val="008B287B"/>
    <w:rsid w:val="008B29F8"/>
    <w:rsid w:val="008B5224"/>
    <w:rsid w:val="008B5BDC"/>
    <w:rsid w:val="008B6253"/>
    <w:rsid w:val="008C0B34"/>
    <w:rsid w:val="008C0F4B"/>
    <w:rsid w:val="008C2215"/>
    <w:rsid w:val="008C383B"/>
    <w:rsid w:val="008C40C7"/>
    <w:rsid w:val="008C687B"/>
    <w:rsid w:val="008D4780"/>
    <w:rsid w:val="008D4B79"/>
    <w:rsid w:val="008D4CA4"/>
    <w:rsid w:val="008E17D3"/>
    <w:rsid w:val="008E1C79"/>
    <w:rsid w:val="008E1D15"/>
    <w:rsid w:val="008E43C3"/>
    <w:rsid w:val="008E4F81"/>
    <w:rsid w:val="00901F98"/>
    <w:rsid w:val="00902938"/>
    <w:rsid w:val="00903DF1"/>
    <w:rsid w:val="00906359"/>
    <w:rsid w:val="00910E8F"/>
    <w:rsid w:val="00911008"/>
    <w:rsid w:val="0091353C"/>
    <w:rsid w:val="00913EC8"/>
    <w:rsid w:val="00923220"/>
    <w:rsid w:val="009236B2"/>
    <w:rsid w:val="00924D26"/>
    <w:rsid w:val="009266EF"/>
    <w:rsid w:val="00931C51"/>
    <w:rsid w:val="00933FF5"/>
    <w:rsid w:val="0093486C"/>
    <w:rsid w:val="009363AD"/>
    <w:rsid w:val="009363CC"/>
    <w:rsid w:val="00936D60"/>
    <w:rsid w:val="0094078E"/>
    <w:rsid w:val="009413B6"/>
    <w:rsid w:val="0094267A"/>
    <w:rsid w:val="009428DB"/>
    <w:rsid w:val="00945A9D"/>
    <w:rsid w:val="00947B55"/>
    <w:rsid w:val="009516E6"/>
    <w:rsid w:val="00956424"/>
    <w:rsid w:val="00965E9A"/>
    <w:rsid w:val="00966166"/>
    <w:rsid w:val="00966269"/>
    <w:rsid w:val="009678F3"/>
    <w:rsid w:val="00970261"/>
    <w:rsid w:val="00971672"/>
    <w:rsid w:val="00973A8D"/>
    <w:rsid w:val="009758E3"/>
    <w:rsid w:val="0097648B"/>
    <w:rsid w:val="00977E2D"/>
    <w:rsid w:val="00980D74"/>
    <w:rsid w:val="0098518A"/>
    <w:rsid w:val="00985B09"/>
    <w:rsid w:val="00992D76"/>
    <w:rsid w:val="009938CC"/>
    <w:rsid w:val="009944DB"/>
    <w:rsid w:val="00994EDF"/>
    <w:rsid w:val="009A0198"/>
    <w:rsid w:val="009A7D29"/>
    <w:rsid w:val="009B2063"/>
    <w:rsid w:val="009B507C"/>
    <w:rsid w:val="009B5DE2"/>
    <w:rsid w:val="009B647F"/>
    <w:rsid w:val="009B705D"/>
    <w:rsid w:val="009C1073"/>
    <w:rsid w:val="009C1A13"/>
    <w:rsid w:val="009C2C1E"/>
    <w:rsid w:val="009C4827"/>
    <w:rsid w:val="009C4CA0"/>
    <w:rsid w:val="009C5F8F"/>
    <w:rsid w:val="009C65F9"/>
    <w:rsid w:val="009C7E88"/>
    <w:rsid w:val="009D18F6"/>
    <w:rsid w:val="009D6831"/>
    <w:rsid w:val="009E0388"/>
    <w:rsid w:val="009E132D"/>
    <w:rsid w:val="009F0C8A"/>
    <w:rsid w:val="009F3413"/>
    <w:rsid w:val="00A00FE6"/>
    <w:rsid w:val="00A046A3"/>
    <w:rsid w:val="00A07697"/>
    <w:rsid w:val="00A078D3"/>
    <w:rsid w:val="00A1084A"/>
    <w:rsid w:val="00A11F51"/>
    <w:rsid w:val="00A1301D"/>
    <w:rsid w:val="00A15D5F"/>
    <w:rsid w:val="00A1683B"/>
    <w:rsid w:val="00A27A43"/>
    <w:rsid w:val="00A4309F"/>
    <w:rsid w:val="00A43C10"/>
    <w:rsid w:val="00A450A6"/>
    <w:rsid w:val="00A4558E"/>
    <w:rsid w:val="00A46D38"/>
    <w:rsid w:val="00A50D24"/>
    <w:rsid w:val="00A512A6"/>
    <w:rsid w:val="00A521CC"/>
    <w:rsid w:val="00A534AD"/>
    <w:rsid w:val="00A543D6"/>
    <w:rsid w:val="00A547D6"/>
    <w:rsid w:val="00A5711F"/>
    <w:rsid w:val="00A61B49"/>
    <w:rsid w:val="00A62854"/>
    <w:rsid w:val="00A632F3"/>
    <w:rsid w:val="00A65380"/>
    <w:rsid w:val="00A66DA5"/>
    <w:rsid w:val="00A6763F"/>
    <w:rsid w:val="00A70679"/>
    <w:rsid w:val="00A73791"/>
    <w:rsid w:val="00A73AF9"/>
    <w:rsid w:val="00A75719"/>
    <w:rsid w:val="00A80F43"/>
    <w:rsid w:val="00A824B4"/>
    <w:rsid w:val="00A86EB0"/>
    <w:rsid w:val="00A87F59"/>
    <w:rsid w:val="00A9084E"/>
    <w:rsid w:val="00A92957"/>
    <w:rsid w:val="00A94659"/>
    <w:rsid w:val="00A95BD7"/>
    <w:rsid w:val="00AA24D5"/>
    <w:rsid w:val="00AA6490"/>
    <w:rsid w:val="00AB0F9A"/>
    <w:rsid w:val="00AB311E"/>
    <w:rsid w:val="00AB39BC"/>
    <w:rsid w:val="00AB4083"/>
    <w:rsid w:val="00AB4AF4"/>
    <w:rsid w:val="00AC1A37"/>
    <w:rsid w:val="00AD08A6"/>
    <w:rsid w:val="00AD3976"/>
    <w:rsid w:val="00AD5145"/>
    <w:rsid w:val="00AD5911"/>
    <w:rsid w:val="00AD63EC"/>
    <w:rsid w:val="00AD734F"/>
    <w:rsid w:val="00AE6C69"/>
    <w:rsid w:val="00AF175B"/>
    <w:rsid w:val="00AF3D43"/>
    <w:rsid w:val="00AF536C"/>
    <w:rsid w:val="00AF7208"/>
    <w:rsid w:val="00B0090A"/>
    <w:rsid w:val="00B103BF"/>
    <w:rsid w:val="00B10792"/>
    <w:rsid w:val="00B11EE8"/>
    <w:rsid w:val="00B11FAD"/>
    <w:rsid w:val="00B12D15"/>
    <w:rsid w:val="00B16275"/>
    <w:rsid w:val="00B163C5"/>
    <w:rsid w:val="00B168E6"/>
    <w:rsid w:val="00B22230"/>
    <w:rsid w:val="00B24D55"/>
    <w:rsid w:val="00B27871"/>
    <w:rsid w:val="00B27FE1"/>
    <w:rsid w:val="00B306B7"/>
    <w:rsid w:val="00B33BCF"/>
    <w:rsid w:val="00B345B6"/>
    <w:rsid w:val="00B4100C"/>
    <w:rsid w:val="00B41195"/>
    <w:rsid w:val="00B42064"/>
    <w:rsid w:val="00B42A25"/>
    <w:rsid w:val="00B45F6E"/>
    <w:rsid w:val="00B4643F"/>
    <w:rsid w:val="00B46D14"/>
    <w:rsid w:val="00B47F53"/>
    <w:rsid w:val="00B50B36"/>
    <w:rsid w:val="00B512D0"/>
    <w:rsid w:val="00B551F9"/>
    <w:rsid w:val="00B568F1"/>
    <w:rsid w:val="00B57748"/>
    <w:rsid w:val="00B60611"/>
    <w:rsid w:val="00B636F0"/>
    <w:rsid w:val="00B70F4E"/>
    <w:rsid w:val="00B71EEE"/>
    <w:rsid w:val="00B72277"/>
    <w:rsid w:val="00B7261C"/>
    <w:rsid w:val="00B73527"/>
    <w:rsid w:val="00B7513E"/>
    <w:rsid w:val="00B759EB"/>
    <w:rsid w:val="00B77E6E"/>
    <w:rsid w:val="00B80050"/>
    <w:rsid w:val="00B8055A"/>
    <w:rsid w:val="00B87456"/>
    <w:rsid w:val="00B921BB"/>
    <w:rsid w:val="00B93571"/>
    <w:rsid w:val="00B93895"/>
    <w:rsid w:val="00B96FC3"/>
    <w:rsid w:val="00BA0B58"/>
    <w:rsid w:val="00BA2ADF"/>
    <w:rsid w:val="00BA2ED4"/>
    <w:rsid w:val="00BA3133"/>
    <w:rsid w:val="00BA3247"/>
    <w:rsid w:val="00BA4F5A"/>
    <w:rsid w:val="00BB005C"/>
    <w:rsid w:val="00BB05DC"/>
    <w:rsid w:val="00BB59C0"/>
    <w:rsid w:val="00BB6F0B"/>
    <w:rsid w:val="00BC2B00"/>
    <w:rsid w:val="00BC5BE0"/>
    <w:rsid w:val="00BD1A7E"/>
    <w:rsid w:val="00BD21E3"/>
    <w:rsid w:val="00BD275C"/>
    <w:rsid w:val="00BD2C72"/>
    <w:rsid w:val="00BD3D19"/>
    <w:rsid w:val="00BD3E56"/>
    <w:rsid w:val="00BD50FB"/>
    <w:rsid w:val="00BD5EEB"/>
    <w:rsid w:val="00BD5F9F"/>
    <w:rsid w:val="00BD68A5"/>
    <w:rsid w:val="00BD7489"/>
    <w:rsid w:val="00BD74EC"/>
    <w:rsid w:val="00BE069B"/>
    <w:rsid w:val="00BE145B"/>
    <w:rsid w:val="00BE1D7D"/>
    <w:rsid w:val="00BE470E"/>
    <w:rsid w:val="00BE77A7"/>
    <w:rsid w:val="00BF56CF"/>
    <w:rsid w:val="00BF7ABF"/>
    <w:rsid w:val="00BF7E10"/>
    <w:rsid w:val="00C04650"/>
    <w:rsid w:val="00C05724"/>
    <w:rsid w:val="00C10D28"/>
    <w:rsid w:val="00C12C05"/>
    <w:rsid w:val="00C12EBD"/>
    <w:rsid w:val="00C13350"/>
    <w:rsid w:val="00C15F2E"/>
    <w:rsid w:val="00C16A4F"/>
    <w:rsid w:val="00C20C72"/>
    <w:rsid w:val="00C20E0D"/>
    <w:rsid w:val="00C2124D"/>
    <w:rsid w:val="00C30399"/>
    <w:rsid w:val="00C30E3F"/>
    <w:rsid w:val="00C30FD5"/>
    <w:rsid w:val="00C3131E"/>
    <w:rsid w:val="00C35CD9"/>
    <w:rsid w:val="00C40D5E"/>
    <w:rsid w:val="00C43074"/>
    <w:rsid w:val="00C44890"/>
    <w:rsid w:val="00C44E47"/>
    <w:rsid w:val="00C45C1A"/>
    <w:rsid w:val="00C46220"/>
    <w:rsid w:val="00C47826"/>
    <w:rsid w:val="00C51AB6"/>
    <w:rsid w:val="00C51B45"/>
    <w:rsid w:val="00C52551"/>
    <w:rsid w:val="00C54A27"/>
    <w:rsid w:val="00C60216"/>
    <w:rsid w:val="00C602C6"/>
    <w:rsid w:val="00C60558"/>
    <w:rsid w:val="00C62B65"/>
    <w:rsid w:val="00C6453D"/>
    <w:rsid w:val="00C74AA7"/>
    <w:rsid w:val="00C77085"/>
    <w:rsid w:val="00C8066F"/>
    <w:rsid w:val="00C809F9"/>
    <w:rsid w:val="00C80D0B"/>
    <w:rsid w:val="00C8297A"/>
    <w:rsid w:val="00C853A3"/>
    <w:rsid w:val="00C863A5"/>
    <w:rsid w:val="00C86667"/>
    <w:rsid w:val="00C92EBC"/>
    <w:rsid w:val="00C94584"/>
    <w:rsid w:val="00C94FC6"/>
    <w:rsid w:val="00CA2256"/>
    <w:rsid w:val="00CA3C4D"/>
    <w:rsid w:val="00CA43D7"/>
    <w:rsid w:val="00CA77EA"/>
    <w:rsid w:val="00CB72AD"/>
    <w:rsid w:val="00CC045D"/>
    <w:rsid w:val="00CC15C9"/>
    <w:rsid w:val="00CC5489"/>
    <w:rsid w:val="00CC5C7F"/>
    <w:rsid w:val="00CC5EB3"/>
    <w:rsid w:val="00CC6BA9"/>
    <w:rsid w:val="00CC7E05"/>
    <w:rsid w:val="00CD1BA3"/>
    <w:rsid w:val="00CD484C"/>
    <w:rsid w:val="00CD50EA"/>
    <w:rsid w:val="00CD6862"/>
    <w:rsid w:val="00CD6EC6"/>
    <w:rsid w:val="00CD7C4D"/>
    <w:rsid w:val="00CE2886"/>
    <w:rsid w:val="00CE311A"/>
    <w:rsid w:val="00CE3769"/>
    <w:rsid w:val="00CF040B"/>
    <w:rsid w:val="00CF3BA0"/>
    <w:rsid w:val="00CF51C3"/>
    <w:rsid w:val="00CF61A0"/>
    <w:rsid w:val="00D00934"/>
    <w:rsid w:val="00D02D0C"/>
    <w:rsid w:val="00D05443"/>
    <w:rsid w:val="00D110B2"/>
    <w:rsid w:val="00D12565"/>
    <w:rsid w:val="00D129D9"/>
    <w:rsid w:val="00D154FF"/>
    <w:rsid w:val="00D26CB0"/>
    <w:rsid w:val="00D312CC"/>
    <w:rsid w:val="00D36031"/>
    <w:rsid w:val="00D3648A"/>
    <w:rsid w:val="00D3721F"/>
    <w:rsid w:val="00D40955"/>
    <w:rsid w:val="00D43379"/>
    <w:rsid w:val="00D47568"/>
    <w:rsid w:val="00D50F7F"/>
    <w:rsid w:val="00D554AF"/>
    <w:rsid w:val="00D56CFA"/>
    <w:rsid w:val="00D56EF0"/>
    <w:rsid w:val="00D57A75"/>
    <w:rsid w:val="00D57DD8"/>
    <w:rsid w:val="00D614D2"/>
    <w:rsid w:val="00D7056F"/>
    <w:rsid w:val="00D70967"/>
    <w:rsid w:val="00D73D12"/>
    <w:rsid w:val="00D742B5"/>
    <w:rsid w:val="00D757BF"/>
    <w:rsid w:val="00D7623A"/>
    <w:rsid w:val="00D7652A"/>
    <w:rsid w:val="00D769F2"/>
    <w:rsid w:val="00D7754F"/>
    <w:rsid w:val="00D77C83"/>
    <w:rsid w:val="00D815F0"/>
    <w:rsid w:val="00D85820"/>
    <w:rsid w:val="00D8633C"/>
    <w:rsid w:val="00D9017F"/>
    <w:rsid w:val="00D93936"/>
    <w:rsid w:val="00D940BF"/>
    <w:rsid w:val="00D975B1"/>
    <w:rsid w:val="00DA1B82"/>
    <w:rsid w:val="00DA2349"/>
    <w:rsid w:val="00DA2B2F"/>
    <w:rsid w:val="00DB3549"/>
    <w:rsid w:val="00DB5919"/>
    <w:rsid w:val="00DB761C"/>
    <w:rsid w:val="00DC1E69"/>
    <w:rsid w:val="00DC2305"/>
    <w:rsid w:val="00DC4494"/>
    <w:rsid w:val="00DC48DF"/>
    <w:rsid w:val="00DD0DB2"/>
    <w:rsid w:val="00DD514E"/>
    <w:rsid w:val="00DE29C3"/>
    <w:rsid w:val="00DE563C"/>
    <w:rsid w:val="00DF131F"/>
    <w:rsid w:val="00DF5FAE"/>
    <w:rsid w:val="00E01996"/>
    <w:rsid w:val="00E02208"/>
    <w:rsid w:val="00E06416"/>
    <w:rsid w:val="00E12F6A"/>
    <w:rsid w:val="00E14B07"/>
    <w:rsid w:val="00E1511F"/>
    <w:rsid w:val="00E21E50"/>
    <w:rsid w:val="00E24082"/>
    <w:rsid w:val="00E278BD"/>
    <w:rsid w:val="00E306EB"/>
    <w:rsid w:val="00E31443"/>
    <w:rsid w:val="00E336D2"/>
    <w:rsid w:val="00E34D04"/>
    <w:rsid w:val="00E35D2F"/>
    <w:rsid w:val="00E40C65"/>
    <w:rsid w:val="00E4144D"/>
    <w:rsid w:val="00E42874"/>
    <w:rsid w:val="00E445DE"/>
    <w:rsid w:val="00E4536F"/>
    <w:rsid w:val="00E460ED"/>
    <w:rsid w:val="00E462F0"/>
    <w:rsid w:val="00E51B09"/>
    <w:rsid w:val="00E52306"/>
    <w:rsid w:val="00E561A9"/>
    <w:rsid w:val="00E5667C"/>
    <w:rsid w:val="00E5779C"/>
    <w:rsid w:val="00E6358D"/>
    <w:rsid w:val="00E6380D"/>
    <w:rsid w:val="00E63E54"/>
    <w:rsid w:val="00E63F2F"/>
    <w:rsid w:val="00E71805"/>
    <w:rsid w:val="00E71B22"/>
    <w:rsid w:val="00E723D1"/>
    <w:rsid w:val="00E742AE"/>
    <w:rsid w:val="00E7593D"/>
    <w:rsid w:val="00E76992"/>
    <w:rsid w:val="00E81087"/>
    <w:rsid w:val="00E811A6"/>
    <w:rsid w:val="00E834C5"/>
    <w:rsid w:val="00E85E9C"/>
    <w:rsid w:val="00E87235"/>
    <w:rsid w:val="00E91029"/>
    <w:rsid w:val="00E922DF"/>
    <w:rsid w:val="00E92C01"/>
    <w:rsid w:val="00E94FE1"/>
    <w:rsid w:val="00E9547B"/>
    <w:rsid w:val="00E96466"/>
    <w:rsid w:val="00EA0740"/>
    <w:rsid w:val="00EA11EB"/>
    <w:rsid w:val="00EA6F46"/>
    <w:rsid w:val="00EA7361"/>
    <w:rsid w:val="00EB218C"/>
    <w:rsid w:val="00EB3372"/>
    <w:rsid w:val="00EB6034"/>
    <w:rsid w:val="00EC08A0"/>
    <w:rsid w:val="00EC0942"/>
    <w:rsid w:val="00EC43E1"/>
    <w:rsid w:val="00EC66B0"/>
    <w:rsid w:val="00ED0806"/>
    <w:rsid w:val="00ED0F8F"/>
    <w:rsid w:val="00ED2294"/>
    <w:rsid w:val="00ED38DC"/>
    <w:rsid w:val="00ED75D7"/>
    <w:rsid w:val="00EE01EE"/>
    <w:rsid w:val="00EE2C0C"/>
    <w:rsid w:val="00EF5CD7"/>
    <w:rsid w:val="00EF68C7"/>
    <w:rsid w:val="00EF6F31"/>
    <w:rsid w:val="00EF73A3"/>
    <w:rsid w:val="00F004A0"/>
    <w:rsid w:val="00F006D1"/>
    <w:rsid w:val="00F12E70"/>
    <w:rsid w:val="00F130B8"/>
    <w:rsid w:val="00F131F1"/>
    <w:rsid w:val="00F13D4C"/>
    <w:rsid w:val="00F14661"/>
    <w:rsid w:val="00F154AA"/>
    <w:rsid w:val="00F21CD3"/>
    <w:rsid w:val="00F2283B"/>
    <w:rsid w:val="00F255CC"/>
    <w:rsid w:val="00F26AE1"/>
    <w:rsid w:val="00F33393"/>
    <w:rsid w:val="00F36BA9"/>
    <w:rsid w:val="00F377B8"/>
    <w:rsid w:val="00F37831"/>
    <w:rsid w:val="00F41C25"/>
    <w:rsid w:val="00F4441B"/>
    <w:rsid w:val="00F464A6"/>
    <w:rsid w:val="00F46B6D"/>
    <w:rsid w:val="00F50F23"/>
    <w:rsid w:val="00F50FBB"/>
    <w:rsid w:val="00F51815"/>
    <w:rsid w:val="00F561B0"/>
    <w:rsid w:val="00F56A08"/>
    <w:rsid w:val="00F60F12"/>
    <w:rsid w:val="00F64EE3"/>
    <w:rsid w:val="00F70324"/>
    <w:rsid w:val="00F71E43"/>
    <w:rsid w:val="00F73068"/>
    <w:rsid w:val="00F774AD"/>
    <w:rsid w:val="00F777EE"/>
    <w:rsid w:val="00F836DC"/>
    <w:rsid w:val="00F867FC"/>
    <w:rsid w:val="00F923A5"/>
    <w:rsid w:val="00F96BE2"/>
    <w:rsid w:val="00F96DDE"/>
    <w:rsid w:val="00F97153"/>
    <w:rsid w:val="00F9742E"/>
    <w:rsid w:val="00FA3C9C"/>
    <w:rsid w:val="00FA6020"/>
    <w:rsid w:val="00FA612D"/>
    <w:rsid w:val="00FA68C2"/>
    <w:rsid w:val="00FA68E8"/>
    <w:rsid w:val="00FA6ECC"/>
    <w:rsid w:val="00FB2051"/>
    <w:rsid w:val="00FB27C3"/>
    <w:rsid w:val="00FB2867"/>
    <w:rsid w:val="00FB4B11"/>
    <w:rsid w:val="00FB5A91"/>
    <w:rsid w:val="00FB6E8D"/>
    <w:rsid w:val="00FC3CCC"/>
    <w:rsid w:val="00FD0EE1"/>
    <w:rsid w:val="00FE0F8D"/>
    <w:rsid w:val="00FE29DC"/>
    <w:rsid w:val="00FE5D3A"/>
    <w:rsid w:val="00FE7980"/>
    <w:rsid w:val="00FF2ABC"/>
    <w:rsid w:val="00FF2D54"/>
    <w:rsid w:val="00FF6728"/>
    <w:rsid w:val="00FF7D13"/>
    <w:rsid w:val="00FF7E6B"/>
    <w:rsid w:val="0D353577"/>
    <w:rsid w:val="18EA121D"/>
    <w:rsid w:val="1ACBD1D2"/>
    <w:rsid w:val="1BEB6044"/>
    <w:rsid w:val="29DAD07D"/>
    <w:rsid w:val="3134600D"/>
    <w:rsid w:val="4203F3B2"/>
    <w:rsid w:val="4292D8C3"/>
    <w:rsid w:val="4439011F"/>
    <w:rsid w:val="4802C35B"/>
    <w:rsid w:val="4E7C6B93"/>
    <w:rsid w:val="5D4B8F4C"/>
    <w:rsid w:val="6016FD19"/>
    <w:rsid w:val="6A3B62FE"/>
    <w:rsid w:val="6BB2DFDB"/>
    <w:rsid w:val="7D842421"/>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96028F"/>
  <w15:docId w15:val="{53A7BC58-DE40-4FB9-92D9-5068DFCA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4B8"/>
    <w:pPr>
      <w:spacing w:line="240" w:lineRule="auto"/>
      <w:jc w:val="both"/>
    </w:pPr>
    <w:rPr>
      <w:rFonts w:ascii="EC Square Sans Pro" w:hAnsi="EC Square Sans Pro" w:cs="Times New Roman"/>
    </w:rPr>
  </w:style>
  <w:style w:type="paragraph" w:styleId="Heading1">
    <w:name w:val="heading 1"/>
    <w:basedOn w:val="Normal"/>
    <w:next w:val="Normal"/>
    <w:link w:val="Heading1Char"/>
    <w:uiPriority w:val="9"/>
    <w:qFormat/>
    <w:rsid w:val="00BE145B"/>
    <w:pPr>
      <w:keepNext/>
      <w:keepLines/>
      <w:numPr>
        <w:numId w:val="1"/>
      </w:numPr>
      <w:spacing w:before="360" w:after="240"/>
      <w:ind w:left="340" w:hanging="340"/>
      <w:outlineLvl w:val="0"/>
    </w:pPr>
    <w:rPr>
      <w:rFonts w:eastAsiaTheme="majorEastAsia" w:cstheme="majorBidi"/>
      <w:b/>
      <w:color w:val="034EA2" w:themeColor="accent1"/>
      <w:sz w:val="32"/>
    </w:rPr>
  </w:style>
  <w:style w:type="paragraph" w:styleId="Heading2">
    <w:name w:val="heading 2"/>
    <w:basedOn w:val="Normal"/>
    <w:next w:val="Normal"/>
    <w:link w:val="Heading2Char"/>
    <w:uiPriority w:val="9"/>
    <w:unhideWhenUsed/>
    <w:qFormat/>
    <w:rsid w:val="002703F1"/>
    <w:pPr>
      <w:keepNext/>
      <w:keepLines/>
      <w:spacing w:before="240"/>
      <w:outlineLvl w:val="1"/>
    </w:pPr>
    <w:rPr>
      <w:rFonts w:eastAsiaTheme="majorEastAsia" w:cstheme="majorBidi"/>
      <w:caps/>
      <w:color w:val="70AD47" w:themeColor="accent2"/>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45B"/>
    <w:rPr>
      <w:rFonts w:ascii="EC Square Sans Pro" w:eastAsiaTheme="majorEastAsia" w:hAnsi="EC Square Sans Pro" w:cstheme="majorBidi"/>
      <w:b/>
      <w:color w:val="034EA2" w:themeColor="accent1"/>
      <w:sz w:val="32"/>
    </w:rPr>
  </w:style>
  <w:style w:type="paragraph" w:styleId="Header">
    <w:name w:val="header"/>
    <w:basedOn w:val="Normal"/>
    <w:link w:val="HeaderChar"/>
    <w:uiPriority w:val="99"/>
    <w:unhideWhenUsed/>
    <w:rsid w:val="008B6253"/>
    <w:pPr>
      <w:tabs>
        <w:tab w:val="center" w:pos="4513"/>
        <w:tab w:val="right" w:pos="9026"/>
      </w:tabs>
      <w:spacing w:after="0"/>
    </w:pPr>
  </w:style>
  <w:style w:type="character" w:customStyle="1" w:styleId="HeaderChar">
    <w:name w:val="Header Char"/>
    <w:basedOn w:val="DefaultParagraphFont"/>
    <w:link w:val="Header"/>
    <w:uiPriority w:val="99"/>
    <w:rsid w:val="008B6253"/>
    <w:rPr>
      <w:rFonts w:ascii="Times New Roman" w:hAnsi="Times New Roman" w:cs="Times New Roman"/>
      <w:sz w:val="24"/>
    </w:rPr>
  </w:style>
  <w:style w:type="paragraph" w:styleId="Footer">
    <w:name w:val="footer"/>
    <w:basedOn w:val="Normal"/>
    <w:link w:val="FooterChar"/>
    <w:uiPriority w:val="99"/>
    <w:unhideWhenUsed/>
    <w:rsid w:val="008B6253"/>
    <w:pPr>
      <w:tabs>
        <w:tab w:val="center" w:pos="4513"/>
        <w:tab w:val="right" w:pos="9026"/>
      </w:tabs>
      <w:spacing w:after="0"/>
    </w:pPr>
  </w:style>
  <w:style w:type="character" w:customStyle="1" w:styleId="FooterChar">
    <w:name w:val="Footer Char"/>
    <w:basedOn w:val="DefaultParagraphFont"/>
    <w:link w:val="Footer"/>
    <w:uiPriority w:val="99"/>
    <w:rsid w:val="008B6253"/>
    <w:rPr>
      <w:rFonts w:ascii="Times New Roman" w:hAnsi="Times New Roman" w:cs="Times New Roman"/>
      <w:sz w:val="24"/>
    </w:rPr>
  </w:style>
  <w:style w:type="paragraph" w:customStyle="1" w:styleId="FooterCoverPage">
    <w:name w:val="Footer Cover Page"/>
    <w:basedOn w:val="Normal"/>
    <w:link w:val="FooterCoverPageChar"/>
    <w:rsid w:val="008B6253"/>
    <w:pPr>
      <w:tabs>
        <w:tab w:val="center" w:pos="4535"/>
        <w:tab w:val="right" w:pos="9071"/>
        <w:tab w:val="right" w:pos="9921"/>
      </w:tabs>
      <w:spacing w:before="360" w:after="0"/>
      <w:ind w:left="-850" w:right="-850"/>
      <w:jc w:val="left"/>
    </w:pPr>
    <w:rPr>
      <w:rFonts w:ascii="Times New Roman" w:hAnsi="Times New Roman"/>
      <w:sz w:val="24"/>
    </w:rPr>
  </w:style>
  <w:style w:type="character" w:customStyle="1" w:styleId="FooterCoverPageChar">
    <w:name w:val="Footer Cover Page Char"/>
    <w:basedOn w:val="DefaultParagraphFont"/>
    <w:link w:val="FooterCoverPage"/>
    <w:rsid w:val="008B6253"/>
    <w:rPr>
      <w:rFonts w:ascii="Times New Roman" w:hAnsi="Times New Roman" w:cs="Times New Roman"/>
      <w:sz w:val="24"/>
    </w:rPr>
  </w:style>
  <w:style w:type="paragraph" w:customStyle="1" w:styleId="HeaderCoverPage">
    <w:name w:val="Header Cover Page"/>
    <w:basedOn w:val="Normal"/>
    <w:link w:val="HeaderCoverPageChar"/>
    <w:rsid w:val="008B6253"/>
    <w:pPr>
      <w:tabs>
        <w:tab w:val="center" w:pos="4535"/>
        <w:tab w:val="right" w:pos="9071"/>
      </w:tabs>
      <w:spacing w:after="120"/>
    </w:pPr>
    <w:rPr>
      <w:rFonts w:ascii="Times New Roman" w:hAnsi="Times New Roman"/>
      <w:sz w:val="24"/>
    </w:rPr>
  </w:style>
  <w:style w:type="character" w:customStyle="1" w:styleId="HeaderCoverPageChar">
    <w:name w:val="Header Cover Page Char"/>
    <w:basedOn w:val="DefaultParagraphFont"/>
    <w:link w:val="HeaderCoverPage"/>
    <w:rsid w:val="008B6253"/>
    <w:rPr>
      <w:rFonts w:ascii="Times New Roman" w:hAnsi="Times New Roman" w:cs="Times New Roman"/>
      <w:sz w:val="24"/>
    </w:rPr>
  </w:style>
  <w:style w:type="character" w:styleId="FootnoteReference">
    <w:name w:val="footnote reference"/>
    <w:link w:val="BVIfnrChar"/>
    <w:uiPriority w:val="99"/>
    <w:qFormat/>
    <w:rsid w:val="008B6253"/>
    <w:rPr>
      <w:vertAlign w:val="superscript"/>
    </w:rPr>
  </w:style>
  <w:style w:type="paragraph" w:styleId="FootnoteText">
    <w:name w:val="footnote text"/>
    <w:basedOn w:val="Normal"/>
    <w:link w:val="FootnoteTextChar"/>
    <w:uiPriority w:val="99"/>
    <w:qFormat/>
    <w:rsid w:val="008B6253"/>
    <w:pPr>
      <w:spacing w:after="0"/>
      <w:ind w:left="720" w:hanging="720"/>
    </w:pPr>
    <w:rPr>
      <w:sz w:val="20"/>
    </w:rPr>
  </w:style>
  <w:style w:type="character" w:customStyle="1" w:styleId="FootnoteTextChar">
    <w:name w:val="Footnote Text Char"/>
    <w:basedOn w:val="DefaultParagraphFont"/>
    <w:link w:val="FootnoteText"/>
    <w:uiPriority w:val="99"/>
    <w:rsid w:val="008B6253"/>
    <w:rPr>
      <w:rFonts w:ascii="Times New Roman" w:eastAsia="Times New Roman" w:hAnsi="Times New Roman" w:cs="Times New Roman"/>
      <w:sz w:val="20"/>
    </w:rPr>
  </w:style>
  <w:style w:type="paragraph" w:styleId="TOC1">
    <w:name w:val="toc 1"/>
    <w:basedOn w:val="Normal"/>
    <w:next w:val="Normal"/>
    <w:uiPriority w:val="39"/>
    <w:qFormat/>
    <w:rsid w:val="008B6253"/>
    <w:pPr>
      <w:tabs>
        <w:tab w:val="right" w:leader="dot" w:pos="9071"/>
      </w:tabs>
      <w:spacing w:before="60" w:after="120"/>
      <w:ind w:left="850" w:hanging="850"/>
    </w:pPr>
  </w:style>
  <w:style w:type="paragraph" w:styleId="TOCHeading">
    <w:name w:val="TOC Heading"/>
    <w:basedOn w:val="Normal"/>
    <w:next w:val="Normal"/>
    <w:link w:val="TOCHeadingChar"/>
    <w:uiPriority w:val="39"/>
    <w:qFormat/>
    <w:rsid w:val="008B6253"/>
    <w:pPr>
      <w:spacing w:before="120" w:after="240"/>
      <w:jc w:val="center"/>
    </w:pPr>
    <w:rPr>
      <w:b/>
      <w:sz w:val="28"/>
    </w:rPr>
  </w:style>
  <w:style w:type="character" w:styleId="Hyperlink">
    <w:name w:val="Hyperlink"/>
    <w:uiPriority w:val="99"/>
    <w:rsid w:val="008B6253"/>
    <w:rPr>
      <w:rFonts w:cs="Times New Roman"/>
      <w:color w:val="0000FF"/>
      <w:u w:val="single"/>
      <w:shd w:val="clear" w:color="auto" w:fill="auto"/>
    </w:rPr>
  </w:style>
  <w:style w:type="character" w:customStyle="1" w:styleId="TOCHeadingChar">
    <w:name w:val="TOC Heading Char"/>
    <w:link w:val="TOCHeading"/>
    <w:uiPriority w:val="39"/>
    <w:rsid w:val="008B6253"/>
    <w:rPr>
      <w:rFonts w:ascii="Times New Roman" w:eastAsia="Times New Roman" w:hAnsi="Times New Roman" w:cs="Times New Roman"/>
      <w:b/>
      <w:sz w:val="28"/>
    </w:rPr>
  </w:style>
  <w:style w:type="paragraph" w:styleId="Subtitle">
    <w:name w:val="Subtitle"/>
    <w:basedOn w:val="Normal"/>
    <w:next w:val="Normal"/>
    <w:link w:val="SubtitleChar"/>
    <w:qFormat/>
    <w:rsid w:val="008B6253"/>
    <w:pPr>
      <w:spacing w:before="120" w:after="60"/>
      <w:jc w:val="center"/>
      <w:outlineLvl w:val="1"/>
    </w:pPr>
    <w:rPr>
      <w:rFonts w:ascii="Cambria" w:eastAsia="Times New Roman" w:hAnsi="Cambria"/>
    </w:rPr>
  </w:style>
  <w:style w:type="character" w:customStyle="1" w:styleId="SubtitleChar">
    <w:name w:val="Subtitle Char"/>
    <w:basedOn w:val="DefaultParagraphFont"/>
    <w:link w:val="Subtitle"/>
    <w:rsid w:val="008B6253"/>
    <w:rPr>
      <w:rFonts w:ascii="Cambria" w:eastAsia="Times New Roman" w:hAnsi="Cambria" w:cs="Times New Roman"/>
      <w:sz w:val="24"/>
    </w:rPr>
  </w:style>
  <w:style w:type="paragraph" w:styleId="NormalWeb">
    <w:name w:val="Normal (Web)"/>
    <w:basedOn w:val="Normal"/>
    <w:uiPriority w:val="99"/>
    <w:unhideWhenUsed/>
    <w:rsid w:val="008B6253"/>
    <w:pPr>
      <w:spacing w:before="100" w:beforeAutospacing="1" w:after="100" w:afterAutospacing="1"/>
    </w:pPr>
  </w:style>
  <w:style w:type="paragraph" w:customStyle="1" w:styleId="BVIfnrChar">
    <w:name w:val="BVI fnr Char"/>
    <w:basedOn w:val="Normal"/>
    <w:link w:val="FootnoteReference"/>
    <w:uiPriority w:val="99"/>
    <w:rsid w:val="008B6253"/>
    <w:pPr>
      <w:spacing w:line="240" w:lineRule="exact"/>
    </w:pPr>
    <w:rPr>
      <w:rFonts w:asciiTheme="minorHAnsi" w:hAnsiTheme="minorHAnsi" w:cstheme="minorBidi"/>
      <w:vertAlign w:val="superscript"/>
    </w:rPr>
  </w:style>
  <w:style w:type="paragraph" w:styleId="ListParagraph">
    <w:name w:val="List Paragraph"/>
    <w:basedOn w:val="Normal"/>
    <w:link w:val="ListParagraphChar"/>
    <w:uiPriority w:val="34"/>
    <w:qFormat/>
    <w:rsid w:val="008B6253"/>
    <w:pPr>
      <w:spacing w:line="259" w:lineRule="auto"/>
      <w:ind w:left="720"/>
      <w:contextualSpacing/>
    </w:pPr>
    <w:rPr>
      <w:rFonts w:asciiTheme="minorHAnsi" w:hAnsiTheme="minorHAnsi" w:cstheme="minorBidi"/>
    </w:rPr>
  </w:style>
  <w:style w:type="character" w:styleId="IntenseReference">
    <w:name w:val="Intense Reference"/>
    <w:basedOn w:val="DefaultParagraphFont"/>
    <w:uiPriority w:val="32"/>
    <w:qFormat/>
    <w:rsid w:val="008B6253"/>
    <w:rPr>
      <w:b/>
      <w:smallCaps/>
      <w:color w:val="034EA2" w:themeColor="accent1"/>
      <w:spacing w:val="5"/>
    </w:rPr>
  </w:style>
  <w:style w:type="table" w:styleId="GridTable1Light-Accent1">
    <w:name w:val="Grid Table 1 Light Accent 1"/>
    <w:basedOn w:val="TableNormal"/>
    <w:uiPriority w:val="46"/>
    <w:rsid w:val="008B6253"/>
    <w:pPr>
      <w:spacing w:after="0" w:line="240" w:lineRule="auto"/>
    </w:pPr>
    <w:rPr>
      <w:rFonts w:ascii="Times New Roman" w:eastAsia="Times New Roman" w:hAnsi="Times New Roman" w:cs="Times New Roman"/>
      <w:sz w:val="20"/>
    </w:rPr>
    <w:tblPr>
      <w:tblStyleRowBandSize w:val="1"/>
      <w:tblStyleColBandSize w:val="1"/>
      <w:tblBorders>
        <w:top w:val="single" w:sz="4" w:space="0" w:color="77B6FC" w:themeColor="accent1" w:themeTint="66"/>
        <w:left w:val="single" w:sz="4" w:space="0" w:color="77B6FC" w:themeColor="accent1" w:themeTint="66"/>
        <w:bottom w:val="single" w:sz="4" w:space="0" w:color="77B6FC" w:themeColor="accent1" w:themeTint="66"/>
        <w:right w:val="single" w:sz="4" w:space="0" w:color="77B6FC" w:themeColor="accent1" w:themeTint="66"/>
        <w:insideH w:val="single" w:sz="4" w:space="0" w:color="77B6FC" w:themeColor="accent1" w:themeTint="66"/>
        <w:insideV w:val="single" w:sz="4" w:space="0" w:color="77B6FC" w:themeColor="accent1" w:themeTint="66"/>
      </w:tblBorders>
    </w:tblPr>
    <w:tblStylePr w:type="firstRow">
      <w:rPr>
        <w:b/>
      </w:rPr>
      <w:tblPr/>
      <w:tcPr>
        <w:tcBorders>
          <w:bottom w:val="single" w:sz="12" w:space="0" w:color="3391FB" w:themeColor="accent1" w:themeTint="99"/>
        </w:tcBorders>
      </w:tcPr>
    </w:tblStylePr>
    <w:tblStylePr w:type="lastRow">
      <w:rPr>
        <w:b/>
      </w:rPr>
      <w:tblPr/>
      <w:tcPr>
        <w:tcBorders>
          <w:top w:val="double" w:sz="2" w:space="0" w:color="3391FB" w:themeColor="accent1" w:themeTint="99"/>
        </w:tcBorders>
      </w:tcPr>
    </w:tblStylePr>
    <w:tblStylePr w:type="firstCol">
      <w:rPr>
        <w:b/>
      </w:rPr>
    </w:tblStylePr>
    <w:tblStylePr w:type="lastCol">
      <w:rPr>
        <w:b/>
      </w:rPr>
    </w:tblStylePr>
  </w:style>
  <w:style w:type="character" w:customStyle="1" w:styleId="ListParagraphChar">
    <w:name w:val="List Paragraph Char"/>
    <w:basedOn w:val="DefaultParagraphFont"/>
    <w:link w:val="ListParagraph"/>
    <w:uiPriority w:val="34"/>
    <w:qFormat/>
    <w:locked/>
    <w:rsid w:val="008B6253"/>
  </w:style>
  <w:style w:type="table" w:customStyle="1" w:styleId="TableGrid1">
    <w:name w:val="Table Grid1"/>
    <w:basedOn w:val="TableNormal"/>
    <w:next w:val="TableGrid"/>
    <w:uiPriority w:val="39"/>
    <w:rsid w:val="008B625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8B6253"/>
    <w:rPr>
      <w:color w:val="0000FF"/>
      <w:shd w:val="clear" w:color="auto" w:fill="auto"/>
    </w:rPr>
  </w:style>
  <w:style w:type="paragraph" w:customStyle="1" w:styleId="Pagedecouverture">
    <w:name w:val="Page de couverture"/>
    <w:basedOn w:val="Normal"/>
    <w:next w:val="Normal"/>
    <w:rsid w:val="008B6253"/>
    <w:pPr>
      <w:spacing w:after="0"/>
    </w:pPr>
  </w:style>
  <w:style w:type="paragraph" w:customStyle="1" w:styleId="FooterSensitivity">
    <w:name w:val="Footer Sensitivity"/>
    <w:basedOn w:val="Normal"/>
    <w:link w:val="FooterSensitivityChar"/>
    <w:rsid w:val="008B6253"/>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TOCHeadingChar"/>
    <w:link w:val="FooterSensitivity"/>
    <w:rsid w:val="008B6253"/>
    <w:rPr>
      <w:rFonts w:ascii="Times New Roman" w:eastAsia="Times New Roman" w:hAnsi="Times New Roman" w:cs="Times New Roman"/>
      <w:b/>
      <w:sz w:val="32"/>
    </w:rPr>
  </w:style>
  <w:style w:type="paragraph" w:customStyle="1" w:styleId="HeaderSensitivity">
    <w:name w:val="Header Sensitivity"/>
    <w:basedOn w:val="Normal"/>
    <w:link w:val="HeaderSensitivityChar"/>
    <w:rsid w:val="008B6253"/>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sid w:val="008B6253"/>
    <w:rPr>
      <w:rFonts w:ascii="Times New Roman" w:eastAsia="Times New Roman" w:hAnsi="Times New Roman" w:cs="Times New Roman"/>
      <w:b/>
      <w:sz w:val="32"/>
    </w:rPr>
  </w:style>
  <w:style w:type="paragraph" w:customStyle="1" w:styleId="HeaderSensitivityRight">
    <w:name w:val="Header Sensitivity Right"/>
    <w:basedOn w:val="Normal"/>
    <w:link w:val="HeaderSensitivityRightChar"/>
    <w:rsid w:val="008B6253"/>
    <w:pPr>
      <w:spacing w:after="120"/>
      <w:jc w:val="right"/>
    </w:pPr>
    <w:rPr>
      <w:rFonts w:ascii="Times New Roman" w:hAnsi="Times New Roman"/>
      <w:sz w:val="28"/>
    </w:rPr>
  </w:style>
  <w:style w:type="character" w:customStyle="1" w:styleId="HeaderSensitivityRightChar">
    <w:name w:val="Header Sensitivity Right Char"/>
    <w:basedOn w:val="TOCHeadingChar"/>
    <w:link w:val="HeaderSensitivityRight"/>
    <w:rsid w:val="008B6253"/>
    <w:rPr>
      <w:rFonts w:ascii="Times New Roman" w:eastAsia="Times New Roman" w:hAnsi="Times New Roman" w:cs="Times New Roman"/>
      <w:b w:val="0"/>
      <w:sz w:val="28"/>
    </w:rPr>
  </w:style>
  <w:style w:type="table" w:customStyle="1" w:styleId="TableGrid11">
    <w:name w:val="Table Grid11"/>
    <w:basedOn w:val="TableNormal"/>
    <w:next w:val="TableGrid"/>
    <w:uiPriority w:val="39"/>
    <w:rsid w:val="00804E4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554AF"/>
    <w:pPr>
      <w:spacing w:after="100"/>
      <w:ind w:left="240"/>
    </w:pPr>
  </w:style>
  <w:style w:type="character" w:styleId="CommentReference">
    <w:name w:val="annotation reference"/>
    <w:basedOn w:val="DefaultParagraphFont"/>
    <w:uiPriority w:val="99"/>
    <w:semiHidden/>
    <w:unhideWhenUsed/>
    <w:rsid w:val="00D56EF0"/>
    <w:rPr>
      <w:sz w:val="16"/>
    </w:rPr>
  </w:style>
  <w:style w:type="paragraph" w:styleId="CommentText">
    <w:name w:val="annotation text"/>
    <w:basedOn w:val="Normal"/>
    <w:link w:val="CommentTextChar"/>
    <w:uiPriority w:val="99"/>
    <w:unhideWhenUsed/>
    <w:rsid w:val="00D56EF0"/>
    <w:rPr>
      <w:sz w:val="20"/>
    </w:rPr>
  </w:style>
  <w:style w:type="character" w:customStyle="1" w:styleId="CommentTextChar">
    <w:name w:val="Comment Text Char"/>
    <w:basedOn w:val="DefaultParagraphFont"/>
    <w:link w:val="CommentText"/>
    <w:uiPriority w:val="99"/>
    <w:rsid w:val="00D56EF0"/>
    <w:rPr>
      <w:rFonts w:ascii="Times New Roman" w:hAnsi="Times New Roman" w:cs="Times New Roman"/>
      <w:sz w:val="20"/>
    </w:rPr>
  </w:style>
  <w:style w:type="paragraph" w:styleId="BalloonText">
    <w:name w:val="Balloon Text"/>
    <w:basedOn w:val="Normal"/>
    <w:link w:val="BalloonTextChar"/>
    <w:uiPriority w:val="99"/>
    <w:semiHidden/>
    <w:unhideWhenUsed/>
    <w:rsid w:val="00D56EF0"/>
    <w:pPr>
      <w:spacing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56EF0"/>
    <w:rPr>
      <w:rFonts w:ascii="Segoe UI" w:hAnsi="Segoe UI" w:cs="Segoe UI"/>
      <w:sz w:val="18"/>
    </w:rPr>
  </w:style>
  <w:style w:type="paragraph" w:styleId="CommentSubject">
    <w:name w:val="annotation subject"/>
    <w:basedOn w:val="CommentText"/>
    <w:next w:val="CommentText"/>
    <w:link w:val="CommentSubjectChar"/>
    <w:uiPriority w:val="99"/>
    <w:semiHidden/>
    <w:unhideWhenUsed/>
    <w:rsid w:val="002B7257"/>
    <w:rPr>
      <w:b/>
    </w:rPr>
  </w:style>
  <w:style w:type="character" w:customStyle="1" w:styleId="CommentSubjectChar">
    <w:name w:val="Comment Subject Char"/>
    <w:basedOn w:val="CommentTextChar"/>
    <w:link w:val="CommentSubject"/>
    <w:uiPriority w:val="99"/>
    <w:semiHidden/>
    <w:rsid w:val="002B7257"/>
    <w:rPr>
      <w:rFonts w:ascii="Times New Roman" w:hAnsi="Times New Roman" w:cs="Times New Roman"/>
      <w:b/>
      <w:sz w:val="20"/>
    </w:rPr>
  </w:style>
  <w:style w:type="paragraph" w:styleId="Revision">
    <w:name w:val="Revision"/>
    <w:hidden/>
    <w:uiPriority w:val="99"/>
    <w:semiHidden/>
    <w:rsid w:val="00E834C5"/>
    <w:pPr>
      <w:spacing w:after="0" w:line="240" w:lineRule="auto"/>
    </w:pPr>
    <w:rPr>
      <w:rFonts w:ascii="Times New Roman" w:hAnsi="Times New Roman" w:cs="Times New Roman"/>
      <w:sz w:val="24"/>
    </w:rPr>
  </w:style>
  <w:style w:type="character" w:styleId="Strong">
    <w:name w:val="Strong"/>
    <w:basedOn w:val="DefaultParagraphFont"/>
    <w:uiPriority w:val="22"/>
    <w:qFormat/>
    <w:rsid w:val="00BD275C"/>
    <w:rPr>
      <w:b/>
    </w:rPr>
  </w:style>
  <w:style w:type="character" w:customStyle="1" w:styleId="Heading2Char">
    <w:name w:val="Heading 2 Char"/>
    <w:basedOn w:val="DefaultParagraphFont"/>
    <w:link w:val="Heading2"/>
    <w:uiPriority w:val="9"/>
    <w:rsid w:val="002703F1"/>
    <w:rPr>
      <w:rFonts w:ascii="EC Square Sans Pro" w:eastAsiaTheme="majorEastAsia" w:hAnsi="EC Square Sans Pro" w:cstheme="majorBidi"/>
      <w:caps/>
      <w:color w:val="70AD47" w:themeColor="accent2"/>
      <w:sz w:val="24"/>
    </w:rPr>
  </w:style>
  <w:style w:type="character" w:styleId="FollowedHyperlink">
    <w:name w:val="FollowedHyperlink"/>
    <w:basedOn w:val="DefaultParagraphFont"/>
    <w:uiPriority w:val="99"/>
    <w:semiHidden/>
    <w:unhideWhenUsed/>
    <w:rsid w:val="001C3C2E"/>
    <w:rPr>
      <w:color w:val="954F72" w:themeColor="followedHyperlink"/>
      <w:u w:val="single"/>
    </w:rPr>
  </w:style>
  <w:style w:type="paragraph" w:styleId="PlainText">
    <w:name w:val="Plain Text"/>
    <w:basedOn w:val="Normal"/>
    <w:link w:val="PlainTextChar"/>
    <w:uiPriority w:val="99"/>
    <w:unhideWhenUsed/>
    <w:rsid w:val="00547755"/>
    <w:pPr>
      <w:spacing w:after="0"/>
    </w:pPr>
    <w:rPr>
      <w:rFonts w:ascii="Calibri" w:hAnsi="Calibri" w:cstheme="minorBidi"/>
    </w:rPr>
  </w:style>
  <w:style w:type="character" w:customStyle="1" w:styleId="PlainTextChar">
    <w:name w:val="Plain Text Char"/>
    <w:basedOn w:val="DefaultParagraphFont"/>
    <w:link w:val="PlainText"/>
    <w:uiPriority w:val="99"/>
    <w:rsid w:val="00547755"/>
    <w:rPr>
      <w:rFonts w:ascii="Calibri" w:hAnsi="Calibri"/>
    </w:rPr>
  </w:style>
  <w:style w:type="paragraph" w:customStyle="1" w:styleId="ecl-page-header-standardiseddescription">
    <w:name w:val="ecl-page-header-standardised__description"/>
    <w:basedOn w:val="Normal"/>
    <w:uiPriority w:val="99"/>
    <w:rsid w:val="007A1FE8"/>
    <w:pPr>
      <w:spacing w:before="100" w:beforeAutospacing="1" w:after="100" w:afterAutospacing="1"/>
    </w:pPr>
  </w:style>
  <w:style w:type="character" w:customStyle="1" w:styleId="UnresolvedMention1">
    <w:name w:val="Unresolved Mention1"/>
    <w:basedOn w:val="DefaultParagraphFont"/>
    <w:uiPriority w:val="99"/>
    <w:semiHidden/>
    <w:unhideWhenUsed/>
    <w:rsid w:val="00580C86"/>
    <w:rPr>
      <w:color w:val="605E5C"/>
      <w:shd w:val="clear" w:color="auto" w:fill="E1DFDD"/>
    </w:rPr>
  </w:style>
  <w:style w:type="character" w:customStyle="1" w:styleId="UnresolvedMention">
    <w:name w:val="Unresolved Mention"/>
    <w:basedOn w:val="DefaultParagraphFont"/>
    <w:uiPriority w:val="99"/>
    <w:semiHidden/>
    <w:unhideWhenUsed/>
    <w:rsid w:val="00B7513E"/>
    <w:rPr>
      <w:color w:val="605E5C"/>
      <w:shd w:val="clear" w:color="auto" w:fill="E1DFDD"/>
    </w:rPr>
  </w:style>
  <w:style w:type="table" w:styleId="GridTable4-Accent5">
    <w:name w:val="Grid Table 4 Accent 5"/>
    <w:basedOn w:val="TableNormal"/>
    <w:uiPriority w:val="49"/>
    <w:rsid w:val="00FA602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rPr>
      <w:tblPr/>
      <w:tcPr>
        <w:tcBorders>
          <w:top w:val="double" w:sz="4" w:space="0" w:color="5B9BD5" w:themeColor="accent5"/>
        </w:tcBorders>
      </w:tcPr>
    </w:tblStylePr>
    <w:tblStylePr w:type="firstCol">
      <w:rPr>
        <w:b/>
      </w:rPr>
    </w:tblStylePr>
    <w:tblStylePr w:type="lastCol">
      <w:rPr>
        <w:b/>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865">
      <w:bodyDiv w:val="1"/>
      <w:marLeft w:val="0"/>
      <w:marRight w:val="0"/>
      <w:marTop w:val="0"/>
      <w:marBottom w:val="0"/>
      <w:divBdr>
        <w:top w:val="none" w:sz="0" w:space="0" w:color="auto"/>
        <w:left w:val="none" w:sz="0" w:space="0" w:color="auto"/>
        <w:bottom w:val="none" w:sz="0" w:space="0" w:color="auto"/>
        <w:right w:val="none" w:sz="0" w:space="0" w:color="auto"/>
      </w:divBdr>
    </w:div>
    <w:div w:id="34670410">
      <w:bodyDiv w:val="1"/>
      <w:marLeft w:val="0"/>
      <w:marRight w:val="0"/>
      <w:marTop w:val="0"/>
      <w:marBottom w:val="0"/>
      <w:divBdr>
        <w:top w:val="none" w:sz="0" w:space="0" w:color="auto"/>
        <w:left w:val="none" w:sz="0" w:space="0" w:color="auto"/>
        <w:bottom w:val="none" w:sz="0" w:space="0" w:color="auto"/>
        <w:right w:val="none" w:sz="0" w:space="0" w:color="auto"/>
      </w:divBdr>
    </w:div>
    <w:div w:id="84570062">
      <w:bodyDiv w:val="1"/>
      <w:marLeft w:val="0"/>
      <w:marRight w:val="0"/>
      <w:marTop w:val="0"/>
      <w:marBottom w:val="0"/>
      <w:divBdr>
        <w:top w:val="none" w:sz="0" w:space="0" w:color="auto"/>
        <w:left w:val="none" w:sz="0" w:space="0" w:color="auto"/>
        <w:bottom w:val="none" w:sz="0" w:space="0" w:color="auto"/>
        <w:right w:val="none" w:sz="0" w:space="0" w:color="auto"/>
      </w:divBdr>
    </w:div>
    <w:div w:id="115149302">
      <w:bodyDiv w:val="1"/>
      <w:marLeft w:val="0"/>
      <w:marRight w:val="0"/>
      <w:marTop w:val="0"/>
      <w:marBottom w:val="0"/>
      <w:divBdr>
        <w:top w:val="none" w:sz="0" w:space="0" w:color="auto"/>
        <w:left w:val="none" w:sz="0" w:space="0" w:color="auto"/>
        <w:bottom w:val="none" w:sz="0" w:space="0" w:color="auto"/>
        <w:right w:val="none" w:sz="0" w:space="0" w:color="auto"/>
      </w:divBdr>
    </w:div>
    <w:div w:id="204485303">
      <w:bodyDiv w:val="1"/>
      <w:marLeft w:val="0"/>
      <w:marRight w:val="0"/>
      <w:marTop w:val="0"/>
      <w:marBottom w:val="0"/>
      <w:divBdr>
        <w:top w:val="none" w:sz="0" w:space="0" w:color="auto"/>
        <w:left w:val="none" w:sz="0" w:space="0" w:color="auto"/>
        <w:bottom w:val="none" w:sz="0" w:space="0" w:color="auto"/>
        <w:right w:val="none" w:sz="0" w:space="0" w:color="auto"/>
      </w:divBdr>
    </w:div>
    <w:div w:id="210462789">
      <w:bodyDiv w:val="1"/>
      <w:marLeft w:val="0"/>
      <w:marRight w:val="0"/>
      <w:marTop w:val="0"/>
      <w:marBottom w:val="0"/>
      <w:divBdr>
        <w:top w:val="none" w:sz="0" w:space="0" w:color="auto"/>
        <w:left w:val="none" w:sz="0" w:space="0" w:color="auto"/>
        <w:bottom w:val="none" w:sz="0" w:space="0" w:color="auto"/>
        <w:right w:val="none" w:sz="0" w:space="0" w:color="auto"/>
      </w:divBdr>
    </w:div>
    <w:div w:id="226034699">
      <w:bodyDiv w:val="1"/>
      <w:marLeft w:val="0"/>
      <w:marRight w:val="0"/>
      <w:marTop w:val="0"/>
      <w:marBottom w:val="0"/>
      <w:divBdr>
        <w:top w:val="none" w:sz="0" w:space="0" w:color="auto"/>
        <w:left w:val="none" w:sz="0" w:space="0" w:color="auto"/>
        <w:bottom w:val="none" w:sz="0" w:space="0" w:color="auto"/>
        <w:right w:val="none" w:sz="0" w:space="0" w:color="auto"/>
      </w:divBdr>
    </w:div>
    <w:div w:id="238760014">
      <w:bodyDiv w:val="1"/>
      <w:marLeft w:val="0"/>
      <w:marRight w:val="0"/>
      <w:marTop w:val="0"/>
      <w:marBottom w:val="0"/>
      <w:divBdr>
        <w:top w:val="none" w:sz="0" w:space="0" w:color="auto"/>
        <w:left w:val="none" w:sz="0" w:space="0" w:color="auto"/>
        <w:bottom w:val="none" w:sz="0" w:space="0" w:color="auto"/>
        <w:right w:val="none" w:sz="0" w:space="0" w:color="auto"/>
      </w:divBdr>
    </w:div>
    <w:div w:id="265578364">
      <w:bodyDiv w:val="1"/>
      <w:marLeft w:val="0"/>
      <w:marRight w:val="0"/>
      <w:marTop w:val="0"/>
      <w:marBottom w:val="0"/>
      <w:divBdr>
        <w:top w:val="none" w:sz="0" w:space="0" w:color="auto"/>
        <w:left w:val="none" w:sz="0" w:space="0" w:color="auto"/>
        <w:bottom w:val="none" w:sz="0" w:space="0" w:color="auto"/>
        <w:right w:val="none" w:sz="0" w:space="0" w:color="auto"/>
      </w:divBdr>
    </w:div>
    <w:div w:id="279189576">
      <w:bodyDiv w:val="1"/>
      <w:marLeft w:val="0"/>
      <w:marRight w:val="0"/>
      <w:marTop w:val="0"/>
      <w:marBottom w:val="0"/>
      <w:divBdr>
        <w:top w:val="none" w:sz="0" w:space="0" w:color="auto"/>
        <w:left w:val="none" w:sz="0" w:space="0" w:color="auto"/>
        <w:bottom w:val="none" w:sz="0" w:space="0" w:color="auto"/>
        <w:right w:val="none" w:sz="0" w:space="0" w:color="auto"/>
      </w:divBdr>
    </w:div>
    <w:div w:id="284119342">
      <w:bodyDiv w:val="1"/>
      <w:marLeft w:val="0"/>
      <w:marRight w:val="0"/>
      <w:marTop w:val="0"/>
      <w:marBottom w:val="0"/>
      <w:divBdr>
        <w:top w:val="none" w:sz="0" w:space="0" w:color="auto"/>
        <w:left w:val="none" w:sz="0" w:space="0" w:color="auto"/>
        <w:bottom w:val="none" w:sz="0" w:space="0" w:color="auto"/>
        <w:right w:val="none" w:sz="0" w:space="0" w:color="auto"/>
      </w:divBdr>
    </w:div>
    <w:div w:id="295723376">
      <w:bodyDiv w:val="1"/>
      <w:marLeft w:val="0"/>
      <w:marRight w:val="0"/>
      <w:marTop w:val="0"/>
      <w:marBottom w:val="0"/>
      <w:divBdr>
        <w:top w:val="none" w:sz="0" w:space="0" w:color="auto"/>
        <w:left w:val="none" w:sz="0" w:space="0" w:color="auto"/>
        <w:bottom w:val="none" w:sz="0" w:space="0" w:color="auto"/>
        <w:right w:val="none" w:sz="0" w:space="0" w:color="auto"/>
      </w:divBdr>
    </w:div>
    <w:div w:id="297810240">
      <w:bodyDiv w:val="1"/>
      <w:marLeft w:val="0"/>
      <w:marRight w:val="0"/>
      <w:marTop w:val="0"/>
      <w:marBottom w:val="0"/>
      <w:divBdr>
        <w:top w:val="none" w:sz="0" w:space="0" w:color="auto"/>
        <w:left w:val="none" w:sz="0" w:space="0" w:color="auto"/>
        <w:bottom w:val="none" w:sz="0" w:space="0" w:color="auto"/>
        <w:right w:val="none" w:sz="0" w:space="0" w:color="auto"/>
      </w:divBdr>
    </w:div>
    <w:div w:id="303391389">
      <w:bodyDiv w:val="1"/>
      <w:marLeft w:val="0"/>
      <w:marRight w:val="0"/>
      <w:marTop w:val="0"/>
      <w:marBottom w:val="0"/>
      <w:divBdr>
        <w:top w:val="none" w:sz="0" w:space="0" w:color="auto"/>
        <w:left w:val="none" w:sz="0" w:space="0" w:color="auto"/>
        <w:bottom w:val="none" w:sz="0" w:space="0" w:color="auto"/>
        <w:right w:val="none" w:sz="0" w:space="0" w:color="auto"/>
      </w:divBdr>
    </w:div>
    <w:div w:id="321785287">
      <w:bodyDiv w:val="1"/>
      <w:marLeft w:val="0"/>
      <w:marRight w:val="0"/>
      <w:marTop w:val="0"/>
      <w:marBottom w:val="0"/>
      <w:divBdr>
        <w:top w:val="none" w:sz="0" w:space="0" w:color="auto"/>
        <w:left w:val="none" w:sz="0" w:space="0" w:color="auto"/>
        <w:bottom w:val="none" w:sz="0" w:space="0" w:color="auto"/>
        <w:right w:val="none" w:sz="0" w:space="0" w:color="auto"/>
      </w:divBdr>
    </w:div>
    <w:div w:id="340161298">
      <w:bodyDiv w:val="1"/>
      <w:marLeft w:val="0"/>
      <w:marRight w:val="0"/>
      <w:marTop w:val="0"/>
      <w:marBottom w:val="0"/>
      <w:divBdr>
        <w:top w:val="none" w:sz="0" w:space="0" w:color="auto"/>
        <w:left w:val="none" w:sz="0" w:space="0" w:color="auto"/>
        <w:bottom w:val="none" w:sz="0" w:space="0" w:color="auto"/>
        <w:right w:val="none" w:sz="0" w:space="0" w:color="auto"/>
      </w:divBdr>
    </w:div>
    <w:div w:id="351421111">
      <w:bodyDiv w:val="1"/>
      <w:marLeft w:val="0"/>
      <w:marRight w:val="0"/>
      <w:marTop w:val="0"/>
      <w:marBottom w:val="0"/>
      <w:divBdr>
        <w:top w:val="none" w:sz="0" w:space="0" w:color="auto"/>
        <w:left w:val="none" w:sz="0" w:space="0" w:color="auto"/>
        <w:bottom w:val="none" w:sz="0" w:space="0" w:color="auto"/>
        <w:right w:val="none" w:sz="0" w:space="0" w:color="auto"/>
      </w:divBdr>
    </w:div>
    <w:div w:id="351611388">
      <w:bodyDiv w:val="1"/>
      <w:marLeft w:val="0"/>
      <w:marRight w:val="0"/>
      <w:marTop w:val="0"/>
      <w:marBottom w:val="0"/>
      <w:divBdr>
        <w:top w:val="none" w:sz="0" w:space="0" w:color="auto"/>
        <w:left w:val="none" w:sz="0" w:space="0" w:color="auto"/>
        <w:bottom w:val="none" w:sz="0" w:space="0" w:color="auto"/>
        <w:right w:val="none" w:sz="0" w:space="0" w:color="auto"/>
      </w:divBdr>
    </w:div>
    <w:div w:id="364604937">
      <w:bodyDiv w:val="1"/>
      <w:marLeft w:val="0"/>
      <w:marRight w:val="0"/>
      <w:marTop w:val="0"/>
      <w:marBottom w:val="0"/>
      <w:divBdr>
        <w:top w:val="none" w:sz="0" w:space="0" w:color="auto"/>
        <w:left w:val="none" w:sz="0" w:space="0" w:color="auto"/>
        <w:bottom w:val="none" w:sz="0" w:space="0" w:color="auto"/>
        <w:right w:val="none" w:sz="0" w:space="0" w:color="auto"/>
      </w:divBdr>
    </w:div>
    <w:div w:id="393508607">
      <w:bodyDiv w:val="1"/>
      <w:marLeft w:val="0"/>
      <w:marRight w:val="0"/>
      <w:marTop w:val="0"/>
      <w:marBottom w:val="0"/>
      <w:divBdr>
        <w:top w:val="none" w:sz="0" w:space="0" w:color="auto"/>
        <w:left w:val="none" w:sz="0" w:space="0" w:color="auto"/>
        <w:bottom w:val="none" w:sz="0" w:space="0" w:color="auto"/>
        <w:right w:val="none" w:sz="0" w:space="0" w:color="auto"/>
      </w:divBdr>
    </w:div>
    <w:div w:id="405684663">
      <w:bodyDiv w:val="1"/>
      <w:marLeft w:val="0"/>
      <w:marRight w:val="0"/>
      <w:marTop w:val="0"/>
      <w:marBottom w:val="0"/>
      <w:divBdr>
        <w:top w:val="none" w:sz="0" w:space="0" w:color="auto"/>
        <w:left w:val="none" w:sz="0" w:space="0" w:color="auto"/>
        <w:bottom w:val="none" w:sz="0" w:space="0" w:color="auto"/>
        <w:right w:val="none" w:sz="0" w:space="0" w:color="auto"/>
      </w:divBdr>
    </w:div>
    <w:div w:id="442266534">
      <w:bodyDiv w:val="1"/>
      <w:marLeft w:val="0"/>
      <w:marRight w:val="0"/>
      <w:marTop w:val="0"/>
      <w:marBottom w:val="0"/>
      <w:divBdr>
        <w:top w:val="none" w:sz="0" w:space="0" w:color="auto"/>
        <w:left w:val="none" w:sz="0" w:space="0" w:color="auto"/>
        <w:bottom w:val="none" w:sz="0" w:space="0" w:color="auto"/>
        <w:right w:val="none" w:sz="0" w:space="0" w:color="auto"/>
      </w:divBdr>
    </w:div>
    <w:div w:id="483670406">
      <w:bodyDiv w:val="1"/>
      <w:marLeft w:val="0"/>
      <w:marRight w:val="0"/>
      <w:marTop w:val="0"/>
      <w:marBottom w:val="0"/>
      <w:divBdr>
        <w:top w:val="none" w:sz="0" w:space="0" w:color="auto"/>
        <w:left w:val="none" w:sz="0" w:space="0" w:color="auto"/>
        <w:bottom w:val="none" w:sz="0" w:space="0" w:color="auto"/>
        <w:right w:val="none" w:sz="0" w:space="0" w:color="auto"/>
      </w:divBdr>
    </w:div>
    <w:div w:id="573970309">
      <w:bodyDiv w:val="1"/>
      <w:marLeft w:val="0"/>
      <w:marRight w:val="0"/>
      <w:marTop w:val="0"/>
      <w:marBottom w:val="0"/>
      <w:divBdr>
        <w:top w:val="none" w:sz="0" w:space="0" w:color="auto"/>
        <w:left w:val="none" w:sz="0" w:space="0" w:color="auto"/>
        <w:bottom w:val="none" w:sz="0" w:space="0" w:color="auto"/>
        <w:right w:val="none" w:sz="0" w:space="0" w:color="auto"/>
      </w:divBdr>
    </w:div>
    <w:div w:id="595789768">
      <w:bodyDiv w:val="1"/>
      <w:marLeft w:val="0"/>
      <w:marRight w:val="0"/>
      <w:marTop w:val="0"/>
      <w:marBottom w:val="0"/>
      <w:divBdr>
        <w:top w:val="none" w:sz="0" w:space="0" w:color="auto"/>
        <w:left w:val="none" w:sz="0" w:space="0" w:color="auto"/>
        <w:bottom w:val="none" w:sz="0" w:space="0" w:color="auto"/>
        <w:right w:val="none" w:sz="0" w:space="0" w:color="auto"/>
      </w:divBdr>
    </w:div>
    <w:div w:id="596213421">
      <w:bodyDiv w:val="1"/>
      <w:marLeft w:val="0"/>
      <w:marRight w:val="0"/>
      <w:marTop w:val="0"/>
      <w:marBottom w:val="0"/>
      <w:divBdr>
        <w:top w:val="none" w:sz="0" w:space="0" w:color="auto"/>
        <w:left w:val="none" w:sz="0" w:space="0" w:color="auto"/>
        <w:bottom w:val="none" w:sz="0" w:space="0" w:color="auto"/>
        <w:right w:val="none" w:sz="0" w:space="0" w:color="auto"/>
      </w:divBdr>
    </w:div>
    <w:div w:id="608927152">
      <w:bodyDiv w:val="1"/>
      <w:marLeft w:val="0"/>
      <w:marRight w:val="0"/>
      <w:marTop w:val="0"/>
      <w:marBottom w:val="0"/>
      <w:divBdr>
        <w:top w:val="none" w:sz="0" w:space="0" w:color="auto"/>
        <w:left w:val="none" w:sz="0" w:space="0" w:color="auto"/>
        <w:bottom w:val="none" w:sz="0" w:space="0" w:color="auto"/>
        <w:right w:val="none" w:sz="0" w:space="0" w:color="auto"/>
      </w:divBdr>
    </w:div>
    <w:div w:id="652418492">
      <w:bodyDiv w:val="1"/>
      <w:marLeft w:val="0"/>
      <w:marRight w:val="0"/>
      <w:marTop w:val="0"/>
      <w:marBottom w:val="0"/>
      <w:divBdr>
        <w:top w:val="none" w:sz="0" w:space="0" w:color="auto"/>
        <w:left w:val="none" w:sz="0" w:space="0" w:color="auto"/>
        <w:bottom w:val="none" w:sz="0" w:space="0" w:color="auto"/>
        <w:right w:val="none" w:sz="0" w:space="0" w:color="auto"/>
      </w:divBdr>
    </w:div>
    <w:div w:id="663120349">
      <w:bodyDiv w:val="1"/>
      <w:marLeft w:val="0"/>
      <w:marRight w:val="0"/>
      <w:marTop w:val="0"/>
      <w:marBottom w:val="0"/>
      <w:divBdr>
        <w:top w:val="none" w:sz="0" w:space="0" w:color="auto"/>
        <w:left w:val="none" w:sz="0" w:space="0" w:color="auto"/>
        <w:bottom w:val="none" w:sz="0" w:space="0" w:color="auto"/>
        <w:right w:val="none" w:sz="0" w:space="0" w:color="auto"/>
      </w:divBdr>
    </w:div>
    <w:div w:id="666787323">
      <w:bodyDiv w:val="1"/>
      <w:marLeft w:val="0"/>
      <w:marRight w:val="0"/>
      <w:marTop w:val="0"/>
      <w:marBottom w:val="0"/>
      <w:divBdr>
        <w:top w:val="none" w:sz="0" w:space="0" w:color="auto"/>
        <w:left w:val="none" w:sz="0" w:space="0" w:color="auto"/>
        <w:bottom w:val="none" w:sz="0" w:space="0" w:color="auto"/>
        <w:right w:val="none" w:sz="0" w:space="0" w:color="auto"/>
      </w:divBdr>
    </w:div>
    <w:div w:id="709035680">
      <w:bodyDiv w:val="1"/>
      <w:marLeft w:val="0"/>
      <w:marRight w:val="0"/>
      <w:marTop w:val="0"/>
      <w:marBottom w:val="0"/>
      <w:divBdr>
        <w:top w:val="none" w:sz="0" w:space="0" w:color="auto"/>
        <w:left w:val="none" w:sz="0" w:space="0" w:color="auto"/>
        <w:bottom w:val="none" w:sz="0" w:space="0" w:color="auto"/>
        <w:right w:val="none" w:sz="0" w:space="0" w:color="auto"/>
      </w:divBdr>
    </w:div>
    <w:div w:id="722288728">
      <w:bodyDiv w:val="1"/>
      <w:marLeft w:val="0"/>
      <w:marRight w:val="0"/>
      <w:marTop w:val="0"/>
      <w:marBottom w:val="0"/>
      <w:divBdr>
        <w:top w:val="none" w:sz="0" w:space="0" w:color="auto"/>
        <w:left w:val="none" w:sz="0" w:space="0" w:color="auto"/>
        <w:bottom w:val="none" w:sz="0" w:space="0" w:color="auto"/>
        <w:right w:val="none" w:sz="0" w:space="0" w:color="auto"/>
      </w:divBdr>
    </w:div>
    <w:div w:id="774792856">
      <w:bodyDiv w:val="1"/>
      <w:marLeft w:val="0"/>
      <w:marRight w:val="0"/>
      <w:marTop w:val="0"/>
      <w:marBottom w:val="0"/>
      <w:divBdr>
        <w:top w:val="none" w:sz="0" w:space="0" w:color="auto"/>
        <w:left w:val="none" w:sz="0" w:space="0" w:color="auto"/>
        <w:bottom w:val="none" w:sz="0" w:space="0" w:color="auto"/>
        <w:right w:val="none" w:sz="0" w:space="0" w:color="auto"/>
      </w:divBdr>
    </w:div>
    <w:div w:id="850220207">
      <w:bodyDiv w:val="1"/>
      <w:marLeft w:val="0"/>
      <w:marRight w:val="0"/>
      <w:marTop w:val="0"/>
      <w:marBottom w:val="0"/>
      <w:divBdr>
        <w:top w:val="none" w:sz="0" w:space="0" w:color="auto"/>
        <w:left w:val="none" w:sz="0" w:space="0" w:color="auto"/>
        <w:bottom w:val="none" w:sz="0" w:space="0" w:color="auto"/>
        <w:right w:val="none" w:sz="0" w:space="0" w:color="auto"/>
      </w:divBdr>
    </w:div>
    <w:div w:id="875892528">
      <w:bodyDiv w:val="1"/>
      <w:marLeft w:val="0"/>
      <w:marRight w:val="0"/>
      <w:marTop w:val="0"/>
      <w:marBottom w:val="0"/>
      <w:divBdr>
        <w:top w:val="none" w:sz="0" w:space="0" w:color="auto"/>
        <w:left w:val="none" w:sz="0" w:space="0" w:color="auto"/>
        <w:bottom w:val="none" w:sz="0" w:space="0" w:color="auto"/>
        <w:right w:val="none" w:sz="0" w:space="0" w:color="auto"/>
      </w:divBdr>
    </w:div>
    <w:div w:id="998536824">
      <w:bodyDiv w:val="1"/>
      <w:marLeft w:val="0"/>
      <w:marRight w:val="0"/>
      <w:marTop w:val="0"/>
      <w:marBottom w:val="0"/>
      <w:divBdr>
        <w:top w:val="none" w:sz="0" w:space="0" w:color="auto"/>
        <w:left w:val="none" w:sz="0" w:space="0" w:color="auto"/>
        <w:bottom w:val="none" w:sz="0" w:space="0" w:color="auto"/>
        <w:right w:val="none" w:sz="0" w:space="0" w:color="auto"/>
      </w:divBdr>
    </w:div>
    <w:div w:id="1010527088">
      <w:bodyDiv w:val="1"/>
      <w:marLeft w:val="0"/>
      <w:marRight w:val="0"/>
      <w:marTop w:val="0"/>
      <w:marBottom w:val="0"/>
      <w:divBdr>
        <w:top w:val="none" w:sz="0" w:space="0" w:color="auto"/>
        <w:left w:val="none" w:sz="0" w:space="0" w:color="auto"/>
        <w:bottom w:val="none" w:sz="0" w:space="0" w:color="auto"/>
        <w:right w:val="none" w:sz="0" w:space="0" w:color="auto"/>
      </w:divBdr>
    </w:div>
    <w:div w:id="1012679696">
      <w:bodyDiv w:val="1"/>
      <w:marLeft w:val="0"/>
      <w:marRight w:val="0"/>
      <w:marTop w:val="0"/>
      <w:marBottom w:val="0"/>
      <w:divBdr>
        <w:top w:val="none" w:sz="0" w:space="0" w:color="auto"/>
        <w:left w:val="none" w:sz="0" w:space="0" w:color="auto"/>
        <w:bottom w:val="none" w:sz="0" w:space="0" w:color="auto"/>
        <w:right w:val="none" w:sz="0" w:space="0" w:color="auto"/>
      </w:divBdr>
    </w:div>
    <w:div w:id="1045788780">
      <w:bodyDiv w:val="1"/>
      <w:marLeft w:val="0"/>
      <w:marRight w:val="0"/>
      <w:marTop w:val="0"/>
      <w:marBottom w:val="0"/>
      <w:divBdr>
        <w:top w:val="none" w:sz="0" w:space="0" w:color="auto"/>
        <w:left w:val="none" w:sz="0" w:space="0" w:color="auto"/>
        <w:bottom w:val="none" w:sz="0" w:space="0" w:color="auto"/>
        <w:right w:val="none" w:sz="0" w:space="0" w:color="auto"/>
      </w:divBdr>
    </w:div>
    <w:div w:id="1126892997">
      <w:bodyDiv w:val="1"/>
      <w:marLeft w:val="0"/>
      <w:marRight w:val="0"/>
      <w:marTop w:val="0"/>
      <w:marBottom w:val="0"/>
      <w:divBdr>
        <w:top w:val="none" w:sz="0" w:space="0" w:color="auto"/>
        <w:left w:val="none" w:sz="0" w:space="0" w:color="auto"/>
        <w:bottom w:val="none" w:sz="0" w:space="0" w:color="auto"/>
        <w:right w:val="none" w:sz="0" w:space="0" w:color="auto"/>
      </w:divBdr>
    </w:div>
    <w:div w:id="1129395399">
      <w:bodyDiv w:val="1"/>
      <w:marLeft w:val="0"/>
      <w:marRight w:val="0"/>
      <w:marTop w:val="0"/>
      <w:marBottom w:val="0"/>
      <w:divBdr>
        <w:top w:val="none" w:sz="0" w:space="0" w:color="auto"/>
        <w:left w:val="none" w:sz="0" w:space="0" w:color="auto"/>
        <w:bottom w:val="none" w:sz="0" w:space="0" w:color="auto"/>
        <w:right w:val="none" w:sz="0" w:space="0" w:color="auto"/>
      </w:divBdr>
    </w:div>
    <w:div w:id="1156337307">
      <w:bodyDiv w:val="1"/>
      <w:marLeft w:val="0"/>
      <w:marRight w:val="0"/>
      <w:marTop w:val="0"/>
      <w:marBottom w:val="0"/>
      <w:divBdr>
        <w:top w:val="none" w:sz="0" w:space="0" w:color="auto"/>
        <w:left w:val="none" w:sz="0" w:space="0" w:color="auto"/>
        <w:bottom w:val="none" w:sz="0" w:space="0" w:color="auto"/>
        <w:right w:val="none" w:sz="0" w:space="0" w:color="auto"/>
      </w:divBdr>
    </w:div>
    <w:div w:id="1228145319">
      <w:bodyDiv w:val="1"/>
      <w:marLeft w:val="0"/>
      <w:marRight w:val="0"/>
      <w:marTop w:val="0"/>
      <w:marBottom w:val="0"/>
      <w:divBdr>
        <w:top w:val="none" w:sz="0" w:space="0" w:color="auto"/>
        <w:left w:val="none" w:sz="0" w:space="0" w:color="auto"/>
        <w:bottom w:val="none" w:sz="0" w:space="0" w:color="auto"/>
        <w:right w:val="none" w:sz="0" w:space="0" w:color="auto"/>
      </w:divBdr>
    </w:div>
    <w:div w:id="1287276350">
      <w:bodyDiv w:val="1"/>
      <w:marLeft w:val="0"/>
      <w:marRight w:val="0"/>
      <w:marTop w:val="0"/>
      <w:marBottom w:val="0"/>
      <w:divBdr>
        <w:top w:val="none" w:sz="0" w:space="0" w:color="auto"/>
        <w:left w:val="none" w:sz="0" w:space="0" w:color="auto"/>
        <w:bottom w:val="none" w:sz="0" w:space="0" w:color="auto"/>
        <w:right w:val="none" w:sz="0" w:space="0" w:color="auto"/>
      </w:divBdr>
    </w:div>
    <w:div w:id="1288388856">
      <w:bodyDiv w:val="1"/>
      <w:marLeft w:val="0"/>
      <w:marRight w:val="0"/>
      <w:marTop w:val="0"/>
      <w:marBottom w:val="0"/>
      <w:divBdr>
        <w:top w:val="none" w:sz="0" w:space="0" w:color="auto"/>
        <w:left w:val="none" w:sz="0" w:space="0" w:color="auto"/>
        <w:bottom w:val="none" w:sz="0" w:space="0" w:color="auto"/>
        <w:right w:val="none" w:sz="0" w:space="0" w:color="auto"/>
      </w:divBdr>
    </w:div>
    <w:div w:id="1318191764">
      <w:bodyDiv w:val="1"/>
      <w:marLeft w:val="0"/>
      <w:marRight w:val="0"/>
      <w:marTop w:val="0"/>
      <w:marBottom w:val="0"/>
      <w:divBdr>
        <w:top w:val="none" w:sz="0" w:space="0" w:color="auto"/>
        <w:left w:val="none" w:sz="0" w:space="0" w:color="auto"/>
        <w:bottom w:val="none" w:sz="0" w:space="0" w:color="auto"/>
        <w:right w:val="none" w:sz="0" w:space="0" w:color="auto"/>
      </w:divBdr>
    </w:div>
    <w:div w:id="1394163210">
      <w:bodyDiv w:val="1"/>
      <w:marLeft w:val="0"/>
      <w:marRight w:val="0"/>
      <w:marTop w:val="0"/>
      <w:marBottom w:val="0"/>
      <w:divBdr>
        <w:top w:val="none" w:sz="0" w:space="0" w:color="auto"/>
        <w:left w:val="none" w:sz="0" w:space="0" w:color="auto"/>
        <w:bottom w:val="none" w:sz="0" w:space="0" w:color="auto"/>
        <w:right w:val="none" w:sz="0" w:space="0" w:color="auto"/>
      </w:divBdr>
    </w:div>
    <w:div w:id="1417903898">
      <w:bodyDiv w:val="1"/>
      <w:marLeft w:val="0"/>
      <w:marRight w:val="0"/>
      <w:marTop w:val="0"/>
      <w:marBottom w:val="0"/>
      <w:divBdr>
        <w:top w:val="none" w:sz="0" w:space="0" w:color="auto"/>
        <w:left w:val="none" w:sz="0" w:space="0" w:color="auto"/>
        <w:bottom w:val="none" w:sz="0" w:space="0" w:color="auto"/>
        <w:right w:val="none" w:sz="0" w:space="0" w:color="auto"/>
      </w:divBdr>
    </w:div>
    <w:div w:id="1450775992">
      <w:bodyDiv w:val="1"/>
      <w:marLeft w:val="0"/>
      <w:marRight w:val="0"/>
      <w:marTop w:val="0"/>
      <w:marBottom w:val="0"/>
      <w:divBdr>
        <w:top w:val="none" w:sz="0" w:space="0" w:color="auto"/>
        <w:left w:val="none" w:sz="0" w:space="0" w:color="auto"/>
        <w:bottom w:val="none" w:sz="0" w:space="0" w:color="auto"/>
        <w:right w:val="none" w:sz="0" w:space="0" w:color="auto"/>
      </w:divBdr>
    </w:div>
    <w:div w:id="1474521589">
      <w:bodyDiv w:val="1"/>
      <w:marLeft w:val="0"/>
      <w:marRight w:val="0"/>
      <w:marTop w:val="0"/>
      <w:marBottom w:val="0"/>
      <w:divBdr>
        <w:top w:val="none" w:sz="0" w:space="0" w:color="auto"/>
        <w:left w:val="none" w:sz="0" w:space="0" w:color="auto"/>
        <w:bottom w:val="none" w:sz="0" w:space="0" w:color="auto"/>
        <w:right w:val="none" w:sz="0" w:space="0" w:color="auto"/>
      </w:divBdr>
    </w:div>
    <w:div w:id="1500196879">
      <w:bodyDiv w:val="1"/>
      <w:marLeft w:val="0"/>
      <w:marRight w:val="0"/>
      <w:marTop w:val="0"/>
      <w:marBottom w:val="0"/>
      <w:divBdr>
        <w:top w:val="none" w:sz="0" w:space="0" w:color="auto"/>
        <w:left w:val="none" w:sz="0" w:space="0" w:color="auto"/>
        <w:bottom w:val="none" w:sz="0" w:space="0" w:color="auto"/>
        <w:right w:val="none" w:sz="0" w:space="0" w:color="auto"/>
      </w:divBdr>
    </w:div>
    <w:div w:id="1569226456">
      <w:bodyDiv w:val="1"/>
      <w:marLeft w:val="0"/>
      <w:marRight w:val="0"/>
      <w:marTop w:val="0"/>
      <w:marBottom w:val="0"/>
      <w:divBdr>
        <w:top w:val="none" w:sz="0" w:space="0" w:color="auto"/>
        <w:left w:val="none" w:sz="0" w:space="0" w:color="auto"/>
        <w:bottom w:val="none" w:sz="0" w:space="0" w:color="auto"/>
        <w:right w:val="none" w:sz="0" w:space="0" w:color="auto"/>
      </w:divBdr>
    </w:div>
    <w:div w:id="1614945569">
      <w:bodyDiv w:val="1"/>
      <w:marLeft w:val="0"/>
      <w:marRight w:val="0"/>
      <w:marTop w:val="0"/>
      <w:marBottom w:val="0"/>
      <w:divBdr>
        <w:top w:val="none" w:sz="0" w:space="0" w:color="auto"/>
        <w:left w:val="none" w:sz="0" w:space="0" w:color="auto"/>
        <w:bottom w:val="none" w:sz="0" w:space="0" w:color="auto"/>
        <w:right w:val="none" w:sz="0" w:space="0" w:color="auto"/>
      </w:divBdr>
    </w:div>
    <w:div w:id="1638023686">
      <w:bodyDiv w:val="1"/>
      <w:marLeft w:val="0"/>
      <w:marRight w:val="0"/>
      <w:marTop w:val="0"/>
      <w:marBottom w:val="0"/>
      <w:divBdr>
        <w:top w:val="none" w:sz="0" w:space="0" w:color="auto"/>
        <w:left w:val="none" w:sz="0" w:space="0" w:color="auto"/>
        <w:bottom w:val="none" w:sz="0" w:space="0" w:color="auto"/>
        <w:right w:val="none" w:sz="0" w:space="0" w:color="auto"/>
      </w:divBdr>
    </w:div>
    <w:div w:id="1660497559">
      <w:bodyDiv w:val="1"/>
      <w:marLeft w:val="0"/>
      <w:marRight w:val="0"/>
      <w:marTop w:val="0"/>
      <w:marBottom w:val="0"/>
      <w:divBdr>
        <w:top w:val="none" w:sz="0" w:space="0" w:color="auto"/>
        <w:left w:val="none" w:sz="0" w:space="0" w:color="auto"/>
        <w:bottom w:val="none" w:sz="0" w:space="0" w:color="auto"/>
        <w:right w:val="none" w:sz="0" w:space="0" w:color="auto"/>
      </w:divBdr>
    </w:div>
    <w:div w:id="1660814679">
      <w:bodyDiv w:val="1"/>
      <w:marLeft w:val="0"/>
      <w:marRight w:val="0"/>
      <w:marTop w:val="0"/>
      <w:marBottom w:val="0"/>
      <w:divBdr>
        <w:top w:val="none" w:sz="0" w:space="0" w:color="auto"/>
        <w:left w:val="none" w:sz="0" w:space="0" w:color="auto"/>
        <w:bottom w:val="none" w:sz="0" w:space="0" w:color="auto"/>
        <w:right w:val="none" w:sz="0" w:space="0" w:color="auto"/>
      </w:divBdr>
    </w:div>
    <w:div w:id="1669216219">
      <w:bodyDiv w:val="1"/>
      <w:marLeft w:val="0"/>
      <w:marRight w:val="0"/>
      <w:marTop w:val="0"/>
      <w:marBottom w:val="0"/>
      <w:divBdr>
        <w:top w:val="none" w:sz="0" w:space="0" w:color="auto"/>
        <w:left w:val="none" w:sz="0" w:space="0" w:color="auto"/>
        <w:bottom w:val="none" w:sz="0" w:space="0" w:color="auto"/>
        <w:right w:val="none" w:sz="0" w:space="0" w:color="auto"/>
      </w:divBdr>
    </w:div>
    <w:div w:id="1672757176">
      <w:bodyDiv w:val="1"/>
      <w:marLeft w:val="0"/>
      <w:marRight w:val="0"/>
      <w:marTop w:val="0"/>
      <w:marBottom w:val="0"/>
      <w:divBdr>
        <w:top w:val="none" w:sz="0" w:space="0" w:color="auto"/>
        <w:left w:val="none" w:sz="0" w:space="0" w:color="auto"/>
        <w:bottom w:val="none" w:sz="0" w:space="0" w:color="auto"/>
        <w:right w:val="none" w:sz="0" w:space="0" w:color="auto"/>
      </w:divBdr>
    </w:div>
    <w:div w:id="1675500195">
      <w:bodyDiv w:val="1"/>
      <w:marLeft w:val="0"/>
      <w:marRight w:val="0"/>
      <w:marTop w:val="0"/>
      <w:marBottom w:val="0"/>
      <w:divBdr>
        <w:top w:val="none" w:sz="0" w:space="0" w:color="auto"/>
        <w:left w:val="none" w:sz="0" w:space="0" w:color="auto"/>
        <w:bottom w:val="none" w:sz="0" w:space="0" w:color="auto"/>
        <w:right w:val="none" w:sz="0" w:space="0" w:color="auto"/>
      </w:divBdr>
    </w:div>
    <w:div w:id="1688209580">
      <w:bodyDiv w:val="1"/>
      <w:marLeft w:val="0"/>
      <w:marRight w:val="0"/>
      <w:marTop w:val="0"/>
      <w:marBottom w:val="0"/>
      <w:divBdr>
        <w:top w:val="none" w:sz="0" w:space="0" w:color="auto"/>
        <w:left w:val="none" w:sz="0" w:space="0" w:color="auto"/>
        <w:bottom w:val="none" w:sz="0" w:space="0" w:color="auto"/>
        <w:right w:val="none" w:sz="0" w:space="0" w:color="auto"/>
      </w:divBdr>
    </w:div>
    <w:div w:id="1706326875">
      <w:bodyDiv w:val="1"/>
      <w:marLeft w:val="0"/>
      <w:marRight w:val="0"/>
      <w:marTop w:val="0"/>
      <w:marBottom w:val="0"/>
      <w:divBdr>
        <w:top w:val="none" w:sz="0" w:space="0" w:color="auto"/>
        <w:left w:val="none" w:sz="0" w:space="0" w:color="auto"/>
        <w:bottom w:val="none" w:sz="0" w:space="0" w:color="auto"/>
        <w:right w:val="none" w:sz="0" w:space="0" w:color="auto"/>
      </w:divBdr>
    </w:div>
    <w:div w:id="1709911429">
      <w:bodyDiv w:val="1"/>
      <w:marLeft w:val="0"/>
      <w:marRight w:val="0"/>
      <w:marTop w:val="0"/>
      <w:marBottom w:val="0"/>
      <w:divBdr>
        <w:top w:val="none" w:sz="0" w:space="0" w:color="auto"/>
        <w:left w:val="none" w:sz="0" w:space="0" w:color="auto"/>
        <w:bottom w:val="none" w:sz="0" w:space="0" w:color="auto"/>
        <w:right w:val="none" w:sz="0" w:space="0" w:color="auto"/>
      </w:divBdr>
    </w:div>
    <w:div w:id="1714383707">
      <w:bodyDiv w:val="1"/>
      <w:marLeft w:val="0"/>
      <w:marRight w:val="0"/>
      <w:marTop w:val="0"/>
      <w:marBottom w:val="0"/>
      <w:divBdr>
        <w:top w:val="none" w:sz="0" w:space="0" w:color="auto"/>
        <w:left w:val="none" w:sz="0" w:space="0" w:color="auto"/>
        <w:bottom w:val="none" w:sz="0" w:space="0" w:color="auto"/>
        <w:right w:val="none" w:sz="0" w:space="0" w:color="auto"/>
      </w:divBdr>
    </w:div>
    <w:div w:id="1723677598">
      <w:bodyDiv w:val="1"/>
      <w:marLeft w:val="0"/>
      <w:marRight w:val="0"/>
      <w:marTop w:val="0"/>
      <w:marBottom w:val="0"/>
      <w:divBdr>
        <w:top w:val="none" w:sz="0" w:space="0" w:color="auto"/>
        <w:left w:val="none" w:sz="0" w:space="0" w:color="auto"/>
        <w:bottom w:val="none" w:sz="0" w:space="0" w:color="auto"/>
        <w:right w:val="none" w:sz="0" w:space="0" w:color="auto"/>
      </w:divBdr>
    </w:div>
    <w:div w:id="1762096944">
      <w:bodyDiv w:val="1"/>
      <w:marLeft w:val="0"/>
      <w:marRight w:val="0"/>
      <w:marTop w:val="0"/>
      <w:marBottom w:val="0"/>
      <w:divBdr>
        <w:top w:val="none" w:sz="0" w:space="0" w:color="auto"/>
        <w:left w:val="none" w:sz="0" w:space="0" w:color="auto"/>
        <w:bottom w:val="none" w:sz="0" w:space="0" w:color="auto"/>
        <w:right w:val="none" w:sz="0" w:space="0" w:color="auto"/>
      </w:divBdr>
    </w:div>
    <w:div w:id="1765687436">
      <w:bodyDiv w:val="1"/>
      <w:marLeft w:val="0"/>
      <w:marRight w:val="0"/>
      <w:marTop w:val="0"/>
      <w:marBottom w:val="0"/>
      <w:divBdr>
        <w:top w:val="none" w:sz="0" w:space="0" w:color="auto"/>
        <w:left w:val="none" w:sz="0" w:space="0" w:color="auto"/>
        <w:bottom w:val="none" w:sz="0" w:space="0" w:color="auto"/>
        <w:right w:val="none" w:sz="0" w:space="0" w:color="auto"/>
      </w:divBdr>
    </w:div>
    <w:div w:id="1775784287">
      <w:bodyDiv w:val="1"/>
      <w:marLeft w:val="0"/>
      <w:marRight w:val="0"/>
      <w:marTop w:val="0"/>
      <w:marBottom w:val="0"/>
      <w:divBdr>
        <w:top w:val="none" w:sz="0" w:space="0" w:color="auto"/>
        <w:left w:val="none" w:sz="0" w:space="0" w:color="auto"/>
        <w:bottom w:val="none" w:sz="0" w:space="0" w:color="auto"/>
        <w:right w:val="none" w:sz="0" w:space="0" w:color="auto"/>
      </w:divBdr>
    </w:div>
    <w:div w:id="1785075376">
      <w:bodyDiv w:val="1"/>
      <w:marLeft w:val="0"/>
      <w:marRight w:val="0"/>
      <w:marTop w:val="0"/>
      <w:marBottom w:val="0"/>
      <w:divBdr>
        <w:top w:val="none" w:sz="0" w:space="0" w:color="auto"/>
        <w:left w:val="none" w:sz="0" w:space="0" w:color="auto"/>
        <w:bottom w:val="none" w:sz="0" w:space="0" w:color="auto"/>
        <w:right w:val="none" w:sz="0" w:space="0" w:color="auto"/>
      </w:divBdr>
    </w:div>
    <w:div w:id="1798600179">
      <w:bodyDiv w:val="1"/>
      <w:marLeft w:val="0"/>
      <w:marRight w:val="0"/>
      <w:marTop w:val="0"/>
      <w:marBottom w:val="0"/>
      <w:divBdr>
        <w:top w:val="none" w:sz="0" w:space="0" w:color="auto"/>
        <w:left w:val="none" w:sz="0" w:space="0" w:color="auto"/>
        <w:bottom w:val="none" w:sz="0" w:space="0" w:color="auto"/>
        <w:right w:val="none" w:sz="0" w:space="0" w:color="auto"/>
      </w:divBdr>
    </w:div>
    <w:div w:id="1839616128">
      <w:bodyDiv w:val="1"/>
      <w:marLeft w:val="0"/>
      <w:marRight w:val="0"/>
      <w:marTop w:val="0"/>
      <w:marBottom w:val="0"/>
      <w:divBdr>
        <w:top w:val="none" w:sz="0" w:space="0" w:color="auto"/>
        <w:left w:val="none" w:sz="0" w:space="0" w:color="auto"/>
        <w:bottom w:val="none" w:sz="0" w:space="0" w:color="auto"/>
        <w:right w:val="none" w:sz="0" w:space="0" w:color="auto"/>
      </w:divBdr>
    </w:div>
    <w:div w:id="1840806679">
      <w:bodyDiv w:val="1"/>
      <w:marLeft w:val="0"/>
      <w:marRight w:val="0"/>
      <w:marTop w:val="0"/>
      <w:marBottom w:val="0"/>
      <w:divBdr>
        <w:top w:val="none" w:sz="0" w:space="0" w:color="auto"/>
        <w:left w:val="none" w:sz="0" w:space="0" w:color="auto"/>
        <w:bottom w:val="none" w:sz="0" w:space="0" w:color="auto"/>
        <w:right w:val="none" w:sz="0" w:space="0" w:color="auto"/>
      </w:divBdr>
    </w:div>
    <w:div w:id="1842045491">
      <w:bodyDiv w:val="1"/>
      <w:marLeft w:val="0"/>
      <w:marRight w:val="0"/>
      <w:marTop w:val="0"/>
      <w:marBottom w:val="0"/>
      <w:divBdr>
        <w:top w:val="none" w:sz="0" w:space="0" w:color="auto"/>
        <w:left w:val="none" w:sz="0" w:space="0" w:color="auto"/>
        <w:bottom w:val="none" w:sz="0" w:space="0" w:color="auto"/>
        <w:right w:val="none" w:sz="0" w:space="0" w:color="auto"/>
      </w:divBdr>
    </w:div>
    <w:div w:id="1861240334">
      <w:bodyDiv w:val="1"/>
      <w:marLeft w:val="0"/>
      <w:marRight w:val="0"/>
      <w:marTop w:val="0"/>
      <w:marBottom w:val="0"/>
      <w:divBdr>
        <w:top w:val="none" w:sz="0" w:space="0" w:color="auto"/>
        <w:left w:val="none" w:sz="0" w:space="0" w:color="auto"/>
        <w:bottom w:val="none" w:sz="0" w:space="0" w:color="auto"/>
        <w:right w:val="none" w:sz="0" w:space="0" w:color="auto"/>
      </w:divBdr>
    </w:div>
    <w:div w:id="1883394417">
      <w:bodyDiv w:val="1"/>
      <w:marLeft w:val="0"/>
      <w:marRight w:val="0"/>
      <w:marTop w:val="0"/>
      <w:marBottom w:val="0"/>
      <w:divBdr>
        <w:top w:val="none" w:sz="0" w:space="0" w:color="auto"/>
        <w:left w:val="none" w:sz="0" w:space="0" w:color="auto"/>
        <w:bottom w:val="none" w:sz="0" w:space="0" w:color="auto"/>
        <w:right w:val="none" w:sz="0" w:space="0" w:color="auto"/>
      </w:divBdr>
    </w:div>
    <w:div w:id="1894197801">
      <w:bodyDiv w:val="1"/>
      <w:marLeft w:val="0"/>
      <w:marRight w:val="0"/>
      <w:marTop w:val="0"/>
      <w:marBottom w:val="0"/>
      <w:divBdr>
        <w:top w:val="none" w:sz="0" w:space="0" w:color="auto"/>
        <w:left w:val="none" w:sz="0" w:space="0" w:color="auto"/>
        <w:bottom w:val="none" w:sz="0" w:space="0" w:color="auto"/>
        <w:right w:val="none" w:sz="0" w:space="0" w:color="auto"/>
      </w:divBdr>
    </w:div>
    <w:div w:id="1908613594">
      <w:bodyDiv w:val="1"/>
      <w:marLeft w:val="0"/>
      <w:marRight w:val="0"/>
      <w:marTop w:val="0"/>
      <w:marBottom w:val="0"/>
      <w:divBdr>
        <w:top w:val="none" w:sz="0" w:space="0" w:color="auto"/>
        <w:left w:val="none" w:sz="0" w:space="0" w:color="auto"/>
        <w:bottom w:val="none" w:sz="0" w:space="0" w:color="auto"/>
        <w:right w:val="none" w:sz="0" w:space="0" w:color="auto"/>
      </w:divBdr>
    </w:div>
    <w:div w:id="1916931386">
      <w:bodyDiv w:val="1"/>
      <w:marLeft w:val="0"/>
      <w:marRight w:val="0"/>
      <w:marTop w:val="0"/>
      <w:marBottom w:val="0"/>
      <w:divBdr>
        <w:top w:val="none" w:sz="0" w:space="0" w:color="auto"/>
        <w:left w:val="none" w:sz="0" w:space="0" w:color="auto"/>
        <w:bottom w:val="none" w:sz="0" w:space="0" w:color="auto"/>
        <w:right w:val="none" w:sz="0" w:space="0" w:color="auto"/>
      </w:divBdr>
    </w:div>
    <w:div w:id="1937863252">
      <w:bodyDiv w:val="1"/>
      <w:marLeft w:val="0"/>
      <w:marRight w:val="0"/>
      <w:marTop w:val="0"/>
      <w:marBottom w:val="0"/>
      <w:divBdr>
        <w:top w:val="none" w:sz="0" w:space="0" w:color="auto"/>
        <w:left w:val="none" w:sz="0" w:space="0" w:color="auto"/>
        <w:bottom w:val="none" w:sz="0" w:space="0" w:color="auto"/>
        <w:right w:val="none" w:sz="0" w:space="0" w:color="auto"/>
      </w:divBdr>
    </w:div>
    <w:div w:id="2024090852">
      <w:bodyDiv w:val="1"/>
      <w:marLeft w:val="0"/>
      <w:marRight w:val="0"/>
      <w:marTop w:val="0"/>
      <w:marBottom w:val="0"/>
      <w:divBdr>
        <w:top w:val="none" w:sz="0" w:space="0" w:color="auto"/>
        <w:left w:val="none" w:sz="0" w:space="0" w:color="auto"/>
        <w:bottom w:val="none" w:sz="0" w:space="0" w:color="auto"/>
        <w:right w:val="none" w:sz="0" w:space="0" w:color="auto"/>
      </w:divBdr>
    </w:div>
    <w:div w:id="2034918745">
      <w:bodyDiv w:val="1"/>
      <w:marLeft w:val="0"/>
      <w:marRight w:val="0"/>
      <w:marTop w:val="0"/>
      <w:marBottom w:val="0"/>
      <w:divBdr>
        <w:top w:val="none" w:sz="0" w:space="0" w:color="auto"/>
        <w:left w:val="none" w:sz="0" w:space="0" w:color="auto"/>
        <w:bottom w:val="none" w:sz="0" w:space="0" w:color="auto"/>
        <w:right w:val="none" w:sz="0" w:space="0" w:color="auto"/>
      </w:divBdr>
    </w:div>
    <w:div w:id="2045592944">
      <w:bodyDiv w:val="1"/>
      <w:marLeft w:val="0"/>
      <w:marRight w:val="0"/>
      <w:marTop w:val="0"/>
      <w:marBottom w:val="0"/>
      <w:divBdr>
        <w:top w:val="none" w:sz="0" w:space="0" w:color="auto"/>
        <w:left w:val="none" w:sz="0" w:space="0" w:color="auto"/>
        <w:bottom w:val="none" w:sz="0" w:space="0" w:color="auto"/>
        <w:right w:val="none" w:sz="0" w:space="0" w:color="auto"/>
      </w:divBdr>
    </w:div>
    <w:div w:id="2065176386">
      <w:bodyDiv w:val="1"/>
      <w:marLeft w:val="0"/>
      <w:marRight w:val="0"/>
      <w:marTop w:val="0"/>
      <w:marBottom w:val="0"/>
      <w:divBdr>
        <w:top w:val="none" w:sz="0" w:space="0" w:color="auto"/>
        <w:left w:val="none" w:sz="0" w:space="0" w:color="auto"/>
        <w:bottom w:val="none" w:sz="0" w:space="0" w:color="auto"/>
        <w:right w:val="none" w:sz="0" w:space="0" w:color="auto"/>
      </w:divBdr>
    </w:div>
    <w:div w:id="2086297183">
      <w:bodyDiv w:val="1"/>
      <w:marLeft w:val="0"/>
      <w:marRight w:val="0"/>
      <w:marTop w:val="0"/>
      <w:marBottom w:val="0"/>
      <w:divBdr>
        <w:top w:val="none" w:sz="0" w:space="0" w:color="auto"/>
        <w:left w:val="none" w:sz="0" w:space="0" w:color="auto"/>
        <w:bottom w:val="none" w:sz="0" w:space="0" w:color="auto"/>
        <w:right w:val="none" w:sz="0" w:space="0" w:color="auto"/>
      </w:divBdr>
    </w:div>
    <w:div w:id="2090495717">
      <w:bodyDiv w:val="1"/>
      <w:marLeft w:val="0"/>
      <w:marRight w:val="0"/>
      <w:marTop w:val="0"/>
      <w:marBottom w:val="0"/>
      <w:divBdr>
        <w:top w:val="none" w:sz="0" w:space="0" w:color="auto"/>
        <w:left w:val="none" w:sz="0" w:space="0" w:color="auto"/>
        <w:bottom w:val="none" w:sz="0" w:space="0" w:color="auto"/>
        <w:right w:val="none" w:sz="0" w:space="0" w:color="auto"/>
      </w:divBdr>
    </w:div>
    <w:div w:id="2107459495">
      <w:bodyDiv w:val="1"/>
      <w:marLeft w:val="0"/>
      <w:marRight w:val="0"/>
      <w:marTop w:val="0"/>
      <w:marBottom w:val="0"/>
      <w:divBdr>
        <w:top w:val="none" w:sz="0" w:space="0" w:color="auto"/>
        <w:left w:val="none" w:sz="0" w:space="0" w:color="auto"/>
        <w:bottom w:val="none" w:sz="0" w:space="0" w:color="auto"/>
        <w:right w:val="none" w:sz="0" w:space="0" w:color="auto"/>
      </w:divBdr>
    </w:div>
    <w:div w:id="2110422544">
      <w:bodyDiv w:val="1"/>
      <w:marLeft w:val="0"/>
      <w:marRight w:val="0"/>
      <w:marTop w:val="0"/>
      <w:marBottom w:val="0"/>
      <w:divBdr>
        <w:top w:val="none" w:sz="0" w:space="0" w:color="auto"/>
        <w:left w:val="none" w:sz="0" w:space="0" w:color="auto"/>
        <w:bottom w:val="none" w:sz="0" w:space="0" w:color="auto"/>
        <w:right w:val="none" w:sz="0" w:space="0" w:color="auto"/>
      </w:divBdr>
    </w:div>
    <w:div w:id="2124568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png"/><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8.xml"/><Relationship Id="rId42"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7.png"/><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2.png"/><Relationship Id="rId32" Type="http://schemas.openxmlformats.org/officeDocument/2006/relationships/image" Target="media/image9.png"/><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6.png"/><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ec.europa.eu/newsroom/budget/redirection/item/810218/en" TargetMode="External"/><Relationship Id="rId44"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footer" Target="footer7.xml"/><Relationship Id="rId43" Type="http://schemas.openxmlformats.org/officeDocument/2006/relationships/header" Target="header12.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document/1bcb556f-8942-488d-b54f-d4c6bc129aa4_en" TargetMode="External"/><Relationship Id="rId3" Type="http://schemas.openxmlformats.org/officeDocument/2006/relationships/hyperlink" Target="https://op.europa.eu/en/publication-detail/-/publication/a07eed09-94b8-11ee-b164-01aa75ed71a1/language-en?WT_mc_id=Searchresult&amp;amp%3BWT_ria_c=55576&amp;amp%3BWT_ria_f=7664&amp;amp%3BWT_ria_ev=search&amp;amp%3BWT_URL=https%3A//commission.europa.eu/" TargetMode="External"/><Relationship Id="rId7" Type="http://schemas.openxmlformats.org/officeDocument/2006/relationships/hyperlink" Target="https://eur-lex.europa.eu/legal-content/CS/TXT/PDF/?uri=CELEX:52023DC0461" TargetMode="External"/><Relationship Id="rId2" Type="http://schemas.openxmlformats.org/officeDocument/2006/relationships/hyperlink" Target="https://eur-lex.europa.eu/legal-content/CS/TXT/PDF/?uri=CELEX:52023DC0409" TargetMode="External"/><Relationship Id="rId1" Type="http://schemas.openxmlformats.org/officeDocument/2006/relationships/hyperlink" Target="https://commission.europa.eu/system/files/2023-09/COM_2023_545_1_EN_0.pdf" TargetMode="External"/><Relationship Id="rId6" Type="http://schemas.openxmlformats.org/officeDocument/2006/relationships/hyperlink" Target="https://www.eca.europa.eu/Lists/ECAReplies/COM-Replies-SR-2023-16/COM-Replies-SR-2023-16_CS.pdf" TargetMode="External"/><Relationship Id="rId11" Type="http://schemas.openxmlformats.org/officeDocument/2006/relationships/hyperlink" Target="https://commission.europa.eu/strategy-and-policy/eu-budget/eu-borrower-investor-relations/nextgenerationeu-green-bonds/dashboard_en" TargetMode="External"/><Relationship Id="rId5" Type="http://schemas.openxmlformats.org/officeDocument/2006/relationships/hyperlink" Target="https://www.eca.europa.eu/ECAPublications/SR-2023-16/SR-2023-16_CS.pdf" TargetMode="External"/><Relationship Id="rId10" Type="http://schemas.openxmlformats.org/officeDocument/2006/relationships/hyperlink" Target="https://op.europa.eu/en/publication-detail/-/publication/a07eed09-94b8-11ee-b164-01aa75ed71a1/language-en?WT_mc_id=Searchresult&amp;amp%3BWT_ria_c=55576&amp;amp%3BWT_ria_f=7664&amp;amp%3BWT_ria_ev=search&amp;amp%3BWT_URL=https%3A//commission.europa.eu/" TargetMode="External"/><Relationship Id="rId4" Type="http://schemas.openxmlformats.org/officeDocument/2006/relationships/hyperlink" Target="https://www.eca.europa.eu/ECAPublications/SR-2023-16/SR-2023-16_CS.pdf" TargetMode="External"/><Relationship Id="rId9" Type="http://schemas.openxmlformats.org/officeDocument/2006/relationships/hyperlink" Target="https://commission.europa.eu/system/files/2023-12/Factsheet_The%20EU%20Issuance%20Service_12.12.pdf" TargetMode="External"/></Relationships>
</file>

<file path=word/theme/theme1.xml><?xml version="1.0" encoding="utf-8"?>
<a:theme xmlns:a="http://schemas.openxmlformats.org/drawingml/2006/main" name="Office Theme">
  <a:themeElements>
    <a:clrScheme name="Semi Annual">
      <a:dk1>
        <a:sysClr val="windowText" lastClr="000000"/>
      </a:dk1>
      <a:lt1>
        <a:sysClr val="window" lastClr="FFFFFF"/>
      </a:lt1>
      <a:dk2>
        <a:srgbClr val="44546A"/>
      </a:dk2>
      <a:lt2>
        <a:srgbClr val="E7E6E6"/>
      </a:lt2>
      <a:accent1>
        <a:srgbClr val="034EA2"/>
      </a:accent1>
      <a:accent2>
        <a:srgbClr val="70AD47"/>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84981D676F7469FB7985B8196FE05" ma:contentTypeVersion="4" ma:contentTypeDescription="Create a new document." ma:contentTypeScope="" ma:versionID="e3e2704358ec97a188a6c64ed94a5e3f">
  <xsd:schema xmlns:xsd="http://www.w3.org/2001/XMLSchema" xmlns:xs="http://www.w3.org/2001/XMLSchema" xmlns:p="http://schemas.microsoft.com/office/2006/metadata/properties" xmlns:ns2="e0fb9e4e-9a17-43c4-891a-079bfb0a02bd" targetNamespace="http://schemas.microsoft.com/office/2006/metadata/properties" ma:root="true" ma:fieldsID="14edf4f1999f4e865d47b0c06e7b7c69" ns2:_="">
    <xsd:import namespace="e0fb9e4e-9a17-43c4-891a-079bfb0a02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b9e4e-9a17-43c4-891a-079bfb0a0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D84AA-26DF-44BD-B729-4DCED448F1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6A924C-8B03-4B88-9B7F-E4A7132EA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b9e4e-9a17-43c4-891a-079bfb0a0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A94C4-E85F-4C7D-86AE-AE48CDBB8582}">
  <ds:schemaRefs>
    <ds:schemaRef ds:uri="http://schemas.microsoft.com/sharepoint/v3/contenttype/forms"/>
  </ds:schemaRefs>
</ds:datastoreItem>
</file>

<file path=customXml/itemProps4.xml><?xml version="1.0" encoding="utf-8"?>
<ds:datastoreItem xmlns:ds="http://schemas.openxmlformats.org/officeDocument/2006/customXml" ds:itemID="{75DAA0A3-EA6F-44DC-96EC-699BCAF5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Pages>
  <Words>4895</Words>
  <Characters>27904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32734</CharactersWithSpaces>
  <SharedDoc>false</SharedDoc>
  <HLinks>
    <vt:vector size="108" baseType="variant">
      <vt:variant>
        <vt:i4>8257584</vt:i4>
      </vt:variant>
      <vt:variant>
        <vt:i4>45</vt:i4>
      </vt:variant>
      <vt:variant>
        <vt:i4>0</vt:i4>
      </vt:variant>
      <vt:variant>
        <vt:i4>5</vt:i4>
      </vt:variant>
      <vt:variant>
        <vt:lpwstr>https://ec.europa.eu/newsroom/budget/redirection/item/810218/en</vt:lpwstr>
      </vt:variant>
      <vt:variant>
        <vt:lpwstr/>
      </vt:variant>
      <vt:variant>
        <vt:i4>1114169</vt:i4>
      </vt:variant>
      <vt:variant>
        <vt:i4>38</vt:i4>
      </vt:variant>
      <vt:variant>
        <vt:i4>0</vt:i4>
      </vt:variant>
      <vt:variant>
        <vt:i4>5</vt:i4>
      </vt:variant>
      <vt:variant>
        <vt:lpwstr/>
      </vt:variant>
      <vt:variant>
        <vt:lpwstr>_Toc158284859</vt:lpwstr>
      </vt:variant>
      <vt:variant>
        <vt:i4>1114169</vt:i4>
      </vt:variant>
      <vt:variant>
        <vt:i4>32</vt:i4>
      </vt:variant>
      <vt:variant>
        <vt:i4>0</vt:i4>
      </vt:variant>
      <vt:variant>
        <vt:i4>5</vt:i4>
      </vt:variant>
      <vt:variant>
        <vt:lpwstr/>
      </vt:variant>
      <vt:variant>
        <vt:lpwstr>_Toc158284858</vt:lpwstr>
      </vt:variant>
      <vt:variant>
        <vt:i4>1114169</vt:i4>
      </vt:variant>
      <vt:variant>
        <vt:i4>26</vt:i4>
      </vt:variant>
      <vt:variant>
        <vt:i4>0</vt:i4>
      </vt:variant>
      <vt:variant>
        <vt:i4>5</vt:i4>
      </vt:variant>
      <vt:variant>
        <vt:lpwstr/>
      </vt:variant>
      <vt:variant>
        <vt:lpwstr>_Toc158284857</vt:lpwstr>
      </vt:variant>
      <vt:variant>
        <vt:i4>1114169</vt:i4>
      </vt:variant>
      <vt:variant>
        <vt:i4>20</vt:i4>
      </vt:variant>
      <vt:variant>
        <vt:i4>0</vt:i4>
      </vt:variant>
      <vt:variant>
        <vt:i4>5</vt:i4>
      </vt:variant>
      <vt:variant>
        <vt:lpwstr/>
      </vt:variant>
      <vt:variant>
        <vt:lpwstr>_Toc158284856</vt:lpwstr>
      </vt:variant>
      <vt:variant>
        <vt:i4>1114169</vt:i4>
      </vt:variant>
      <vt:variant>
        <vt:i4>14</vt:i4>
      </vt:variant>
      <vt:variant>
        <vt:i4>0</vt:i4>
      </vt:variant>
      <vt:variant>
        <vt:i4>5</vt:i4>
      </vt:variant>
      <vt:variant>
        <vt:lpwstr/>
      </vt:variant>
      <vt:variant>
        <vt:lpwstr>_Toc158284855</vt:lpwstr>
      </vt:variant>
      <vt:variant>
        <vt:i4>1114169</vt:i4>
      </vt:variant>
      <vt:variant>
        <vt:i4>8</vt:i4>
      </vt:variant>
      <vt:variant>
        <vt:i4>0</vt:i4>
      </vt:variant>
      <vt:variant>
        <vt:i4>5</vt:i4>
      </vt:variant>
      <vt:variant>
        <vt:lpwstr/>
      </vt:variant>
      <vt:variant>
        <vt:lpwstr>_Toc158284854</vt:lpwstr>
      </vt:variant>
      <vt:variant>
        <vt:i4>1114169</vt:i4>
      </vt:variant>
      <vt:variant>
        <vt:i4>2</vt:i4>
      </vt:variant>
      <vt:variant>
        <vt:i4>0</vt:i4>
      </vt:variant>
      <vt:variant>
        <vt:i4>5</vt:i4>
      </vt:variant>
      <vt:variant>
        <vt:lpwstr/>
      </vt:variant>
      <vt:variant>
        <vt:lpwstr>_Toc158284853</vt:lpwstr>
      </vt:variant>
      <vt:variant>
        <vt:i4>2097171</vt:i4>
      </vt:variant>
      <vt:variant>
        <vt:i4>27</vt:i4>
      </vt:variant>
      <vt:variant>
        <vt:i4>0</vt:i4>
      </vt:variant>
      <vt:variant>
        <vt:i4>5</vt:i4>
      </vt:variant>
      <vt:variant>
        <vt:lpwstr>https://commission.europa.eu/strategy-and-policy/eu-budget/eu-borrower-investor-relations/nextgenerationeu-green-bonds/dashboard_en</vt:lpwstr>
      </vt:variant>
      <vt:variant>
        <vt:lpwstr/>
      </vt:variant>
      <vt:variant>
        <vt:i4>3211346</vt:i4>
      </vt:variant>
      <vt:variant>
        <vt:i4>24</vt:i4>
      </vt:variant>
      <vt:variant>
        <vt:i4>0</vt:i4>
      </vt:variant>
      <vt:variant>
        <vt:i4>5</vt:i4>
      </vt:variant>
      <vt:variant>
        <vt:lpwstr>https://op.europa.eu/en/publication-detail/-/publication/a07eed09-94b8-11ee-b164-01aa75ed71a1/language-en?WT_mc_id=Searchresult&amp;amp%3BWT_ria_c=55576&amp;amp%3BWT_ria_f=7664&amp;amp%3BWT_ria_ev=search&amp;amp%3BWT_URL=https%3A//commission.europa.eu/</vt:lpwstr>
      </vt:variant>
      <vt:variant>
        <vt:lpwstr/>
      </vt:variant>
      <vt:variant>
        <vt:i4>720972</vt:i4>
      </vt:variant>
      <vt:variant>
        <vt:i4>21</vt:i4>
      </vt:variant>
      <vt:variant>
        <vt:i4>0</vt:i4>
      </vt:variant>
      <vt:variant>
        <vt:i4>5</vt:i4>
      </vt:variant>
      <vt:variant>
        <vt:lpwstr>https://commission.europa.eu/system/files/2023-12/Factsheet_The EU Issuance Service_12.12.pdf</vt:lpwstr>
      </vt:variant>
      <vt:variant>
        <vt:lpwstr/>
      </vt:variant>
      <vt:variant>
        <vt:i4>4587641</vt:i4>
      </vt:variant>
      <vt:variant>
        <vt:i4>18</vt:i4>
      </vt:variant>
      <vt:variant>
        <vt:i4>0</vt:i4>
      </vt:variant>
      <vt:variant>
        <vt:i4>5</vt:i4>
      </vt:variant>
      <vt:variant>
        <vt:lpwstr>https://commission.europa.eu/document/1bcb556f-8942-488d-b54f-d4c6bc129aa4_en</vt:lpwstr>
      </vt:variant>
      <vt:variant>
        <vt:lpwstr/>
      </vt:variant>
      <vt:variant>
        <vt:i4>7143527</vt:i4>
      </vt:variant>
      <vt:variant>
        <vt:i4>15</vt:i4>
      </vt:variant>
      <vt:variant>
        <vt:i4>0</vt:i4>
      </vt:variant>
      <vt:variant>
        <vt:i4>5</vt:i4>
      </vt:variant>
      <vt:variant>
        <vt:lpwstr>https://commission.europa.eu/system/files/2023-07/Fourth half-yearly report on the execution of the EU borrowing and lending operations.PDF</vt:lpwstr>
      </vt:variant>
      <vt:variant>
        <vt:lpwstr/>
      </vt:variant>
      <vt:variant>
        <vt:i4>7143426</vt:i4>
      </vt:variant>
      <vt:variant>
        <vt:i4>12</vt:i4>
      </vt:variant>
      <vt:variant>
        <vt:i4>0</vt:i4>
      </vt:variant>
      <vt:variant>
        <vt:i4>5</vt:i4>
      </vt:variant>
      <vt:variant>
        <vt:lpwstr>https://www.eca.europa.eu/Lists/ECAReplies/COM-Replies-SR-2023-16/COM-Replies-SR-2023-16_EN.pdf</vt:lpwstr>
      </vt:variant>
      <vt:variant>
        <vt:lpwstr/>
      </vt:variant>
      <vt:variant>
        <vt:i4>4653163</vt:i4>
      </vt:variant>
      <vt:variant>
        <vt:i4>9</vt:i4>
      </vt:variant>
      <vt:variant>
        <vt:i4>0</vt:i4>
      </vt:variant>
      <vt:variant>
        <vt:i4>5</vt:i4>
      </vt:variant>
      <vt:variant>
        <vt:lpwstr>https://www.eca.europa.eu/ECAPublications/SR-2023-16/SR-2023-16_EN.pdf</vt:lpwstr>
      </vt:variant>
      <vt:variant>
        <vt:lpwstr/>
      </vt:variant>
      <vt:variant>
        <vt:i4>3211346</vt:i4>
      </vt:variant>
      <vt:variant>
        <vt:i4>6</vt:i4>
      </vt:variant>
      <vt:variant>
        <vt:i4>0</vt:i4>
      </vt:variant>
      <vt:variant>
        <vt:i4>5</vt:i4>
      </vt:variant>
      <vt:variant>
        <vt:lpwstr>https://op.europa.eu/en/publication-detail/-/publication/a07eed09-94b8-11ee-b164-01aa75ed71a1/language-en?WT_mc_id=Searchresult&amp;amp%3BWT_ria_c=55576&amp;amp%3BWT_ria_f=7664&amp;amp%3BWT_ria_ev=search&amp;amp%3BWT_URL=https%3A//commission.europa.eu/</vt:lpwstr>
      </vt:variant>
      <vt:variant>
        <vt:lpwstr/>
      </vt:variant>
      <vt:variant>
        <vt:i4>1441880</vt:i4>
      </vt:variant>
      <vt:variant>
        <vt:i4>3</vt:i4>
      </vt:variant>
      <vt:variant>
        <vt:i4>0</vt:i4>
      </vt:variant>
      <vt:variant>
        <vt:i4>5</vt:i4>
      </vt:variant>
      <vt:variant>
        <vt:lpwstr>https://eur-lex.europa.eu/legal-content/EN/TXT/PDF/?uri=CELEX:52023DC0409</vt:lpwstr>
      </vt:variant>
      <vt:variant>
        <vt:lpwstr/>
      </vt:variant>
      <vt:variant>
        <vt:i4>6029410</vt:i4>
      </vt:variant>
      <vt:variant>
        <vt:i4>0</vt:i4>
      </vt:variant>
      <vt:variant>
        <vt:i4>0</vt:i4>
      </vt:variant>
      <vt:variant>
        <vt:i4>5</vt:i4>
      </vt:variant>
      <vt:variant>
        <vt:lpwstr>https://commission.europa.eu/system/files/2023-09/COM_2023_545_1_EN_0.pdf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43</cp:revision>
  <cp:lastPrinted>2024-01-23T18:41:00Z</cp:lastPrinted>
  <dcterms:created xsi:type="dcterms:W3CDTF">2024-02-15T01:29:00Z</dcterms:created>
  <dcterms:modified xsi:type="dcterms:W3CDTF">2024-03-13T07:24:00Z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7.0.1, Build 20200226</vt:lpwstr>
  </property>
  <property fmtid="{D5CDD505-2E9C-101B-9397-08002B2CF9AE}" pid="9" name="MSIP_Label_6bd9ddd1-4d20-43f6-abfa-fc3c07406f94_Enabled">
    <vt:lpwstr>true</vt:lpwstr>
  </property>
  <property fmtid="{D5CDD505-2E9C-101B-9397-08002B2CF9AE}" pid="10" name="MSIP_Label_6bd9ddd1-4d20-43f6-abfa-fc3c07406f94_SetDate">
    <vt:lpwstr>2023-01-06T16:26:08Z</vt:lpwstr>
  </property>
  <property fmtid="{D5CDD505-2E9C-101B-9397-08002B2CF9AE}" pid="11" name="MSIP_Label_6bd9ddd1-4d20-43f6-abfa-fc3c07406f94_Method">
    <vt:lpwstr>Privileged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4805f13c-dee7-466f-8124-a3d55c6ed3fb</vt:lpwstr>
  </property>
  <property fmtid="{D5CDD505-2E9C-101B-9397-08002B2CF9AE}" pid="15" name="MSIP_Label_6bd9ddd1-4d20-43f6-abfa-fc3c07406f94_ContentBits">
    <vt:lpwstr>0</vt:lpwstr>
  </property>
  <property fmtid="{D5CDD505-2E9C-101B-9397-08002B2CF9AE}" pid="16" name="ContentTypeId">
    <vt:lpwstr>0x01010093484981D676F7469FB7985B8196FE05</vt:lpwstr>
  </property>
  <property fmtid="{D5CDD505-2E9C-101B-9397-08002B2CF9AE}" pid="17" name="_dlc_DocIdItemGuid">
    <vt:lpwstr>db1e2f6f-95af-4d44-836c-7358ec0b13c1</vt:lpwstr>
  </property>
</Properties>
</file>