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211D7" w14:textId="32F5ED75" w:rsidR="002D4B2B" w:rsidRPr="008D1DBB" w:rsidRDefault="00802EF4" w:rsidP="00802EF4">
      <w:pPr>
        <w:pStyle w:val="Pagedecouverture"/>
        <w:rPr>
          <w:noProof/>
        </w:rPr>
      </w:pPr>
      <w:bookmarkStart w:id="0" w:name="LW_BM_COVERPAGE"/>
      <w:r>
        <w:rPr>
          <w:noProof/>
        </w:rPr>
        <w:pict w14:anchorId="05D8C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6BBC625-E420-4BA7-B9C1-104920AD45FF" style="width:455.25pt;height:365.25pt">
            <v:imagedata r:id="rId14" o:title=""/>
          </v:shape>
        </w:pict>
      </w:r>
    </w:p>
    <w:bookmarkEnd w:id="0"/>
    <w:p w14:paraId="13D366A9" w14:textId="77777777" w:rsidR="002D4B2B" w:rsidRPr="008D1DBB" w:rsidRDefault="002D4B2B">
      <w:pPr>
        <w:rPr>
          <w:noProof/>
        </w:rPr>
        <w:sectPr w:rsidR="002D4B2B" w:rsidRPr="008D1DBB" w:rsidSect="00802EF4">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pgMar w:top="1134" w:right="1417" w:bottom="1134" w:left="1417" w:header="709" w:footer="709" w:gutter="0"/>
          <w:pgNumType w:start="0"/>
          <w:cols w:space="720"/>
          <w:docGrid w:linePitch="326"/>
        </w:sectPr>
      </w:pPr>
    </w:p>
    <w:p w14:paraId="3016171F" w14:textId="77777777" w:rsidR="002D4B2B" w:rsidRPr="008D1DBB" w:rsidRDefault="002D4B2B" w:rsidP="00F33611">
      <w:pPr>
        <w:pStyle w:val="Heading1"/>
        <w:rPr>
          <w:noProof/>
        </w:rPr>
      </w:pPr>
      <w:bookmarkStart w:id="1" w:name="_Toc140691335"/>
      <w:bookmarkStart w:id="2" w:name="_GoBack"/>
      <w:bookmarkEnd w:id="2"/>
      <w:r w:rsidRPr="008D1DBB">
        <w:rPr>
          <w:noProof/>
        </w:rPr>
        <w:lastRenderedPageBreak/>
        <w:t>EINLEITUNG</w:t>
      </w:r>
      <w:bookmarkEnd w:id="1"/>
    </w:p>
    <w:p w14:paraId="5A81BCCD" w14:textId="15CD3C4D" w:rsidR="002D4B2B" w:rsidRPr="008D1DBB" w:rsidRDefault="00E91235" w:rsidP="00D526E5">
      <w:pPr>
        <w:rPr>
          <w:noProof/>
        </w:rPr>
      </w:pPr>
      <w:r w:rsidRPr="008D1DBB">
        <w:rPr>
          <w:noProof/>
        </w:rPr>
        <w:t>Der Straßenverkehr verursacht etwa ein Fünftel der Treibhausgasemissionen der Europäischen Union (EU). Rund 70 % der Gesamtemissionen aus dem Straßenverkehr entfallen auf Personenkraftwagen und leichte Nutzfahrzeuge.</w:t>
      </w:r>
      <w:r w:rsidRPr="008D1DBB">
        <w:rPr>
          <w:rStyle w:val="FootnoteReference"/>
          <w:noProof/>
        </w:rPr>
        <w:footnoteReference w:id="2"/>
      </w:r>
      <w:r w:rsidRPr="008D1DBB">
        <w:rPr>
          <w:noProof/>
        </w:rPr>
        <w:t xml:space="preserve"> </w:t>
      </w:r>
    </w:p>
    <w:p w14:paraId="64538F05" w14:textId="4A58F99A" w:rsidR="006329A6" w:rsidRPr="008D1DBB" w:rsidRDefault="00FB223C" w:rsidP="00D526E5">
      <w:pPr>
        <w:rPr>
          <w:noProof/>
        </w:rPr>
      </w:pPr>
      <w:r w:rsidRPr="008D1DBB">
        <w:rPr>
          <w:noProof/>
        </w:rPr>
        <w:t>Um bis zum Jahr 2050 Klimaneutralität in der EU zu erreichen, wird im Rahmen des europäischen Grünen Deals</w:t>
      </w:r>
      <w:r w:rsidRPr="008D1DBB">
        <w:rPr>
          <w:rStyle w:val="FootnoteReference"/>
          <w:noProof/>
        </w:rPr>
        <w:footnoteReference w:id="3"/>
      </w:r>
      <w:r w:rsidRPr="008D1DBB">
        <w:rPr>
          <w:noProof/>
        </w:rPr>
        <w:t xml:space="preserve"> eine Verringerung der verkehrsbedingten Treibhausgasemissionen um 90 % gegenüber 1990 gefordert. Die Verordnung (EU) 2019/631</w:t>
      </w:r>
      <w:r w:rsidRPr="008D1DBB">
        <w:rPr>
          <w:rStyle w:val="FootnoteReference"/>
          <w:noProof/>
        </w:rPr>
        <w:footnoteReference w:id="4"/>
      </w:r>
      <w:r w:rsidRPr="008D1DBB">
        <w:rPr>
          <w:noProof/>
        </w:rPr>
        <w:t>, in der CO</w:t>
      </w:r>
      <w:r w:rsidRPr="008D1DBB">
        <w:rPr>
          <w:noProof/>
          <w:vertAlign w:val="subscript"/>
        </w:rPr>
        <w:t>2</w:t>
      </w:r>
      <w:r w:rsidRPr="008D1DBB">
        <w:rPr>
          <w:noProof/>
        </w:rPr>
        <w:t>-Emissionsnormen für neue Personenkraftwagen und neue leichte Nutzfahrzeuge festgelegt sind, ist eines der wichtigsten politischen Instrumente zur Umsetzung dieses Ziels.</w:t>
      </w:r>
    </w:p>
    <w:p w14:paraId="3E21E50D" w14:textId="194413FE" w:rsidR="00B64520" w:rsidRPr="008D1DBB" w:rsidRDefault="00FB223C" w:rsidP="00D526E5">
      <w:pPr>
        <w:rPr>
          <w:noProof/>
        </w:rPr>
      </w:pPr>
      <w:r w:rsidRPr="008D1DBB">
        <w:rPr>
          <w:noProof/>
        </w:rPr>
        <w:t>Anhand der bei der Typgenehmigung festgelegten amtlichen CO</w:t>
      </w:r>
      <w:r w:rsidRPr="008D1DBB">
        <w:rPr>
          <w:noProof/>
          <w:vertAlign w:val="subscript"/>
        </w:rPr>
        <w:t>2</w:t>
      </w:r>
      <w:r w:rsidRPr="008D1DBB">
        <w:rPr>
          <w:noProof/>
        </w:rPr>
        <w:t>-Emissionswerte von Fahrzeugen wird ermittelt, ob die Hersteller die Zielvorgaben der Verordnung einhalten. Somit hängen die Wirksamkeit dieser Ziele bei der Verringerung der CO</w:t>
      </w:r>
      <w:r w:rsidRPr="008D1DBB">
        <w:rPr>
          <w:noProof/>
          <w:vertAlign w:val="subscript"/>
        </w:rPr>
        <w:t>2</w:t>
      </w:r>
      <w:r w:rsidRPr="008D1DBB">
        <w:rPr>
          <w:noProof/>
        </w:rPr>
        <w:t>-Emissionen sowie die Robustheit des Systems zur Überwachung der CO</w:t>
      </w:r>
      <w:r w:rsidRPr="008D1DBB">
        <w:rPr>
          <w:noProof/>
          <w:vertAlign w:val="subscript"/>
        </w:rPr>
        <w:t>2</w:t>
      </w:r>
      <w:r w:rsidRPr="008D1DBB">
        <w:rPr>
          <w:noProof/>
        </w:rPr>
        <w:t>-Emissionen davon ab, wie gut diese amtlichen Prüfwerte die tatsächlichen Emissionen von Fahrzeugen im Fahrbetrieb repräsentieren. Diese Repräsentativität ist wichtig für die Umweltintegrität, die Transparenz und die Zuverlässigkeit des Überwachungssystems und somit auch für das Vertrauen der Verbraucherinnen und Verbraucher.</w:t>
      </w:r>
    </w:p>
    <w:p w14:paraId="00847A71" w14:textId="61E99A02" w:rsidR="00CB396E" w:rsidRPr="008D1DBB" w:rsidRDefault="00F03D6D" w:rsidP="00054A6D">
      <w:pPr>
        <w:rPr>
          <w:noProof/>
        </w:rPr>
      </w:pPr>
      <w:r w:rsidRPr="008D1DBB">
        <w:rPr>
          <w:noProof/>
        </w:rPr>
        <w:t>In den letzten Jahren wurden mehrere Maßnahmen ergriffen, um sicherzustellen, dass die Prüfwerte der Realität möglichst nahekommen. Im Jahr 2017 wurde das weltweit harmonisierte Prüfverfahren für Personenkraftwagen und leichte Nutzfahrzeuge (Worldwide Harmonised Light Vehicle Test Procedure, WLTP)</w:t>
      </w:r>
      <w:r w:rsidRPr="008D1DBB">
        <w:rPr>
          <w:rStyle w:val="FootnoteReference"/>
          <w:noProof/>
        </w:rPr>
        <w:footnoteReference w:id="5"/>
      </w:r>
      <w:r w:rsidRPr="008D1DBB">
        <w:rPr>
          <w:noProof/>
        </w:rPr>
        <w:t xml:space="preserve"> eingeführt, das den praktischen Fahrbetrieb besser widerspiegelt. Im Rahmen der neuen Verfahren müssen Neufahrzeuge mit fahrzeuginternen Überwachungseinrichtungen für den Kraftstoffverbrauch (On-Board Fuel Consumption Monitoring Devices, im Folgenden „OBFCM-Einrichtungen“) ausgerüstet werden. Diese Anforderung gilt für neue Fahrzeuge der Klasse M1 (Personenkraftwagen), die seit 2021 zugelassen wurden, und für neue Fahrzeuge der Klasse N1 (Nutzfahrzeuge), die seit 2022 zugelassen wurden. Darüber hinaus wurde mit der Verordnung (EU) 2019/631 eine Verpflichtung für die nationalen Behörden eingeführt, die Richtigkeit der amtlichen WLTP-basierten CO</w:t>
      </w:r>
      <w:r w:rsidRPr="008D1DBB">
        <w:rPr>
          <w:noProof/>
          <w:vertAlign w:val="subscript"/>
        </w:rPr>
        <w:t>2</w:t>
      </w:r>
      <w:r w:rsidRPr="008D1DBB">
        <w:rPr>
          <w:noProof/>
        </w:rPr>
        <w:t>-Werte durch Tests an bereits in Betrieb befindlichen – d. h. im Straßenverkehr eingesetzten – Fahrzeugen zu überprüfen.</w:t>
      </w:r>
    </w:p>
    <w:p w14:paraId="08F817A4" w14:textId="02F7CBD5" w:rsidR="00873869" w:rsidRPr="008D1DBB" w:rsidRDefault="00F03D6D" w:rsidP="00873869">
      <w:pPr>
        <w:rPr>
          <w:noProof/>
        </w:rPr>
      </w:pPr>
      <w:r w:rsidRPr="008D1DBB">
        <w:rPr>
          <w:noProof/>
        </w:rPr>
        <w:t>Mit der Verordnung (EU) 2019/631 wurde der Kommission auch die Aufgabe übertragen, die tatsächlichen CO</w:t>
      </w:r>
      <w:r w:rsidRPr="008D1DBB">
        <w:rPr>
          <w:noProof/>
          <w:vertAlign w:val="subscript"/>
        </w:rPr>
        <w:t>2</w:t>
      </w:r>
      <w:r w:rsidRPr="008D1DBB">
        <w:rPr>
          <w:noProof/>
        </w:rPr>
        <w:t>-Emissionen von auf der Straße betriebenen Fahrzeugen zu überwachen, indem die aus den OBFCM-Einrichtungen ausgelesenen Daten mit den entsprechenden amtlichen WLTP-Daten verglichen werden.</w:t>
      </w:r>
      <w:r w:rsidRPr="008D1DBB">
        <w:rPr>
          <w:rStyle w:val="FootnoteReference"/>
          <w:noProof/>
        </w:rPr>
        <w:footnoteReference w:id="6"/>
      </w:r>
    </w:p>
    <w:p w14:paraId="3B54D782" w14:textId="1894E907" w:rsidR="00873869" w:rsidRPr="008D1DBB" w:rsidRDefault="000B6784" w:rsidP="00934087">
      <w:pPr>
        <w:rPr>
          <w:noProof/>
        </w:rPr>
      </w:pPr>
      <w:r w:rsidRPr="008D1DBB">
        <w:rPr>
          <w:noProof/>
        </w:rPr>
        <w:t>Der vorliegende Bericht ist der erste Bericht über die Umsetzung dieser Überwachung der tatsächlichen CO</w:t>
      </w:r>
      <w:r w:rsidRPr="008D1DBB">
        <w:rPr>
          <w:noProof/>
          <w:vertAlign w:val="subscript"/>
        </w:rPr>
        <w:t>2</w:t>
      </w:r>
      <w:r w:rsidRPr="008D1DBB">
        <w:rPr>
          <w:noProof/>
        </w:rPr>
        <w:t>-Emissionen, wobei der Schwerpunkt auf den im Jahr 2022 gemeldeten Daten für im Jahr 2021 erstmals zugelassene Fahrzeuge liegt. Die für den Vergleich verwendeten amtlichen WLTP-Daten wurden im August 2023 finalisiert und angenommen.</w:t>
      </w:r>
      <w:r w:rsidRPr="008D1DBB">
        <w:rPr>
          <w:rStyle w:val="FootnoteReference"/>
          <w:noProof/>
        </w:rPr>
        <w:footnoteReference w:id="7"/>
      </w:r>
      <w:r w:rsidRPr="008D1DBB">
        <w:rPr>
          <w:noProof/>
        </w:rPr>
        <w:t xml:space="preserve"> </w:t>
      </w:r>
    </w:p>
    <w:p w14:paraId="2088F64A" w14:textId="1A4F3D1B" w:rsidR="00A640AC" w:rsidRPr="008D1DBB" w:rsidRDefault="00156867" w:rsidP="00934087">
      <w:pPr>
        <w:rPr>
          <w:noProof/>
        </w:rPr>
      </w:pPr>
      <w:r w:rsidRPr="008D1DBB">
        <w:rPr>
          <w:noProof/>
        </w:rPr>
        <w:t>Der vorliegende Bericht enthält einen Überblick über die von der Kommission erhaltenen und verarbeiteten Daten (Abschnitt 2), die wichtigsten Ergebnisse der Analyse (Abschnitt 3), eine Bewertung der künftigen Nutzung der Daten aus dem praktischen Fahrbetrieb (Abschnitt 4) und die Schlussfolgerungen, die zu diesem Zeitpunkt gezogen werden können (Abschnitt 5).</w:t>
      </w:r>
    </w:p>
    <w:p w14:paraId="2CD02869" w14:textId="4D24C56D" w:rsidR="00DD0AB9" w:rsidRPr="008D1DBB" w:rsidRDefault="007A79D2" w:rsidP="00934087">
      <w:pPr>
        <w:rPr>
          <w:noProof/>
        </w:rPr>
      </w:pPr>
      <w:r w:rsidRPr="008D1DBB">
        <w:rPr>
          <w:noProof/>
        </w:rPr>
        <w:t>In der Arbeitsunterlage der Kommissionsdienststellen</w:t>
      </w:r>
      <w:r w:rsidRPr="008D1DBB">
        <w:rPr>
          <w:rStyle w:val="FootnoteReference"/>
          <w:noProof/>
        </w:rPr>
        <w:footnoteReference w:id="8"/>
      </w:r>
      <w:r w:rsidRPr="008D1DBB">
        <w:rPr>
          <w:noProof/>
        </w:rPr>
        <w:t>, die diesen Bericht begleitet, werden die Methodik für die Verarbeitung und Analyse der Daten aus dem praktischen Fahrbetrieb sowie detailliertere Ergebnisse dargelegt. Er enthält auch den ersten der jährlichen anonymisierten aggregierten Datensätze je Hersteller, auf deren Grundlage die Kommission die Differenz zwischen den WLTP-Werten und den Werten aus dem praktischen Fahrbetrieb überwachen kann.</w:t>
      </w:r>
      <w:r w:rsidRPr="008D1DBB">
        <w:rPr>
          <w:rStyle w:val="FootnoteReference"/>
          <w:noProof/>
        </w:rPr>
        <w:footnoteReference w:id="9"/>
      </w:r>
    </w:p>
    <w:p w14:paraId="77D2CB7E" w14:textId="47007CFB" w:rsidR="00D526E5" w:rsidRPr="008D1DBB" w:rsidRDefault="006D02BB" w:rsidP="00D526E5">
      <w:pPr>
        <w:pStyle w:val="Heading1"/>
        <w:rPr>
          <w:noProof/>
        </w:rPr>
      </w:pPr>
      <w:r w:rsidRPr="008D1DBB">
        <w:rPr>
          <w:noProof/>
        </w:rPr>
        <w:t xml:space="preserve">Datensatz </w:t>
      </w:r>
    </w:p>
    <w:p w14:paraId="51A7A878" w14:textId="03EB7ACC" w:rsidR="00D526E5" w:rsidRPr="008D1DBB" w:rsidRDefault="00D526E5" w:rsidP="00D526E5">
      <w:pPr>
        <w:pStyle w:val="Heading2"/>
        <w:rPr>
          <w:noProof/>
        </w:rPr>
      </w:pPr>
      <w:r w:rsidRPr="008D1DBB">
        <w:rPr>
          <w:noProof/>
        </w:rPr>
        <w:t>Datenquellen und Datenverarbeitung</w:t>
      </w:r>
    </w:p>
    <w:p w14:paraId="529EA726" w14:textId="19114D23" w:rsidR="00AB374A" w:rsidRPr="008D1DBB" w:rsidRDefault="00B74233" w:rsidP="00AB374A">
      <w:pPr>
        <w:rPr>
          <w:noProof/>
        </w:rPr>
      </w:pPr>
      <w:r w:rsidRPr="008D1DBB">
        <w:rPr>
          <w:noProof/>
        </w:rPr>
        <w:t>Gemäß der Durchführungsverordnung (EU) 2021/392 müssen die Daten aus dem praktischen Fahrbetrieb sowohl von den Fahrzeugherstellern als auch von den Mitgliedstaaten erhoben und der Europäischen Umweltagentur (EUA) gemeldet werden. Von den Herstellern können diese Daten entweder durch direkte Datenübertragung per Luftschnittstelle (Over-the-Air, OTA) von den Fahrzeugen an die Hersteller oder durch deren Vertragshändler oder Vertragswerkstätten im Zuge der Wartung oder Reparatur von Fahrzeugen erhoben werden. Die Mitgliedstaaten sind seit dem 20. Mai 2023 verpflichtet, die Daten aus dem praktischen Fahrbetrieb im Rahmen der technischen Überwachung zu erheben.</w:t>
      </w:r>
    </w:p>
    <w:p w14:paraId="69EE801E" w14:textId="207AD4B2" w:rsidR="002A2145" w:rsidRPr="008D1DBB" w:rsidRDefault="00AB374A" w:rsidP="00215622">
      <w:pPr>
        <w:keepLines/>
        <w:tabs>
          <w:tab w:val="left" w:pos="5529"/>
        </w:tabs>
        <w:rPr>
          <w:noProof/>
        </w:rPr>
      </w:pPr>
      <w:r w:rsidRPr="008D1DBB">
        <w:rPr>
          <w:b/>
          <w:noProof/>
        </w:rPr>
        <w:t xml:space="preserve">Dieser erste Bericht stützt sich auf die Daten aus dem praktischen Fahrbetrieb, die die Fahrzeughersteller im Laufe des Jahres 2021 über ihre mit OBFCM-Einrichtungen ausgestatteten Personenkraftwagen und Nutzfahrzeugen erhoben haben. </w:t>
      </w:r>
      <w:r w:rsidRPr="008D1DBB">
        <w:rPr>
          <w:noProof/>
        </w:rPr>
        <w:t>Für 988 231 von insgesamt 9 821 479 Fahrzeugen, die 2021 erstmals in der EU, Island oder Norwegen zugelassen wurden, wurden Daten aus dem praktischen Fahrbetrieb übermittelt.</w:t>
      </w:r>
      <w:r w:rsidRPr="008D1DBB">
        <w:rPr>
          <w:rStyle w:val="FootnoteReference"/>
          <w:noProof/>
        </w:rPr>
        <w:footnoteReference w:id="10"/>
      </w:r>
      <w:r w:rsidRPr="008D1DBB">
        <w:rPr>
          <w:noProof/>
        </w:rPr>
        <w:t xml:space="preserve"> Dies umfasste 916 216 Personenkraftwagen und 12 301 Nutzfahrzeuge</w:t>
      </w:r>
      <w:r w:rsidRPr="008D1DBB">
        <w:rPr>
          <w:rStyle w:val="FootnoteReference"/>
          <w:noProof/>
        </w:rPr>
        <w:footnoteReference w:id="11"/>
      </w:r>
      <w:r w:rsidRPr="008D1DBB">
        <w:rPr>
          <w:noProof/>
        </w:rPr>
        <w:t>, was 10,6 % bzw. 1,0 % der im Jahr 2021 erstmals zugelassenen Fahrzeuge entspricht.</w:t>
      </w:r>
      <w:r w:rsidRPr="008D1DBB">
        <w:rPr>
          <w:rStyle w:val="FootnoteReference"/>
          <w:noProof/>
        </w:rPr>
        <w:footnoteReference w:id="12"/>
      </w:r>
    </w:p>
    <w:p w14:paraId="2C3774D2" w14:textId="71118D38" w:rsidR="009E62DC" w:rsidRPr="008D1DBB" w:rsidRDefault="004E776A" w:rsidP="00785F55">
      <w:pPr>
        <w:rPr>
          <w:noProof/>
        </w:rPr>
      </w:pPr>
      <w:r w:rsidRPr="008D1DBB">
        <w:rPr>
          <w:noProof/>
        </w:rPr>
        <w:t xml:space="preserve">Vor der Analyse wurden die Daten in mehreren Schritten verarbeitet und aggregiert. Nicht repräsentative Daten, unstimmige Daten, Ausreißer und nicht unter die Bestimmungen fallende Fahrzeuge wurden entfernt. Insbesondere wurden Fahrzeuge mit einer Kilometerleistung von weniger als 500 km herausgefiltert, was 27 % der Personenkraftwagen im Datensatz betraf. Insgesamt wurden 63 % der gemeldeten Fahrzeuge im endgültigen Datensatz gespeichert. Weitere Einzelheiten zu diesem Verfahren sind der begleitenden Arbeitsunterlage der Kommissionsdienststellen zu entnehmen. </w:t>
      </w:r>
    </w:p>
    <w:p w14:paraId="38DAEEEC" w14:textId="2F8993BA" w:rsidR="005E31DE" w:rsidRPr="008D1DBB" w:rsidRDefault="005E31DE" w:rsidP="005E31DE">
      <w:pPr>
        <w:pStyle w:val="Heading2"/>
        <w:rPr>
          <w:noProof/>
        </w:rPr>
      </w:pPr>
      <w:bookmarkStart w:id="4" w:name="_Ref145955595"/>
      <w:r w:rsidRPr="008D1DBB">
        <w:rPr>
          <w:noProof/>
        </w:rPr>
        <w:t>Endgültiger Datensatz aus dem praktischen Fahrbetrieb 2021</w:t>
      </w:r>
      <w:bookmarkEnd w:id="4"/>
    </w:p>
    <w:p w14:paraId="4899F2E0" w14:textId="42EF10E5" w:rsidR="00E62132" w:rsidRPr="008D1DBB" w:rsidRDefault="00EB78CB" w:rsidP="005E31DE">
      <w:pPr>
        <w:rPr>
          <w:noProof/>
        </w:rPr>
      </w:pPr>
      <w:r w:rsidRPr="008D1DBB">
        <w:rPr>
          <w:noProof/>
        </w:rPr>
        <w:t xml:space="preserve">Der endgültige Datensatz, der für die weiteren Berechnungen verwendet wurde, ist nachstehend in </w:t>
      </w:r>
      <w:r w:rsidRPr="008D1DBB">
        <w:rPr>
          <w:i/>
          <w:iCs/>
          <w:noProof/>
        </w:rPr>
        <w:t>Tabelle 1</w:t>
      </w:r>
      <w:r w:rsidRPr="008D1DBB">
        <w:rPr>
          <w:noProof/>
        </w:rPr>
        <w:t xml:space="preserve"> dargelegt. Er umfasst 617 194 Personenkraftwagen (7,2 % der im Jahr 2021 erstmals zugelassenen Personenkraftwagen) und 6 667 leichte Nutzfahrzeuge (0,6 % der 2021 erstmals zugelassenen leichten Nutzfahrzeuge). </w:t>
      </w:r>
    </w:p>
    <w:p w14:paraId="3B81FC18" w14:textId="4ECAF659" w:rsidR="009532D8" w:rsidRPr="008D1DBB" w:rsidRDefault="003B0FDC" w:rsidP="009532D8">
      <w:pPr>
        <w:rPr>
          <w:noProof/>
        </w:rPr>
      </w:pPr>
      <w:r w:rsidRPr="008D1DBB">
        <w:rPr>
          <w:b/>
          <w:noProof/>
        </w:rPr>
        <w:t xml:space="preserve">Insgesamt meldeten nur wenige Hersteller Daten zu einem erheblichen Anteil ihrer im Jahr 2021 zugelassenen Fahrzeuge. Die Hersteller werden weitere Anstrengungen unternehmen müssen, um die Flottenerfassung in den kommenden Jahren erheblich zu verbessern. </w:t>
      </w:r>
      <w:r w:rsidRPr="008D1DBB">
        <w:rPr>
          <w:noProof/>
        </w:rPr>
        <w:t>Während dieser Datensatz für Personenkraftwagen ausreicht, um vorläufige Schlussfolgerungen zu ziehen, war eine ungleiche Verteilung zwischen den von den Herstellern vorgelegten Daten zu verzeichnen (siehe Abschnitt </w:t>
      </w:r>
      <w:r w:rsidRPr="008D1DBB">
        <w:rPr>
          <w:rStyle w:val="CrossReference"/>
          <w:i w:val="0"/>
          <w:noProof/>
        </w:rPr>
        <w:fldChar w:fldCharType="begin"/>
      </w:r>
      <w:r w:rsidRPr="008D1DBB">
        <w:rPr>
          <w:rStyle w:val="CrossReference"/>
          <w:i w:val="0"/>
          <w:noProof/>
        </w:rPr>
        <w:instrText xml:space="preserve"> REF _Ref148516957 \r \h  \* MERGEFORMAT </w:instrText>
      </w:r>
      <w:r w:rsidRPr="008D1DBB">
        <w:rPr>
          <w:rStyle w:val="CrossReference"/>
          <w:i w:val="0"/>
          <w:noProof/>
        </w:rPr>
      </w:r>
      <w:r w:rsidRPr="008D1DBB">
        <w:rPr>
          <w:rStyle w:val="CrossReference"/>
          <w:i w:val="0"/>
          <w:noProof/>
        </w:rPr>
        <w:fldChar w:fldCharType="separate"/>
      </w:r>
      <w:r w:rsidRPr="008D1DBB">
        <w:rPr>
          <w:rStyle w:val="CrossReference"/>
          <w:i w:val="0"/>
          <w:noProof/>
        </w:rPr>
        <w:t>3.2.1</w:t>
      </w:r>
      <w:r w:rsidRPr="008D1DBB">
        <w:rPr>
          <w:rStyle w:val="CrossReference"/>
          <w:i w:val="0"/>
          <w:noProof/>
        </w:rPr>
        <w:fldChar w:fldCharType="end"/>
      </w:r>
      <w:r w:rsidRPr="008D1DBB">
        <w:rPr>
          <w:noProof/>
        </w:rPr>
        <w:t>). Bei kleinen Nutzfahrzeugen ist die Flottenerfassung sehr begrenzt, was darauf zurückzuführen ist, dass Nutzfahrzeuge der Klassen II und III (d. h. Fahrzeuge mit einem Gewicht von über 1 305 kg), die die überwiegende Mehrheit der Flotte ausmachen, erst seit 2022 über OBFCM-Einrichtungen verfügen müssen. Daher kann der Datensatz aus dem praktischen Fahrbetrieb für leichte Nutzfahrzeuge nicht als repräsentativ für die Zulassungen des Jahres 2021 angesehen werden, und in der Analyse dieses Berichts werden ausschließlich Personenkraftwagen berücksichtigt.</w:t>
      </w:r>
    </w:p>
    <w:p w14:paraId="040EC9AE" w14:textId="5B6B9144" w:rsidR="001C1938" w:rsidRPr="008D1DBB" w:rsidRDefault="00A778B1" w:rsidP="00215622">
      <w:pPr>
        <w:keepLines/>
        <w:rPr>
          <w:noProof/>
        </w:rPr>
      </w:pPr>
      <w:r w:rsidRPr="008D1DBB">
        <w:rPr>
          <w:noProof/>
        </w:rPr>
        <w:t xml:space="preserve">Bei Personenkraftwagen machen Diesel- und Plug-in-Hybridelektrofahrzeuge einen größeren Anteil des Datensatzes aus dem praktischen Fahrbetrieb aus als bei den Zulassungen des Jahres 2021 insgesamt. Daher werden für jeden Antriebsstrang/Kraftstofftyp weitere Berechnungen und Differenzanalysen durchgeführt. </w:t>
      </w:r>
    </w:p>
    <w:p w14:paraId="07D84622" w14:textId="55D6E672" w:rsidR="00D161B4" w:rsidRPr="008D1DBB" w:rsidRDefault="00D161B4" w:rsidP="00EC0F65">
      <w:pPr>
        <w:keepNext/>
        <w:rPr>
          <w:b/>
          <w:i/>
          <w:noProof/>
        </w:rPr>
      </w:pPr>
      <w:bookmarkStart w:id="5" w:name="_Ref145596319"/>
      <w:r w:rsidRPr="008D1DBB">
        <w:rPr>
          <w:b/>
          <w:i/>
          <w:noProof/>
        </w:rPr>
        <w:t>Tabelle </w:t>
      </w:r>
      <w:r w:rsidRPr="008D1DBB">
        <w:rPr>
          <w:b/>
          <w:i/>
          <w:noProof/>
        </w:rPr>
        <w:fldChar w:fldCharType="begin"/>
      </w:r>
      <w:r w:rsidRPr="008D1DBB">
        <w:rPr>
          <w:b/>
          <w:i/>
          <w:noProof/>
        </w:rPr>
        <w:instrText xml:space="preserve"> SEQ Table \* ARABIC </w:instrText>
      </w:r>
      <w:r w:rsidRPr="008D1DBB">
        <w:rPr>
          <w:b/>
          <w:i/>
          <w:noProof/>
        </w:rPr>
        <w:fldChar w:fldCharType="separate"/>
      </w:r>
      <w:r w:rsidRPr="008D1DBB">
        <w:rPr>
          <w:b/>
          <w:i/>
          <w:noProof/>
        </w:rPr>
        <w:t>1</w:t>
      </w:r>
      <w:r w:rsidRPr="008D1DBB">
        <w:rPr>
          <w:b/>
          <w:i/>
          <w:noProof/>
        </w:rPr>
        <w:fldChar w:fldCharType="end"/>
      </w:r>
      <w:bookmarkEnd w:id="5"/>
      <w:r w:rsidRPr="008D1DBB">
        <w:rPr>
          <w:b/>
          <w:i/>
          <w:noProof/>
        </w:rPr>
        <w:t>: Endgültiger Datensatz aus dem praktischen Fahrbetrieb</w:t>
      </w:r>
    </w:p>
    <w:tbl>
      <w:tblPr>
        <w:tblStyle w:val="PlainTable1"/>
        <w:tblW w:w="8647" w:type="dxa"/>
        <w:tblLook w:val="04A0" w:firstRow="1" w:lastRow="0" w:firstColumn="1" w:lastColumn="0" w:noHBand="0" w:noVBand="1"/>
      </w:tblPr>
      <w:tblGrid>
        <w:gridCol w:w="2270"/>
        <w:gridCol w:w="1376"/>
        <w:gridCol w:w="1603"/>
        <w:gridCol w:w="1830"/>
        <w:gridCol w:w="1923"/>
      </w:tblGrid>
      <w:tr w:rsidR="00172BE5" w:rsidRPr="008D1DBB" w14:paraId="017A365A" w14:textId="77777777" w:rsidTr="00EE7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12" w:space="0" w:color="auto"/>
              <w:right w:val="single" w:sz="4" w:space="0" w:color="auto"/>
            </w:tcBorders>
          </w:tcPr>
          <w:p w14:paraId="0F074C30" w14:textId="237DC15C" w:rsidR="00D161B4" w:rsidRPr="008D1DBB" w:rsidRDefault="00D161B4" w:rsidP="000020FD">
            <w:pPr>
              <w:pStyle w:val="TableText"/>
              <w:jc w:val="center"/>
              <w:rPr>
                <w:noProof/>
              </w:rPr>
            </w:pPr>
            <w:r w:rsidRPr="008D1DBB">
              <w:rPr>
                <w:noProof/>
              </w:rPr>
              <w:t>Antriebsstrang/</w:t>
            </w:r>
            <w:r w:rsidR="00B807FD" w:rsidRPr="008D1DBB">
              <w:rPr>
                <w:noProof/>
              </w:rPr>
              <w:br/>
            </w:r>
            <w:r w:rsidRPr="008D1DBB">
              <w:rPr>
                <w:noProof/>
              </w:rPr>
              <w:t>Kraftstofftyp</w:t>
            </w:r>
          </w:p>
        </w:tc>
        <w:tc>
          <w:tcPr>
            <w:tcW w:w="0" w:type="dxa"/>
            <w:tcBorders>
              <w:top w:val="single" w:sz="4" w:space="0" w:color="auto"/>
              <w:left w:val="single" w:sz="4" w:space="0" w:color="auto"/>
              <w:bottom w:val="single" w:sz="12" w:space="0" w:color="auto"/>
              <w:right w:val="single" w:sz="4" w:space="0" w:color="auto"/>
            </w:tcBorders>
          </w:tcPr>
          <w:p w14:paraId="26028C01" w14:textId="3917A843" w:rsidR="00D161B4" w:rsidRPr="008D1DBB" w:rsidRDefault="00D179AB" w:rsidP="000020FD">
            <w:pPr>
              <w:pStyle w:val="TableText"/>
              <w:jc w:val="center"/>
              <w:cnfStyle w:val="100000000000" w:firstRow="1" w:lastRow="0" w:firstColumn="0" w:lastColumn="0" w:oddVBand="0" w:evenVBand="0" w:oddHBand="0" w:evenHBand="0" w:firstRowFirstColumn="0" w:firstRowLastColumn="0" w:lastRowFirstColumn="0" w:lastRowLastColumn="0"/>
              <w:rPr>
                <w:noProof/>
              </w:rPr>
            </w:pPr>
            <w:r w:rsidRPr="008D1DBB">
              <w:rPr>
                <w:noProof/>
              </w:rPr>
              <w:t>Anzahl der gemeldeten Fahrzeuge</w:t>
            </w:r>
          </w:p>
        </w:tc>
        <w:tc>
          <w:tcPr>
            <w:tcW w:w="0" w:type="dxa"/>
            <w:tcBorders>
              <w:top w:val="single" w:sz="4" w:space="0" w:color="auto"/>
              <w:left w:val="single" w:sz="4" w:space="0" w:color="auto"/>
              <w:bottom w:val="single" w:sz="12" w:space="0" w:color="auto"/>
              <w:right w:val="single" w:sz="4" w:space="0" w:color="auto"/>
            </w:tcBorders>
          </w:tcPr>
          <w:p w14:paraId="4AC1CF8A" w14:textId="2A6FAF07" w:rsidR="00D161B4" w:rsidRPr="008D1DBB" w:rsidRDefault="00D161B4" w:rsidP="000020FD">
            <w:pPr>
              <w:pStyle w:val="TableText"/>
              <w:jc w:val="center"/>
              <w:cnfStyle w:val="100000000000" w:firstRow="1" w:lastRow="0" w:firstColumn="0" w:lastColumn="0" w:oddVBand="0" w:evenVBand="0" w:oddHBand="0" w:evenHBand="0" w:firstRowFirstColumn="0" w:firstRowLastColumn="0" w:lastRowFirstColumn="0" w:lastRowLastColumn="0"/>
              <w:rPr>
                <w:noProof/>
              </w:rPr>
            </w:pPr>
            <w:r w:rsidRPr="008D1DBB">
              <w:rPr>
                <w:noProof/>
              </w:rPr>
              <w:t>Anzahl der Fahrzeuge nach der Verarbeitung (berück</w:t>
            </w:r>
            <w:r w:rsidR="00B807FD" w:rsidRPr="008D1DBB">
              <w:rPr>
                <w:noProof/>
              </w:rPr>
              <w:softHyphen/>
            </w:r>
            <w:r w:rsidRPr="008D1DBB">
              <w:rPr>
                <w:noProof/>
              </w:rPr>
              <w:t>sichtigte Fahrzeuge in %)</w:t>
            </w:r>
          </w:p>
        </w:tc>
        <w:tc>
          <w:tcPr>
            <w:tcW w:w="0" w:type="dxa"/>
            <w:tcBorders>
              <w:top w:val="single" w:sz="4" w:space="0" w:color="auto"/>
              <w:left w:val="single" w:sz="4" w:space="0" w:color="auto"/>
              <w:bottom w:val="single" w:sz="12" w:space="0" w:color="auto"/>
              <w:right w:val="single" w:sz="4" w:space="0" w:color="auto"/>
            </w:tcBorders>
          </w:tcPr>
          <w:p w14:paraId="0843BE6C" w14:textId="0446E590" w:rsidR="00D161B4" w:rsidRPr="008D1DBB" w:rsidRDefault="00172BE5" w:rsidP="000020FD">
            <w:pPr>
              <w:pStyle w:val="TableText"/>
              <w:jc w:val="center"/>
              <w:cnfStyle w:val="100000000000" w:firstRow="1" w:lastRow="0" w:firstColumn="0" w:lastColumn="0" w:oddVBand="0" w:evenVBand="0" w:oddHBand="0" w:evenHBand="0" w:firstRowFirstColumn="0" w:firstRowLastColumn="0" w:lastRowFirstColumn="0" w:lastRowLastColumn="0"/>
              <w:rPr>
                <w:noProof/>
              </w:rPr>
            </w:pPr>
            <w:r w:rsidRPr="008D1DBB">
              <w:rPr>
                <w:noProof/>
              </w:rPr>
              <w:t>Zulassungen 2021 insgesamt nach Antriebsstrang/</w:t>
            </w:r>
            <w:r w:rsidR="00B807FD" w:rsidRPr="008D1DBB">
              <w:rPr>
                <w:noProof/>
              </w:rPr>
              <w:br/>
            </w:r>
            <w:r w:rsidRPr="008D1DBB">
              <w:rPr>
                <w:noProof/>
              </w:rPr>
              <w:t>Kraftstofftyp</w:t>
            </w:r>
          </w:p>
        </w:tc>
        <w:tc>
          <w:tcPr>
            <w:tcW w:w="0" w:type="dxa"/>
            <w:tcBorders>
              <w:top w:val="single" w:sz="4" w:space="0" w:color="auto"/>
              <w:left w:val="single" w:sz="4" w:space="0" w:color="auto"/>
              <w:bottom w:val="single" w:sz="12" w:space="0" w:color="auto"/>
              <w:right w:val="single" w:sz="4" w:space="0" w:color="auto"/>
            </w:tcBorders>
          </w:tcPr>
          <w:p w14:paraId="29ECEE2E" w14:textId="2EE17292" w:rsidR="00D161B4" w:rsidRPr="008D1DBB" w:rsidRDefault="00172BE5" w:rsidP="000020FD">
            <w:pPr>
              <w:pStyle w:val="TableText"/>
              <w:jc w:val="center"/>
              <w:cnfStyle w:val="100000000000" w:firstRow="1" w:lastRow="0" w:firstColumn="0" w:lastColumn="0" w:oddVBand="0" w:evenVBand="0" w:oddHBand="0" w:evenHBand="0" w:firstRowFirstColumn="0" w:firstRowLastColumn="0" w:lastRowFirstColumn="0" w:lastRowLastColumn="0"/>
              <w:rPr>
                <w:noProof/>
              </w:rPr>
            </w:pPr>
            <w:r w:rsidRPr="008D1DBB">
              <w:rPr>
                <w:noProof/>
              </w:rPr>
              <w:t>Anteil der berücksichtigten Zulassungen von 2021 nach Antriebsstrang/</w:t>
            </w:r>
            <w:r w:rsidR="00B807FD" w:rsidRPr="008D1DBB">
              <w:rPr>
                <w:noProof/>
              </w:rPr>
              <w:br/>
            </w:r>
            <w:r w:rsidRPr="008D1DBB">
              <w:rPr>
                <w:noProof/>
              </w:rPr>
              <w:t>Kraftstofftyp</w:t>
            </w:r>
          </w:p>
        </w:tc>
      </w:tr>
      <w:tr w:rsidR="001C304C" w:rsidRPr="008D1DBB" w14:paraId="233BED09" w14:textId="77777777" w:rsidTr="00EE7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5"/>
            <w:tcBorders>
              <w:top w:val="single" w:sz="12" w:space="0" w:color="auto"/>
              <w:left w:val="single" w:sz="4" w:space="0" w:color="auto"/>
              <w:bottom w:val="single" w:sz="12" w:space="0" w:color="auto"/>
              <w:right w:val="single" w:sz="4" w:space="0" w:color="auto"/>
            </w:tcBorders>
          </w:tcPr>
          <w:p w14:paraId="29F47BBE" w14:textId="78E5BE38" w:rsidR="001C304C" w:rsidRPr="008D1DBB" w:rsidRDefault="00461346" w:rsidP="000020FD">
            <w:pPr>
              <w:pStyle w:val="TableText"/>
              <w:jc w:val="center"/>
              <w:rPr>
                <w:noProof/>
              </w:rPr>
            </w:pPr>
            <w:r w:rsidRPr="008D1DBB">
              <w:rPr>
                <w:noProof/>
              </w:rPr>
              <w:t>Personenkraftwagen</w:t>
            </w:r>
          </w:p>
        </w:tc>
      </w:tr>
      <w:tr w:rsidR="00172BE5" w:rsidRPr="008D1DBB" w14:paraId="1DD849D8" w14:textId="77777777" w:rsidTr="00EE76F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left w:val="single" w:sz="4" w:space="0" w:color="auto"/>
              <w:right w:val="single" w:sz="4" w:space="0" w:color="auto"/>
            </w:tcBorders>
          </w:tcPr>
          <w:p w14:paraId="08456DD3" w14:textId="77777777" w:rsidR="00BC65D6" w:rsidRPr="008D1DBB" w:rsidRDefault="00BC65D6">
            <w:pPr>
              <w:pStyle w:val="TableText"/>
              <w:jc w:val="center"/>
              <w:rPr>
                <w:noProof/>
              </w:rPr>
            </w:pPr>
            <w:r w:rsidRPr="008D1DBB">
              <w:rPr>
                <w:noProof/>
              </w:rPr>
              <w:t>Benzin</w:t>
            </w:r>
          </w:p>
        </w:tc>
        <w:tc>
          <w:tcPr>
            <w:tcW w:w="0" w:type="dxa"/>
            <w:tcBorders>
              <w:top w:val="single" w:sz="12" w:space="0" w:color="auto"/>
              <w:left w:val="single" w:sz="4" w:space="0" w:color="auto"/>
              <w:right w:val="single" w:sz="4" w:space="0" w:color="auto"/>
            </w:tcBorders>
          </w:tcPr>
          <w:p w14:paraId="6A92DC24" w14:textId="177A6EAC" w:rsidR="00BC65D6" w:rsidRPr="008D1DBB" w:rsidRDefault="00322EF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391 329</w:t>
            </w:r>
          </w:p>
        </w:tc>
        <w:tc>
          <w:tcPr>
            <w:tcW w:w="0" w:type="dxa"/>
            <w:tcBorders>
              <w:top w:val="single" w:sz="12" w:space="0" w:color="auto"/>
              <w:left w:val="single" w:sz="4" w:space="0" w:color="auto"/>
              <w:right w:val="single" w:sz="4" w:space="0" w:color="auto"/>
            </w:tcBorders>
          </w:tcPr>
          <w:p w14:paraId="1F143C87" w14:textId="390797AA" w:rsidR="00BC65D6" w:rsidRPr="008D1DBB" w:rsidRDefault="00322EF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274 451 (70,1 %)</w:t>
            </w:r>
          </w:p>
        </w:tc>
        <w:tc>
          <w:tcPr>
            <w:tcW w:w="0" w:type="dxa"/>
            <w:tcBorders>
              <w:top w:val="single" w:sz="12" w:space="0" w:color="auto"/>
              <w:left w:val="single" w:sz="4" w:space="0" w:color="auto"/>
              <w:right w:val="single" w:sz="4" w:space="0" w:color="auto"/>
            </w:tcBorders>
          </w:tcPr>
          <w:p w14:paraId="6662CCA6" w14:textId="74F567B1" w:rsidR="005003BA" w:rsidRPr="008D1DBB" w:rsidRDefault="004E5F81" w:rsidP="007941ED">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5 495 708</w:t>
            </w:r>
          </w:p>
        </w:tc>
        <w:tc>
          <w:tcPr>
            <w:tcW w:w="0" w:type="dxa"/>
            <w:tcBorders>
              <w:top w:val="single" w:sz="12" w:space="0" w:color="auto"/>
              <w:left w:val="single" w:sz="4" w:space="0" w:color="auto"/>
              <w:right w:val="single" w:sz="4" w:space="0" w:color="auto"/>
            </w:tcBorders>
          </w:tcPr>
          <w:p w14:paraId="7751F2B0" w14:textId="5419AEE8" w:rsidR="00BC65D6" w:rsidRPr="008D1DBB" w:rsidRDefault="003931DC">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5,0 %</w:t>
            </w:r>
          </w:p>
        </w:tc>
      </w:tr>
      <w:tr w:rsidR="00172BE5" w:rsidRPr="008D1DBB" w14:paraId="4743ACBF" w14:textId="77777777" w:rsidTr="00EE7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tcPr>
          <w:p w14:paraId="4883D3CA" w14:textId="6037CAB3" w:rsidR="00D161B4" w:rsidRPr="008D1DBB" w:rsidRDefault="00D161B4" w:rsidP="00525771">
            <w:pPr>
              <w:pStyle w:val="TableText"/>
              <w:jc w:val="center"/>
              <w:rPr>
                <w:noProof/>
              </w:rPr>
            </w:pPr>
            <w:r w:rsidRPr="008D1DBB">
              <w:rPr>
                <w:noProof/>
              </w:rPr>
              <w:t>Diesel</w:t>
            </w:r>
          </w:p>
        </w:tc>
        <w:tc>
          <w:tcPr>
            <w:tcW w:w="0" w:type="dxa"/>
            <w:tcBorders>
              <w:left w:val="single" w:sz="4" w:space="0" w:color="auto"/>
              <w:right w:val="single" w:sz="4" w:space="0" w:color="auto"/>
            </w:tcBorders>
          </w:tcPr>
          <w:p w14:paraId="0460D5F6" w14:textId="2FD6875A" w:rsidR="00D161B4" w:rsidRPr="008D1DBB" w:rsidRDefault="00322EFB" w:rsidP="00525771">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301 995</w:t>
            </w:r>
          </w:p>
        </w:tc>
        <w:tc>
          <w:tcPr>
            <w:tcW w:w="0" w:type="dxa"/>
            <w:tcBorders>
              <w:left w:val="single" w:sz="4" w:space="0" w:color="auto"/>
              <w:right w:val="single" w:sz="4" w:space="0" w:color="auto"/>
            </w:tcBorders>
          </w:tcPr>
          <w:p w14:paraId="11FCFAB0" w14:textId="654E00E5" w:rsidR="00D161B4" w:rsidRPr="008D1DBB" w:rsidRDefault="00322EFB" w:rsidP="00525771">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219 003 (72,5 %)</w:t>
            </w:r>
          </w:p>
        </w:tc>
        <w:tc>
          <w:tcPr>
            <w:tcW w:w="0" w:type="dxa"/>
            <w:tcBorders>
              <w:left w:val="single" w:sz="4" w:space="0" w:color="auto"/>
              <w:right w:val="single" w:sz="4" w:space="0" w:color="auto"/>
            </w:tcBorders>
          </w:tcPr>
          <w:p w14:paraId="3129EDE2" w14:textId="7B8CF753" w:rsidR="00D161B4" w:rsidRPr="008D1DBB" w:rsidRDefault="007941ED" w:rsidP="00525771">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2 229 388</w:t>
            </w:r>
          </w:p>
        </w:tc>
        <w:tc>
          <w:tcPr>
            <w:tcW w:w="0" w:type="dxa"/>
            <w:tcBorders>
              <w:left w:val="single" w:sz="4" w:space="0" w:color="auto"/>
              <w:right w:val="single" w:sz="4" w:space="0" w:color="auto"/>
            </w:tcBorders>
          </w:tcPr>
          <w:p w14:paraId="3097B691" w14:textId="6C571FBE" w:rsidR="00D161B4" w:rsidRPr="008D1DBB" w:rsidRDefault="00D161B4" w:rsidP="00525771">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9,8 %</w:t>
            </w:r>
          </w:p>
        </w:tc>
      </w:tr>
      <w:tr w:rsidR="00172BE5" w:rsidRPr="008D1DBB" w14:paraId="7FDC265F" w14:textId="77777777" w:rsidTr="00EE76F1">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bottom w:val="single" w:sz="4" w:space="0" w:color="BFBFBF" w:themeColor="background1" w:themeShade="BF"/>
              <w:right w:val="single" w:sz="4" w:space="0" w:color="auto"/>
            </w:tcBorders>
          </w:tcPr>
          <w:p w14:paraId="456D3ECF" w14:textId="5E11FE60" w:rsidR="00D161B4" w:rsidRPr="008D1DBB" w:rsidRDefault="00D161B4" w:rsidP="00525771">
            <w:pPr>
              <w:pStyle w:val="TableText"/>
              <w:jc w:val="center"/>
              <w:rPr>
                <w:noProof/>
              </w:rPr>
            </w:pPr>
            <w:r w:rsidRPr="008D1DBB">
              <w:rPr>
                <w:noProof/>
              </w:rPr>
              <w:t>E85</w:t>
            </w:r>
          </w:p>
        </w:tc>
        <w:tc>
          <w:tcPr>
            <w:tcW w:w="0" w:type="dxa"/>
            <w:tcBorders>
              <w:left w:val="single" w:sz="4" w:space="0" w:color="auto"/>
              <w:bottom w:val="single" w:sz="4" w:space="0" w:color="BFBFBF" w:themeColor="background1" w:themeShade="BF"/>
              <w:right w:val="single" w:sz="4" w:space="0" w:color="auto"/>
            </w:tcBorders>
          </w:tcPr>
          <w:p w14:paraId="0B0F554F" w14:textId="6A0D8A80" w:rsidR="00D161B4" w:rsidRPr="008D1DBB" w:rsidRDefault="00322EFB" w:rsidP="00525771">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2 084</w:t>
            </w:r>
          </w:p>
        </w:tc>
        <w:tc>
          <w:tcPr>
            <w:tcW w:w="0" w:type="dxa"/>
            <w:tcBorders>
              <w:left w:val="single" w:sz="4" w:space="0" w:color="auto"/>
              <w:bottom w:val="single" w:sz="4" w:space="0" w:color="BFBFBF" w:themeColor="background1" w:themeShade="BF"/>
              <w:right w:val="single" w:sz="4" w:space="0" w:color="auto"/>
            </w:tcBorders>
          </w:tcPr>
          <w:p w14:paraId="66485D76" w14:textId="77777777" w:rsidR="00D161B4" w:rsidRPr="008D1DBB" w:rsidRDefault="00D161B4" w:rsidP="00525771">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0</w:t>
            </w:r>
          </w:p>
        </w:tc>
        <w:tc>
          <w:tcPr>
            <w:tcW w:w="0" w:type="dxa"/>
            <w:tcBorders>
              <w:left w:val="single" w:sz="4" w:space="0" w:color="auto"/>
              <w:bottom w:val="single" w:sz="4" w:space="0" w:color="BFBFBF" w:themeColor="background1" w:themeShade="BF"/>
              <w:right w:val="single" w:sz="4" w:space="0" w:color="auto"/>
            </w:tcBorders>
          </w:tcPr>
          <w:p w14:paraId="013666B1" w14:textId="2D215A13" w:rsidR="00D161B4" w:rsidRPr="008D1DBB" w:rsidRDefault="007941ED" w:rsidP="00525771">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6 026</w:t>
            </w:r>
          </w:p>
        </w:tc>
        <w:tc>
          <w:tcPr>
            <w:tcW w:w="0" w:type="dxa"/>
            <w:tcBorders>
              <w:left w:val="single" w:sz="4" w:space="0" w:color="auto"/>
              <w:bottom w:val="single" w:sz="4" w:space="0" w:color="BFBFBF" w:themeColor="background1" w:themeShade="BF"/>
              <w:right w:val="single" w:sz="4" w:space="0" w:color="auto"/>
            </w:tcBorders>
          </w:tcPr>
          <w:p w14:paraId="1F0E3A38" w14:textId="3DDF4AD3" w:rsidR="00D161B4" w:rsidRPr="008D1DBB" w:rsidRDefault="00D161B4" w:rsidP="00525771">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0 %</w:t>
            </w:r>
          </w:p>
        </w:tc>
      </w:tr>
      <w:tr w:rsidR="00172BE5" w:rsidRPr="008D1DBB" w14:paraId="6B4EC078" w14:textId="77777777" w:rsidTr="00EE7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bottom w:val="single" w:sz="12" w:space="0" w:color="auto"/>
              <w:right w:val="single" w:sz="4" w:space="0" w:color="auto"/>
            </w:tcBorders>
          </w:tcPr>
          <w:p w14:paraId="3BB90069" w14:textId="41EFFFA1" w:rsidR="00D161B4" w:rsidRPr="008D1DBB" w:rsidRDefault="00D161B4" w:rsidP="00525771">
            <w:pPr>
              <w:pStyle w:val="TableText"/>
              <w:jc w:val="center"/>
              <w:rPr>
                <w:noProof/>
              </w:rPr>
            </w:pPr>
            <w:r w:rsidRPr="008D1DBB">
              <w:rPr>
                <w:noProof/>
              </w:rPr>
              <w:t>Andere Kraftstoffe</w:t>
            </w:r>
          </w:p>
        </w:tc>
        <w:tc>
          <w:tcPr>
            <w:tcW w:w="0" w:type="dxa"/>
            <w:tcBorders>
              <w:left w:val="single" w:sz="4" w:space="0" w:color="auto"/>
              <w:bottom w:val="single" w:sz="12" w:space="0" w:color="auto"/>
              <w:right w:val="single" w:sz="4" w:space="0" w:color="auto"/>
            </w:tcBorders>
          </w:tcPr>
          <w:p w14:paraId="4351A1F9" w14:textId="77777777" w:rsidR="00D161B4" w:rsidRPr="008D1DBB" w:rsidRDefault="00D161B4" w:rsidP="00525771">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697</w:t>
            </w:r>
          </w:p>
        </w:tc>
        <w:tc>
          <w:tcPr>
            <w:tcW w:w="0" w:type="dxa"/>
            <w:tcBorders>
              <w:left w:val="single" w:sz="4" w:space="0" w:color="auto"/>
              <w:bottom w:val="single" w:sz="12" w:space="0" w:color="auto"/>
              <w:right w:val="single" w:sz="4" w:space="0" w:color="auto"/>
            </w:tcBorders>
          </w:tcPr>
          <w:p w14:paraId="2DBFA187" w14:textId="77777777" w:rsidR="00D161B4" w:rsidRPr="008D1DBB" w:rsidRDefault="00D161B4" w:rsidP="00525771">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0</w:t>
            </w:r>
          </w:p>
        </w:tc>
        <w:tc>
          <w:tcPr>
            <w:tcW w:w="0" w:type="dxa"/>
            <w:tcBorders>
              <w:left w:val="single" w:sz="4" w:space="0" w:color="auto"/>
              <w:bottom w:val="single" w:sz="12" w:space="0" w:color="auto"/>
              <w:right w:val="single" w:sz="4" w:space="0" w:color="auto"/>
            </w:tcBorders>
          </w:tcPr>
          <w:p w14:paraId="2BA48A3E" w14:textId="12E763B0" w:rsidR="00D161B4" w:rsidRPr="008D1DBB" w:rsidRDefault="00C7343C" w:rsidP="00525771">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215 798</w:t>
            </w:r>
          </w:p>
        </w:tc>
        <w:tc>
          <w:tcPr>
            <w:tcW w:w="0" w:type="dxa"/>
            <w:tcBorders>
              <w:left w:val="single" w:sz="4" w:space="0" w:color="auto"/>
              <w:bottom w:val="single" w:sz="12" w:space="0" w:color="auto"/>
              <w:right w:val="single" w:sz="4" w:space="0" w:color="auto"/>
            </w:tcBorders>
          </w:tcPr>
          <w:p w14:paraId="625829F6" w14:textId="5033AB1B" w:rsidR="00D161B4" w:rsidRPr="008D1DBB" w:rsidRDefault="00D161B4" w:rsidP="00525771">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0 %</w:t>
            </w:r>
          </w:p>
        </w:tc>
      </w:tr>
      <w:tr w:rsidR="00172BE5" w:rsidRPr="008D1DBB" w14:paraId="297152EB" w14:textId="77777777" w:rsidTr="00EE76F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left w:val="single" w:sz="4" w:space="0" w:color="auto"/>
              <w:bottom w:val="single" w:sz="4" w:space="0" w:color="BFBFBF" w:themeColor="background1" w:themeShade="BF"/>
              <w:right w:val="single" w:sz="4" w:space="0" w:color="auto"/>
            </w:tcBorders>
          </w:tcPr>
          <w:p w14:paraId="473AB055" w14:textId="44634995" w:rsidR="00D161B4" w:rsidRPr="008D1DBB" w:rsidRDefault="000434DF" w:rsidP="00525771">
            <w:pPr>
              <w:pStyle w:val="TableText"/>
              <w:jc w:val="center"/>
              <w:rPr>
                <w:noProof/>
              </w:rPr>
            </w:pPr>
            <w:r w:rsidRPr="008D1DBB">
              <w:rPr>
                <w:noProof/>
              </w:rPr>
              <w:t>Plug-in-Hybrid (Benzin)</w:t>
            </w:r>
          </w:p>
        </w:tc>
        <w:tc>
          <w:tcPr>
            <w:tcW w:w="0" w:type="dxa"/>
            <w:tcBorders>
              <w:top w:val="single" w:sz="12" w:space="0" w:color="auto"/>
              <w:left w:val="single" w:sz="4" w:space="0" w:color="auto"/>
              <w:bottom w:val="single" w:sz="4" w:space="0" w:color="BFBFBF" w:themeColor="background1" w:themeShade="BF"/>
              <w:right w:val="single" w:sz="4" w:space="0" w:color="auto"/>
            </w:tcBorders>
          </w:tcPr>
          <w:p w14:paraId="318B86B8" w14:textId="0490BC49" w:rsidR="00D161B4" w:rsidRPr="008D1DBB" w:rsidRDefault="00322EFB" w:rsidP="00525771">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191 197</w:t>
            </w:r>
          </w:p>
        </w:tc>
        <w:tc>
          <w:tcPr>
            <w:tcW w:w="0" w:type="dxa"/>
            <w:tcBorders>
              <w:top w:val="single" w:sz="12" w:space="0" w:color="auto"/>
              <w:left w:val="single" w:sz="4" w:space="0" w:color="auto"/>
              <w:bottom w:val="single" w:sz="4" w:space="0" w:color="BFBFBF" w:themeColor="background1" w:themeShade="BF"/>
              <w:right w:val="single" w:sz="4" w:space="0" w:color="auto"/>
            </w:tcBorders>
          </w:tcPr>
          <w:p w14:paraId="50BC1284" w14:textId="63945601" w:rsidR="00172BE5" w:rsidRPr="008D1DBB" w:rsidRDefault="00322EFB" w:rsidP="00525771">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 xml:space="preserve">98 847 </w:t>
            </w:r>
            <w:r w:rsidRPr="008D1DBB">
              <w:rPr>
                <w:noProof/>
              </w:rPr>
              <w:br/>
              <w:t>51,7 %</w:t>
            </w:r>
          </w:p>
        </w:tc>
        <w:tc>
          <w:tcPr>
            <w:tcW w:w="0" w:type="dxa"/>
            <w:tcBorders>
              <w:top w:val="single" w:sz="12" w:space="0" w:color="auto"/>
              <w:left w:val="single" w:sz="4" w:space="0" w:color="auto"/>
              <w:bottom w:val="single" w:sz="4" w:space="0" w:color="BFBFBF" w:themeColor="background1" w:themeShade="BF"/>
              <w:right w:val="single" w:sz="4" w:space="0" w:color="auto"/>
            </w:tcBorders>
          </w:tcPr>
          <w:p w14:paraId="5A1F2B57" w14:textId="0B3479CF" w:rsidR="00D161B4" w:rsidRPr="008D1DBB" w:rsidRDefault="007941ED" w:rsidP="00525771">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848 251</w:t>
            </w:r>
          </w:p>
        </w:tc>
        <w:tc>
          <w:tcPr>
            <w:tcW w:w="0" w:type="dxa"/>
            <w:tcBorders>
              <w:top w:val="single" w:sz="12" w:space="0" w:color="auto"/>
              <w:left w:val="single" w:sz="4" w:space="0" w:color="auto"/>
              <w:bottom w:val="single" w:sz="4" w:space="0" w:color="BFBFBF" w:themeColor="background1" w:themeShade="BF"/>
              <w:right w:val="single" w:sz="4" w:space="0" w:color="auto"/>
            </w:tcBorders>
          </w:tcPr>
          <w:p w14:paraId="78CE9D31" w14:textId="3B829647" w:rsidR="00D161B4" w:rsidRPr="008D1DBB" w:rsidRDefault="00D161B4" w:rsidP="00525771">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11,7 %</w:t>
            </w:r>
          </w:p>
        </w:tc>
      </w:tr>
      <w:tr w:rsidR="00172BE5" w:rsidRPr="008D1DBB" w14:paraId="624381A8" w14:textId="77777777" w:rsidTr="00EE7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bottom w:val="single" w:sz="12" w:space="0" w:color="auto"/>
              <w:right w:val="single" w:sz="4" w:space="0" w:color="auto"/>
            </w:tcBorders>
          </w:tcPr>
          <w:p w14:paraId="7B86CD6C" w14:textId="694F1C3A" w:rsidR="00D161B4" w:rsidRPr="008D1DBB" w:rsidRDefault="000434DF" w:rsidP="00525771">
            <w:pPr>
              <w:pStyle w:val="TableText"/>
              <w:jc w:val="center"/>
              <w:rPr>
                <w:noProof/>
              </w:rPr>
            </w:pPr>
            <w:r w:rsidRPr="008D1DBB">
              <w:rPr>
                <w:noProof/>
              </w:rPr>
              <w:t>Plug-in-Hybrid (Diesel)</w:t>
            </w:r>
          </w:p>
        </w:tc>
        <w:tc>
          <w:tcPr>
            <w:tcW w:w="0" w:type="dxa"/>
            <w:tcBorders>
              <w:left w:val="single" w:sz="4" w:space="0" w:color="auto"/>
              <w:bottom w:val="single" w:sz="12" w:space="0" w:color="auto"/>
              <w:right w:val="single" w:sz="4" w:space="0" w:color="auto"/>
            </w:tcBorders>
          </w:tcPr>
          <w:p w14:paraId="7D839015" w14:textId="588DBAC4" w:rsidR="00D161B4" w:rsidRPr="008D1DBB" w:rsidRDefault="00322EFB" w:rsidP="00525771">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28 914</w:t>
            </w:r>
          </w:p>
        </w:tc>
        <w:tc>
          <w:tcPr>
            <w:tcW w:w="0" w:type="dxa"/>
            <w:tcBorders>
              <w:left w:val="single" w:sz="4" w:space="0" w:color="auto"/>
              <w:bottom w:val="single" w:sz="12" w:space="0" w:color="auto"/>
              <w:right w:val="single" w:sz="4" w:space="0" w:color="auto"/>
            </w:tcBorders>
          </w:tcPr>
          <w:p w14:paraId="3B3B6C8A" w14:textId="4CB44BEA" w:rsidR="00172BE5" w:rsidRPr="008D1DBB" w:rsidRDefault="00322EFB" w:rsidP="00525771">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 xml:space="preserve">24 893 </w:t>
            </w:r>
            <w:r w:rsidRPr="008D1DBB">
              <w:rPr>
                <w:noProof/>
              </w:rPr>
              <w:br/>
              <w:t>86,1 %</w:t>
            </w:r>
          </w:p>
        </w:tc>
        <w:tc>
          <w:tcPr>
            <w:tcW w:w="0" w:type="dxa"/>
            <w:tcBorders>
              <w:left w:val="single" w:sz="4" w:space="0" w:color="auto"/>
              <w:bottom w:val="single" w:sz="12" w:space="0" w:color="auto"/>
              <w:right w:val="single" w:sz="4" w:space="0" w:color="auto"/>
            </w:tcBorders>
          </w:tcPr>
          <w:p w14:paraId="71BFCE29" w14:textId="1262FE95" w:rsidR="00D161B4" w:rsidRPr="008D1DBB" w:rsidRDefault="007941ED" w:rsidP="00525771">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55 805</w:t>
            </w:r>
          </w:p>
        </w:tc>
        <w:tc>
          <w:tcPr>
            <w:tcW w:w="0" w:type="dxa"/>
            <w:tcBorders>
              <w:left w:val="single" w:sz="4" w:space="0" w:color="auto"/>
              <w:bottom w:val="single" w:sz="12" w:space="0" w:color="auto"/>
              <w:right w:val="single" w:sz="4" w:space="0" w:color="auto"/>
            </w:tcBorders>
          </w:tcPr>
          <w:p w14:paraId="6654E78A" w14:textId="3DF89D71" w:rsidR="00D161B4" w:rsidRPr="008D1DBB" w:rsidRDefault="00D161B4" w:rsidP="00525771">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44,6 %</w:t>
            </w:r>
          </w:p>
        </w:tc>
      </w:tr>
      <w:tr w:rsidR="00172BE5" w:rsidRPr="008D1DBB" w14:paraId="7513B0D5" w14:textId="77777777" w:rsidTr="00EE76F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left w:val="single" w:sz="4" w:space="0" w:color="auto"/>
              <w:bottom w:val="single" w:sz="12" w:space="0" w:color="auto"/>
              <w:right w:val="single" w:sz="4" w:space="0" w:color="auto"/>
            </w:tcBorders>
          </w:tcPr>
          <w:p w14:paraId="52D1F2C8" w14:textId="23E27E7E" w:rsidR="00D161B4" w:rsidRPr="008D1DBB" w:rsidRDefault="00D161B4" w:rsidP="005E5A64">
            <w:pPr>
              <w:pStyle w:val="TableText"/>
              <w:jc w:val="center"/>
              <w:rPr>
                <w:b w:val="0"/>
                <w:noProof/>
              </w:rPr>
            </w:pPr>
            <w:r w:rsidRPr="008D1DBB">
              <w:rPr>
                <w:i/>
                <w:iCs/>
                <w:noProof/>
              </w:rPr>
              <w:t xml:space="preserve">GESAMT </w:t>
            </w:r>
            <w:r w:rsidRPr="008D1DBB">
              <w:rPr>
                <w:i/>
                <w:iCs/>
                <w:noProof/>
              </w:rPr>
              <w:br/>
              <w:t>Personenkraftwagen</w:t>
            </w:r>
          </w:p>
        </w:tc>
        <w:tc>
          <w:tcPr>
            <w:tcW w:w="0" w:type="dxa"/>
            <w:tcBorders>
              <w:top w:val="single" w:sz="12" w:space="0" w:color="auto"/>
              <w:left w:val="single" w:sz="4" w:space="0" w:color="auto"/>
              <w:bottom w:val="single" w:sz="12" w:space="0" w:color="auto"/>
              <w:right w:val="single" w:sz="4" w:space="0" w:color="auto"/>
            </w:tcBorders>
          </w:tcPr>
          <w:p w14:paraId="5B5BB9F2" w14:textId="2651AC18" w:rsidR="00D161B4" w:rsidRPr="008D1DBB" w:rsidRDefault="00322EFB" w:rsidP="00525771">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b/>
                <w:i/>
                <w:noProof/>
              </w:rPr>
              <w:t>916 216</w:t>
            </w:r>
          </w:p>
        </w:tc>
        <w:tc>
          <w:tcPr>
            <w:tcW w:w="0" w:type="dxa"/>
            <w:tcBorders>
              <w:top w:val="single" w:sz="12" w:space="0" w:color="auto"/>
              <w:left w:val="single" w:sz="4" w:space="0" w:color="auto"/>
              <w:bottom w:val="single" w:sz="12" w:space="0" w:color="auto"/>
              <w:right w:val="single" w:sz="4" w:space="0" w:color="auto"/>
            </w:tcBorders>
          </w:tcPr>
          <w:p w14:paraId="68F96A34" w14:textId="3BD12AE5" w:rsidR="00D161B4" w:rsidRPr="008D1DBB" w:rsidRDefault="00322EFB" w:rsidP="00525771">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b/>
                <w:i/>
                <w:noProof/>
              </w:rPr>
              <w:t>617 194</w:t>
            </w:r>
            <w:r w:rsidRPr="008D1DBB">
              <w:rPr>
                <w:noProof/>
              </w:rPr>
              <w:t xml:space="preserve"> </w:t>
            </w:r>
            <w:r w:rsidRPr="008D1DBB">
              <w:rPr>
                <w:noProof/>
              </w:rPr>
              <w:br/>
            </w:r>
            <w:r w:rsidRPr="008D1DBB">
              <w:rPr>
                <w:b/>
                <w:i/>
                <w:noProof/>
              </w:rPr>
              <w:t xml:space="preserve">67,4 % </w:t>
            </w:r>
          </w:p>
        </w:tc>
        <w:tc>
          <w:tcPr>
            <w:tcW w:w="0" w:type="dxa"/>
            <w:tcBorders>
              <w:top w:val="single" w:sz="12" w:space="0" w:color="auto"/>
              <w:left w:val="single" w:sz="4" w:space="0" w:color="auto"/>
              <w:bottom w:val="single" w:sz="12" w:space="0" w:color="auto"/>
              <w:right w:val="single" w:sz="4" w:space="0" w:color="auto"/>
            </w:tcBorders>
          </w:tcPr>
          <w:p w14:paraId="436C3F4E" w14:textId="681BD75D" w:rsidR="00D161B4" w:rsidRPr="008D1DBB" w:rsidRDefault="007941ED" w:rsidP="00525771">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b/>
                <w:i/>
                <w:noProof/>
              </w:rPr>
              <w:t>8 629 152</w:t>
            </w:r>
          </w:p>
        </w:tc>
        <w:tc>
          <w:tcPr>
            <w:tcW w:w="0" w:type="dxa"/>
            <w:tcBorders>
              <w:top w:val="single" w:sz="12" w:space="0" w:color="auto"/>
              <w:left w:val="single" w:sz="4" w:space="0" w:color="auto"/>
              <w:bottom w:val="single" w:sz="12" w:space="0" w:color="auto"/>
              <w:right w:val="single" w:sz="4" w:space="0" w:color="auto"/>
            </w:tcBorders>
          </w:tcPr>
          <w:p w14:paraId="2AC57B30" w14:textId="7200CAFB" w:rsidR="00D161B4" w:rsidRPr="008D1DBB" w:rsidRDefault="00D161B4" w:rsidP="00525771">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b/>
                <w:i/>
                <w:noProof/>
              </w:rPr>
              <w:t>7,2 %</w:t>
            </w:r>
          </w:p>
        </w:tc>
      </w:tr>
      <w:tr w:rsidR="00BC65D6" w:rsidRPr="008D1DBB" w14:paraId="287DDA75" w14:textId="77777777" w:rsidTr="00EE7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5"/>
            <w:tcBorders>
              <w:top w:val="single" w:sz="12" w:space="0" w:color="auto"/>
              <w:left w:val="single" w:sz="4" w:space="0" w:color="auto"/>
              <w:bottom w:val="single" w:sz="12" w:space="0" w:color="auto"/>
              <w:right w:val="single" w:sz="4" w:space="0" w:color="auto"/>
            </w:tcBorders>
          </w:tcPr>
          <w:p w14:paraId="542848CE" w14:textId="6D8AF592" w:rsidR="00873D3F" w:rsidRPr="008D1DBB" w:rsidRDefault="00461346">
            <w:pPr>
              <w:pStyle w:val="TableText"/>
              <w:jc w:val="center"/>
              <w:rPr>
                <w:noProof/>
              </w:rPr>
            </w:pPr>
            <w:r w:rsidRPr="008D1DBB">
              <w:rPr>
                <w:noProof/>
              </w:rPr>
              <w:t>Leichte Nutzfahrzeuge</w:t>
            </w:r>
          </w:p>
        </w:tc>
      </w:tr>
      <w:tr w:rsidR="00172BE5" w:rsidRPr="008D1DBB" w14:paraId="7726EAB0" w14:textId="77777777" w:rsidTr="00EE76F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left w:val="single" w:sz="4" w:space="0" w:color="auto"/>
              <w:right w:val="single" w:sz="4" w:space="0" w:color="auto"/>
            </w:tcBorders>
          </w:tcPr>
          <w:p w14:paraId="65F25E71" w14:textId="77777777" w:rsidR="00BC65D6" w:rsidRPr="008D1DBB" w:rsidRDefault="00BC65D6">
            <w:pPr>
              <w:pStyle w:val="TableText"/>
              <w:jc w:val="center"/>
              <w:rPr>
                <w:noProof/>
              </w:rPr>
            </w:pPr>
            <w:r w:rsidRPr="008D1DBB">
              <w:rPr>
                <w:noProof/>
              </w:rPr>
              <w:t>Benzin</w:t>
            </w:r>
          </w:p>
        </w:tc>
        <w:tc>
          <w:tcPr>
            <w:tcW w:w="0" w:type="dxa"/>
            <w:tcBorders>
              <w:top w:val="single" w:sz="12" w:space="0" w:color="auto"/>
              <w:left w:val="single" w:sz="4" w:space="0" w:color="auto"/>
              <w:right w:val="single" w:sz="4" w:space="0" w:color="auto"/>
            </w:tcBorders>
          </w:tcPr>
          <w:p w14:paraId="1E1E061F" w14:textId="7220C43D" w:rsidR="00BC65D6" w:rsidRPr="008D1DBB" w:rsidRDefault="00322EF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1 891</w:t>
            </w:r>
          </w:p>
        </w:tc>
        <w:tc>
          <w:tcPr>
            <w:tcW w:w="0" w:type="dxa"/>
            <w:tcBorders>
              <w:top w:val="single" w:sz="12" w:space="0" w:color="auto"/>
              <w:left w:val="single" w:sz="4" w:space="0" w:color="auto"/>
              <w:right w:val="single" w:sz="4" w:space="0" w:color="auto"/>
            </w:tcBorders>
          </w:tcPr>
          <w:p w14:paraId="00DD8A6A" w14:textId="626779B1" w:rsidR="007941ED" w:rsidRPr="008D1DBB" w:rsidRDefault="00BC65D6" w:rsidP="00CA060C">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 xml:space="preserve">988 </w:t>
            </w:r>
            <w:r w:rsidRPr="008D1DBB">
              <w:rPr>
                <w:noProof/>
              </w:rPr>
              <w:br/>
              <w:t>52,3 %</w:t>
            </w:r>
          </w:p>
        </w:tc>
        <w:tc>
          <w:tcPr>
            <w:tcW w:w="0" w:type="dxa"/>
            <w:tcBorders>
              <w:top w:val="single" w:sz="12" w:space="0" w:color="auto"/>
              <w:left w:val="single" w:sz="4" w:space="0" w:color="auto"/>
              <w:right w:val="single" w:sz="4" w:space="0" w:color="auto"/>
            </w:tcBorders>
          </w:tcPr>
          <w:p w14:paraId="4E13ABFF" w14:textId="48C2836C" w:rsidR="00BC65D6" w:rsidRPr="008D1DBB" w:rsidRDefault="007941ED">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44 475</w:t>
            </w:r>
          </w:p>
        </w:tc>
        <w:tc>
          <w:tcPr>
            <w:tcW w:w="0" w:type="dxa"/>
            <w:tcBorders>
              <w:top w:val="single" w:sz="12" w:space="0" w:color="auto"/>
              <w:left w:val="single" w:sz="4" w:space="0" w:color="auto"/>
              <w:right w:val="single" w:sz="4" w:space="0" w:color="auto"/>
            </w:tcBorders>
          </w:tcPr>
          <w:p w14:paraId="63BA24E9" w14:textId="36764827" w:rsidR="00BC65D6" w:rsidRPr="008D1DBB" w:rsidRDefault="00BC65D6">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2,2 %</w:t>
            </w:r>
          </w:p>
        </w:tc>
      </w:tr>
      <w:tr w:rsidR="00172BE5" w:rsidRPr="008D1DBB" w14:paraId="1B69DCBA" w14:textId="77777777" w:rsidTr="00EE7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bottom w:val="single" w:sz="4" w:space="0" w:color="BFBFBF" w:themeColor="background1" w:themeShade="BF"/>
              <w:right w:val="single" w:sz="4" w:space="0" w:color="auto"/>
            </w:tcBorders>
          </w:tcPr>
          <w:p w14:paraId="7F328940" w14:textId="34C36F49" w:rsidR="00873D3F" w:rsidRPr="008D1DBB" w:rsidRDefault="00873D3F" w:rsidP="00873D3F">
            <w:pPr>
              <w:pStyle w:val="TableText"/>
              <w:jc w:val="center"/>
              <w:rPr>
                <w:noProof/>
              </w:rPr>
            </w:pPr>
            <w:r w:rsidRPr="008D1DBB">
              <w:rPr>
                <w:noProof/>
              </w:rPr>
              <w:t>Diesel</w:t>
            </w:r>
          </w:p>
        </w:tc>
        <w:tc>
          <w:tcPr>
            <w:tcW w:w="0" w:type="dxa"/>
            <w:tcBorders>
              <w:left w:val="single" w:sz="4" w:space="0" w:color="auto"/>
              <w:bottom w:val="single" w:sz="4" w:space="0" w:color="BFBFBF" w:themeColor="background1" w:themeShade="BF"/>
              <w:right w:val="single" w:sz="4" w:space="0" w:color="auto"/>
            </w:tcBorders>
          </w:tcPr>
          <w:p w14:paraId="50C858C8" w14:textId="22812DA9" w:rsidR="00873D3F" w:rsidRPr="008D1DBB" w:rsidRDefault="00322EFB" w:rsidP="00873D3F">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10 053</w:t>
            </w:r>
          </w:p>
        </w:tc>
        <w:tc>
          <w:tcPr>
            <w:tcW w:w="0" w:type="dxa"/>
            <w:tcBorders>
              <w:left w:val="single" w:sz="4" w:space="0" w:color="auto"/>
              <w:bottom w:val="single" w:sz="4" w:space="0" w:color="BFBFBF" w:themeColor="background1" w:themeShade="BF"/>
              <w:right w:val="single" w:sz="4" w:space="0" w:color="auto"/>
            </w:tcBorders>
          </w:tcPr>
          <w:p w14:paraId="3102C64D" w14:textId="36B467B9" w:rsidR="007941ED" w:rsidRPr="008D1DBB" w:rsidRDefault="00322EFB" w:rsidP="00CA060C">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 xml:space="preserve">5 593 </w:t>
            </w:r>
            <w:r w:rsidRPr="008D1DBB">
              <w:rPr>
                <w:noProof/>
              </w:rPr>
              <w:br/>
              <w:t>55,6 %</w:t>
            </w:r>
          </w:p>
        </w:tc>
        <w:tc>
          <w:tcPr>
            <w:tcW w:w="0" w:type="dxa"/>
            <w:tcBorders>
              <w:left w:val="single" w:sz="4" w:space="0" w:color="auto"/>
              <w:bottom w:val="single" w:sz="4" w:space="0" w:color="BFBFBF" w:themeColor="background1" w:themeShade="BF"/>
              <w:right w:val="single" w:sz="4" w:space="0" w:color="auto"/>
            </w:tcBorders>
          </w:tcPr>
          <w:p w14:paraId="527E430D" w14:textId="0106BC64" w:rsidR="00873D3F" w:rsidRPr="008D1DBB" w:rsidRDefault="007941ED" w:rsidP="00873D3F">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1 139 405</w:t>
            </w:r>
          </w:p>
        </w:tc>
        <w:tc>
          <w:tcPr>
            <w:tcW w:w="0" w:type="dxa"/>
            <w:tcBorders>
              <w:left w:val="single" w:sz="4" w:space="0" w:color="auto"/>
              <w:bottom w:val="single" w:sz="4" w:space="0" w:color="BFBFBF" w:themeColor="background1" w:themeShade="BF"/>
              <w:right w:val="single" w:sz="4" w:space="0" w:color="auto"/>
            </w:tcBorders>
          </w:tcPr>
          <w:p w14:paraId="50DF23B6" w14:textId="2CD9CC34" w:rsidR="00873D3F" w:rsidRPr="008D1DBB" w:rsidRDefault="00873D3F" w:rsidP="00873D3F">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0,5 %</w:t>
            </w:r>
          </w:p>
        </w:tc>
      </w:tr>
      <w:tr w:rsidR="00172BE5" w:rsidRPr="008D1DBB" w14:paraId="62181DB9" w14:textId="77777777" w:rsidTr="00EE76F1">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bottom w:val="single" w:sz="12" w:space="0" w:color="auto"/>
              <w:right w:val="single" w:sz="4" w:space="0" w:color="auto"/>
            </w:tcBorders>
          </w:tcPr>
          <w:p w14:paraId="0E2B6D96" w14:textId="6EFDCD24" w:rsidR="00873D3F" w:rsidRPr="008D1DBB" w:rsidRDefault="00873D3F" w:rsidP="00873D3F">
            <w:pPr>
              <w:pStyle w:val="TableText"/>
              <w:jc w:val="center"/>
              <w:rPr>
                <w:noProof/>
              </w:rPr>
            </w:pPr>
            <w:r w:rsidRPr="008D1DBB">
              <w:rPr>
                <w:noProof/>
              </w:rPr>
              <w:t>Andere Kraftstoffe</w:t>
            </w:r>
          </w:p>
        </w:tc>
        <w:tc>
          <w:tcPr>
            <w:tcW w:w="0" w:type="dxa"/>
            <w:tcBorders>
              <w:left w:val="single" w:sz="4" w:space="0" w:color="auto"/>
              <w:bottom w:val="single" w:sz="12" w:space="0" w:color="auto"/>
              <w:right w:val="single" w:sz="4" w:space="0" w:color="auto"/>
            </w:tcBorders>
          </w:tcPr>
          <w:p w14:paraId="3317CAF1" w14:textId="19B3DFC8" w:rsidR="00873D3F" w:rsidRPr="008D1DBB" w:rsidRDefault="00873D3F" w:rsidP="00873D3F">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30</w:t>
            </w:r>
          </w:p>
        </w:tc>
        <w:tc>
          <w:tcPr>
            <w:tcW w:w="0" w:type="dxa"/>
            <w:tcBorders>
              <w:left w:val="single" w:sz="4" w:space="0" w:color="auto"/>
              <w:bottom w:val="single" w:sz="12" w:space="0" w:color="auto"/>
              <w:right w:val="single" w:sz="4" w:space="0" w:color="auto"/>
            </w:tcBorders>
          </w:tcPr>
          <w:p w14:paraId="32D142EA" w14:textId="249CBF52" w:rsidR="00873D3F" w:rsidRPr="008D1DBB" w:rsidRDefault="00873D3F" w:rsidP="00873D3F">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0</w:t>
            </w:r>
          </w:p>
        </w:tc>
        <w:tc>
          <w:tcPr>
            <w:tcW w:w="0" w:type="dxa"/>
            <w:tcBorders>
              <w:left w:val="single" w:sz="4" w:space="0" w:color="auto"/>
              <w:bottom w:val="single" w:sz="12" w:space="0" w:color="auto"/>
              <w:right w:val="single" w:sz="4" w:space="0" w:color="auto"/>
            </w:tcBorders>
          </w:tcPr>
          <w:p w14:paraId="2100C9CD" w14:textId="565CB3C3" w:rsidR="00873D3F" w:rsidRPr="008D1DBB" w:rsidRDefault="007941ED" w:rsidP="00873D3F">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58 488</w:t>
            </w:r>
          </w:p>
        </w:tc>
        <w:tc>
          <w:tcPr>
            <w:tcW w:w="0" w:type="dxa"/>
            <w:tcBorders>
              <w:left w:val="single" w:sz="4" w:space="0" w:color="auto"/>
              <w:bottom w:val="single" w:sz="12" w:space="0" w:color="auto"/>
              <w:right w:val="single" w:sz="4" w:space="0" w:color="auto"/>
            </w:tcBorders>
          </w:tcPr>
          <w:p w14:paraId="364A7931" w14:textId="4872DFAD" w:rsidR="00873D3F" w:rsidRPr="008D1DBB" w:rsidRDefault="00873D3F" w:rsidP="00873D3F">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0 %</w:t>
            </w:r>
          </w:p>
        </w:tc>
      </w:tr>
      <w:tr w:rsidR="00172BE5" w:rsidRPr="008D1DBB" w14:paraId="5A6925C5" w14:textId="77777777" w:rsidTr="00EE7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left w:val="single" w:sz="4" w:space="0" w:color="auto"/>
              <w:bottom w:val="single" w:sz="4" w:space="0" w:color="BFBFBF" w:themeColor="background1" w:themeShade="BF"/>
              <w:right w:val="single" w:sz="4" w:space="0" w:color="auto"/>
            </w:tcBorders>
          </w:tcPr>
          <w:p w14:paraId="523922A4" w14:textId="62A24F92" w:rsidR="00873D3F" w:rsidRPr="008D1DBB" w:rsidRDefault="00873D3F" w:rsidP="00873D3F">
            <w:pPr>
              <w:pStyle w:val="TableText"/>
              <w:jc w:val="center"/>
              <w:rPr>
                <w:noProof/>
              </w:rPr>
            </w:pPr>
            <w:r w:rsidRPr="008D1DBB">
              <w:rPr>
                <w:noProof/>
              </w:rPr>
              <w:t>Plug-in-Hybrid (Benzin)</w:t>
            </w:r>
          </w:p>
        </w:tc>
        <w:tc>
          <w:tcPr>
            <w:tcW w:w="0" w:type="dxa"/>
            <w:tcBorders>
              <w:top w:val="single" w:sz="12" w:space="0" w:color="auto"/>
              <w:left w:val="single" w:sz="4" w:space="0" w:color="auto"/>
              <w:bottom w:val="single" w:sz="4" w:space="0" w:color="BFBFBF" w:themeColor="background1" w:themeShade="BF"/>
              <w:right w:val="single" w:sz="4" w:space="0" w:color="auto"/>
            </w:tcBorders>
          </w:tcPr>
          <w:p w14:paraId="74F2BEA6" w14:textId="4BABAF29" w:rsidR="00873D3F" w:rsidRPr="008D1DBB" w:rsidRDefault="00873D3F" w:rsidP="00873D3F">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326</w:t>
            </w:r>
          </w:p>
        </w:tc>
        <w:tc>
          <w:tcPr>
            <w:tcW w:w="0" w:type="dxa"/>
            <w:tcBorders>
              <w:top w:val="single" w:sz="12" w:space="0" w:color="auto"/>
              <w:left w:val="single" w:sz="4" w:space="0" w:color="auto"/>
              <w:bottom w:val="single" w:sz="4" w:space="0" w:color="BFBFBF" w:themeColor="background1" w:themeShade="BF"/>
              <w:right w:val="single" w:sz="4" w:space="0" w:color="auto"/>
            </w:tcBorders>
          </w:tcPr>
          <w:p w14:paraId="1F88D4AD" w14:textId="7A598F05" w:rsidR="007941ED" w:rsidRPr="008D1DBB" w:rsidRDefault="00873D3F" w:rsidP="007941ED">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 xml:space="preserve">86 </w:t>
            </w:r>
            <w:r w:rsidRPr="008D1DBB">
              <w:rPr>
                <w:noProof/>
              </w:rPr>
              <w:br/>
              <w:t>(25,8 %)</w:t>
            </w:r>
          </w:p>
        </w:tc>
        <w:tc>
          <w:tcPr>
            <w:tcW w:w="0" w:type="dxa"/>
            <w:tcBorders>
              <w:top w:val="single" w:sz="12" w:space="0" w:color="auto"/>
              <w:left w:val="single" w:sz="4" w:space="0" w:color="auto"/>
              <w:bottom w:val="single" w:sz="4" w:space="0" w:color="BFBFBF" w:themeColor="background1" w:themeShade="BF"/>
              <w:right w:val="single" w:sz="4" w:space="0" w:color="auto"/>
            </w:tcBorders>
          </w:tcPr>
          <w:p w14:paraId="5F53B9C0" w14:textId="7A1F9B2C" w:rsidR="00873D3F" w:rsidRPr="008D1DBB" w:rsidRDefault="007941ED" w:rsidP="00873D3F">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1 501</w:t>
            </w:r>
          </w:p>
        </w:tc>
        <w:tc>
          <w:tcPr>
            <w:tcW w:w="0" w:type="dxa"/>
            <w:tcBorders>
              <w:top w:val="single" w:sz="12" w:space="0" w:color="auto"/>
              <w:left w:val="single" w:sz="4" w:space="0" w:color="auto"/>
              <w:bottom w:val="single" w:sz="4" w:space="0" w:color="BFBFBF" w:themeColor="background1" w:themeShade="BF"/>
              <w:right w:val="single" w:sz="4" w:space="0" w:color="auto"/>
            </w:tcBorders>
          </w:tcPr>
          <w:p w14:paraId="2A09F0D7" w14:textId="073DC73F" w:rsidR="00873D3F" w:rsidRPr="008D1DBB" w:rsidRDefault="00873D3F" w:rsidP="00873D3F">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5,7 %</w:t>
            </w:r>
          </w:p>
        </w:tc>
      </w:tr>
      <w:tr w:rsidR="00172BE5" w:rsidRPr="008D1DBB" w14:paraId="59EEDEF3" w14:textId="77777777" w:rsidTr="00EE76F1">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bottom w:val="single" w:sz="12" w:space="0" w:color="auto"/>
              <w:right w:val="single" w:sz="4" w:space="0" w:color="auto"/>
            </w:tcBorders>
          </w:tcPr>
          <w:p w14:paraId="0EDAE337" w14:textId="19528C67" w:rsidR="00873D3F" w:rsidRPr="008D1DBB" w:rsidRDefault="00873D3F" w:rsidP="00873D3F">
            <w:pPr>
              <w:pStyle w:val="TableText"/>
              <w:jc w:val="center"/>
              <w:rPr>
                <w:noProof/>
              </w:rPr>
            </w:pPr>
            <w:r w:rsidRPr="008D1DBB">
              <w:rPr>
                <w:noProof/>
              </w:rPr>
              <w:t>Plug-in-Hybrid (Diesel)</w:t>
            </w:r>
          </w:p>
        </w:tc>
        <w:tc>
          <w:tcPr>
            <w:tcW w:w="0" w:type="dxa"/>
            <w:tcBorders>
              <w:left w:val="single" w:sz="4" w:space="0" w:color="auto"/>
              <w:bottom w:val="single" w:sz="12" w:space="0" w:color="auto"/>
              <w:right w:val="single" w:sz="4" w:space="0" w:color="auto"/>
            </w:tcBorders>
          </w:tcPr>
          <w:p w14:paraId="7E4B76FD" w14:textId="4A068EF7" w:rsidR="00873D3F" w:rsidRPr="008D1DBB" w:rsidRDefault="00873D3F" w:rsidP="00873D3F">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w:t>
            </w:r>
          </w:p>
        </w:tc>
        <w:tc>
          <w:tcPr>
            <w:tcW w:w="0" w:type="dxa"/>
            <w:tcBorders>
              <w:left w:val="single" w:sz="4" w:space="0" w:color="auto"/>
              <w:bottom w:val="single" w:sz="12" w:space="0" w:color="auto"/>
              <w:right w:val="single" w:sz="4" w:space="0" w:color="auto"/>
            </w:tcBorders>
          </w:tcPr>
          <w:p w14:paraId="3020C916" w14:textId="78A77F1B" w:rsidR="00873D3F" w:rsidRPr="008D1DBB" w:rsidRDefault="00873D3F" w:rsidP="00873D3F">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0</w:t>
            </w:r>
          </w:p>
        </w:tc>
        <w:tc>
          <w:tcPr>
            <w:tcW w:w="0" w:type="dxa"/>
            <w:tcBorders>
              <w:left w:val="single" w:sz="4" w:space="0" w:color="auto"/>
              <w:bottom w:val="single" w:sz="12" w:space="0" w:color="auto"/>
              <w:right w:val="single" w:sz="4" w:space="0" w:color="auto"/>
            </w:tcBorders>
          </w:tcPr>
          <w:p w14:paraId="74CF3086" w14:textId="54FCBD94" w:rsidR="00873D3F" w:rsidRPr="008D1DBB" w:rsidRDefault="007941ED" w:rsidP="00873D3F">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4</w:t>
            </w:r>
          </w:p>
        </w:tc>
        <w:tc>
          <w:tcPr>
            <w:tcW w:w="0" w:type="dxa"/>
            <w:tcBorders>
              <w:left w:val="single" w:sz="4" w:space="0" w:color="auto"/>
              <w:bottom w:val="single" w:sz="12" w:space="0" w:color="auto"/>
              <w:right w:val="single" w:sz="4" w:space="0" w:color="auto"/>
            </w:tcBorders>
          </w:tcPr>
          <w:p w14:paraId="4B857539" w14:textId="4FE2F543" w:rsidR="00873D3F" w:rsidRPr="008D1DBB" w:rsidRDefault="00873D3F" w:rsidP="00873D3F">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0 %</w:t>
            </w:r>
          </w:p>
        </w:tc>
      </w:tr>
      <w:tr w:rsidR="00172BE5" w:rsidRPr="008D1DBB" w14:paraId="1143257A" w14:textId="77777777" w:rsidTr="00EE7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left w:val="single" w:sz="4" w:space="0" w:color="auto"/>
              <w:bottom w:val="single" w:sz="4" w:space="0" w:color="auto"/>
              <w:right w:val="single" w:sz="4" w:space="0" w:color="auto"/>
            </w:tcBorders>
          </w:tcPr>
          <w:p w14:paraId="3BEC08EA" w14:textId="431B66CA" w:rsidR="00873D3F" w:rsidRPr="008D1DBB" w:rsidRDefault="00873D3F" w:rsidP="00873D3F">
            <w:pPr>
              <w:pStyle w:val="TableText"/>
              <w:jc w:val="center"/>
              <w:rPr>
                <w:noProof/>
              </w:rPr>
            </w:pPr>
            <w:r w:rsidRPr="008D1DBB">
              <w:rPr>
                <w:i/>
                <w:noProof/>
              </w:rPr>
              <w:t>GESAMT</w:t>
            </w:r>
            <w:r w:rsidRPr="008D1DBB">
              <w:rPr>
                <w:noProof/>
              </w:rPr>
              <w:t xml:space="preserve"> </w:t>
            </w:r>
            <w:r w:rsidRPr="008D1DBB">
              <w:rPr>
                <w:noProof/>
              </w:rPr>
              <w:br/>
            </w:r>
            <w:r w:rsidRPr="008D1DBB">
              <w:rPr>
                <w:i/>
                <w:noProof/>
              </w:rPr>
              <w:t>Leichte Nutzfahrzeuge</w:t>
            </w:r>
          </w:p>
        </w:tc>
        <w:tc>
          <w:tcPr>
            <w:tcW w:w="0" w:type="dxa"/>
            <w:tcBorders>
              <w:top w:val="single" w:sz="12" w:space="0" w:color="auto"/>
              <w:left w:val="single" w:sz="4" w:space="0" w:color="auto"/>
              <w:bottom w:val="single" w:sz="4" w:space="0" w:color="auto"/>
              <w:right w:val="single" w:sz="4" w:space="0" w:color="auto"/>
            </w:tcBorders>
          </w:tcPr>
          <w:p w14:paraId="691EBD6A" w14:textId="5EA7F76D" w:rsidR="00873D3F" w:rsidRPr="008D1DBB" w:rsidRDefault="00322EFB" w:rsidP="00873D3F">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b/>
                <w:i/>
                <w:noProof/>
              </w:rPr>
              <w:t>12 301</w:t>
            </w:r>
          </w:p>
        </w:tc>
        <w:tc>
          <w:tcPr>
            <w:tcW w:w="0" w:type="dxa"/>
            <w:tcBorders>
              <w:top w:val="single" w:sz="12" w:space="0" w:color="auto"/>
              <w:left w:val="single" w:sz="4" w:space="0" w:color="auto"/>
              <w:bottom w:val="single" w:sz="4" w:space="0" w:color="auto"/>
              <w:right w:val="single" w:sz="4" w:space="0" w:color="auto"/>
            </w:tcBorders>
          </w:tcPr>
          <w:p w14:paraId="5B55857D" w14:textId="5A1FF099" w:rsidR="007941ED" w:rsidRPr="008D1DBB" w:rsidRDefault="00322EFB" w:rsidP="007941ED">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b/>
                <w:bCs/>
                <w:noProof/>
              </w:rPr>
              <w:t>6 667</w:t>
            </w:r>
            <w:r w:rsidRPr="008D1DBB">
              <w:rPr>
                <w:noProof/>
              </w:rPr>
              <w:t xml:space="preserve"> </w:t>
            </w:r>
            <w:r w:rsidRPr="008D1DBB">
              <w:rPr>
                <w:noProof/>
              </w:rPr>
              <w:br/>
            </w:r>
            <w:r w:rsidRPr="008D1DBB">
              <w:rPr>
                <w:b/>
                <w:bCs/>
                <w:noProof/>
              </w:rPr>
              <w:t>(54,2 %)</w:t>
            </w:r>
          </w:p>
        </w:tc>
        <w:tc>
          <w:tcPr>
            <w:tcW w:w="0" w:type="dxa"/>
            <w:tcBorders>
              <w:top w:val="single" w:sz="12" w:space="0" w:color="auto"/>
              <w:left w:val="single" w:sz="4" w:space="0" w:color="auto"/>
              <w:bottom w:val="single" w:sz="4" w:space="0" w:color="auto"/>
              <w:right w:val="single" w:sz="4" w:space="0" w:color="auto"/>
            </w:tcBorders>
          </w:tcPr>
          <w:p w14:paraId="7AEF0185" w14:textId="13B8D3AC" w:rsidR="00873D3F" w:rsidRPr="008D1DBB" w:rsidRDefault="007941ED" w:rsidP="000E3ADE">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b/>
                <w:i/>
                <w:noProof/>
              </w:rPr>
              <w:t>1 185 385</w:t>
            </w:r>
          </w:p>
        </w:tc>
        <w:tc>
          <w:tcPr>
            <w:tcW w:w="0" w:type="dxa"/>
            <w:tcBorders>
              <w:top w:val="single" w:sz="12" w:space="0" w:color="auto"/>
              <w:left w:val="single" w:sz="4" w:space="0" w:color="auto"/>
              <w:bottom w:val="single" w:sz="4" w:space="0" w:color="auto"/>
              <w:right w:val="single" w:sz="4" w:space="0" w:color="auto"/>
            </w:tcBorders>
          </w:tcPr>
          <w:p w14:paraId="3E1A47D9" w14:textId="0D6F0B67" w:rsidR="00873D3F" w:rsidRPr="008D1DBB" w:rsidRDefault="00873D3F" w:rsidP="00AE6D7D">
            <w:pPr>
              <w:pStyle w:val="TableText"/>
              <w:numPr>
                <w:ilvl w:val="1"/>
                <w:numId w:val="26"/>
              </w:numPr>
              <w:jc w:val="center"/>
              <w:cnfStyle w:val="000000100000" w:firstRow="0" w:lastRow="0" w:firstColumn="0" w:lastColumn="0" w:oddVBand="0" w:evenVBand="0" w:oddHBand="1" w:evenHBand="0" w:firstRowFirstColumn="0" w:firstRowLastColumn="0" w:lastRowFirstColumn="0" w:lastRowLastColumn="0"/>
              <w:rPr>
                <w:b/>
                <w:i/>
                <w:noProof/>
              </w:rPr>
            </w:pPr>
            <w:r w:rsidRPr="008D1DBB">
              <w:rPr>
                <w:b/>
                <w:i/>
                <w:noProof/>
              </w:rPr>
              <w:t>%</w:t>
            </w:r>
          </w:p>
        </w:tc>
      </w:tr>
    </w:tbl>
    <w:p w14:paraId="69993AA8" w14:textId="77777777" w:rsidR="00B508E2" w:rsidRPr="008D1DBB" w:rsidRDefault="00B508E2" w:rsidP="00B508E2">
      <w:pPr>
        <w:rPr>
          <w:noProof/>
        </w:rPr>
      </w:pPr>
      <w:bookmarkStart w:id="6" w:name="_Ref146004917"/>
    </w:p>
    <w:p w14:paraId="3DBFA8FE" w14:textId="5A4FBD5E" w:rsidR="00874715" w:rsidRPr="008D1DBB" w:rsidRDefault="00874715" w:rsidP="00A51846">
      <w:pPr>
        <w:pStyle w:val="Heading2"/>
        <w:rPr>
          <w:noProof/>
        </w:rPr>
      </w:pPr>
      <w:r w:rsidRPr="008D1DBB">
        <w:rPr>
          <w:noProof/>
        </w:rPr>
        <w:t xml:space="preserve">Repräsentativität des endgültigen Datensatzes aus dem praktischen Fahrbetrieb 2021 </w:t>
      </w:r>
    </w:p>
    <w:p w14:paraId="3AF8AEDD" w14:textId="286AAB64" w:rsidR="00B508E2" w:rsidRPr="008D1DBB" w:rsidRDefault="00B508E2" w:rsidP="00B508E2">
      <w:pPr>
        <w:rPr>
          <w:rStyle w:val="CrossReference"/>
          <w:i w:val="0"/>
          <w:noProof/>
        </w:rPr>
      </w:pPr>
      <w:r w:rsidRPr="008D1DBB">
        <w:rPr>
          <w:noProof/>
        </w:rPr>
        <w:t>Um zu bewerten, ob die vom endgültigen Datensatz aus dem praktischen Fahrbetrieb 2021 erfassten Personenkraftwagen für die im Jahr 2021 erstmals zugelassenen Fahrzeuge (nach Antriebsstrang/Kraftstofftyp) repräsentativ sind, werden ihre durchschnittlichen WLTP-basierten CO</w:t>
      </w:r>
      <w:r w:rsidRPr="008D1DBB">
        <w:rPr>
          <w:noProof/>
          <w:vertAlign w:val="subscript"/>
        </w:rPr>
        <w:t>2</w:t>
      </w:r>
      <w:r w:rsidRPr="008D1DBB">
        <w:rPr>
          <w:noProof/>
        </w:rPr>
        <w:t xml:space="preserve">-Emissionen und ihre Masse verglichen, wie in </w:t>
      </w:r>
      <w:r w:rsidRPr="008D1DBB">
        <w:rPr>
          <w:rStyle w:val="CrossReference"/>
          <w:noProof/>
        </w:rPr>
        <w:fldChar w:fldCharType="begin"/>
      </w:r>
      <w:r w:rsidRPr="008D1DBB">
        <w:rPr>
          <w:rStyle w:val="CrossReference"/>
          <w:noProof/>
        </w:rPr>
        <w:instrText xml:space="preserve"> REF _Ref152576688 \h  \* MERGEFORMAT </w:instrText>
      </w:r>
      <w:r w:rsidRPr="008D1DBB">
        <w:rPr>
          <w:rStyle w:val="CrossReference"/>
          <w:noProof/>
        </w:rPr>
      </w:r>
      <w:r w:rsidRPr="008D1DBB">
        <w:rPr>
          <w:rStyle w:val="CrossReference"/>
          <w:noProof/>
        </w:rPr>
        <w:fldChar w:fldCharType="separate"/>
      </w:r>
      <w:r w:rsidR="00A72250" w:rsidRPr="008D1DBB">
        <w:rPr>
          <w:rStyle w:val="CrossReference"/>
          <w:noProof/>
        </w:rPr>
        <w:t>Tabelle </w:t>
      </w:r>
      <w:r w:rsidRPr="008D1DBB">
        <w:rPr>
          <w:rStyle w:val="CrossReference"/>
          <w:noProof/>
        </w:rPr>
        <w:t>2</w:t>
      </w:r>
      <w:r w:rsidRPr="008D1DBB">
        <w:rPr>
          <w:rStyle w:val="CrossReference"/>
          <w:noProof/>
        </w:rPr>
        <w:fldChar w:fldCharType="end"/>
      </w:r>
      <w:r w:rsidRPr="008D1DBB">
        <w:rPr>
          <w:noProof/>
        </w:rPr>
        <w:t xml:space="preserve"> dargestellt</w:t>
      </w:r>
      <w:r w:rsidRPr="008D1DBB">
        <w:rPr>
          <w:rStyle w:val="CrossReference"/>
          <w:noProof/>
        </w:rPr>
        <w:t>.</w:t>
      </w:r>
      <w:r w:rsidRPr="008D1DBB">
        <w:rPr>
          <w:noProof/>
        </w:rPr>
        <w:t xml:space="preserve"> </w:t>
      </w:r>
    </w:p>
    <w:p w14:paraId="71591C24" w14:textId="6D708CE6" w:rsidR="00B508E2" w:rsidRPr="008D1DBB" w:rsidRDefault="00B508E2" w:rsidP="00B508E2">
      <w:pPr>
        <w:rPr>
          <w:noProof/>
        </w:rPr>
      </w:pPr>
      <w:r w:rsidRPr="008D1DBB">
        <w:rPr>
          <w:rStyle w:val="CrossReference"/>
          <w:i w:val="0"/>
          <w:noProof/>
        </w:rPr>
        <w:t>Dies</w:t>
      </w:r>
      <w:r w:rsidRPr="008D1DBB">
        <w:rPr>
          <w:noProof/>
        </w:rPr>
        <w:t xml:space="preserve"> deutet darauf hin, dass die benzin- und dieselbetriebenen Personenkraftwagen im Datensatz aus dem praktischen Fahrbetrieb im Durchschnitt um rund 7 % schwerer sind als die durchschnittlichen Neuwagen, die 2021 zugelassen wurden, und dass ihre WLTP-basierten CO</w:t>
      </w:r>
      <w:r w:rsidRPr="008D1DBB">
        <w:rPr>
          <w:noProof/>
          <w:vertAlign w:val="subscript"/>
        </w:rPr>
        <w:t>2</w:t>
      </w:r>
      <w:r w:rsidRPr="008D1DBB">
        <w:rPr>
          <w:noProof/>
        </w:rPr>
        <w:t>-Emissionen um rund 6-8 % höher liegen. Ein ähnlicher Trend ist bei Plug-in-Hybridelektrofahrzeugen mit Benzinmotor zu beobachten. Dies kann zu Verzerrungen bei den Ergebnissen führen.</w:t>
      </w:r>
    </w:p>
    <w:p w14:paraId="16ECF459" w14:textId="592F9C85" w:rsidR="00AE6D7D" w:rsidRPr="008D1DBB" w:rsidRDefault="007263C5" w:rsidP="00B508E2">
      <w:pPr>
        <w:rPr>
          <w:noProof/>
        </w:rPr>
      </w:pPr>
      <w:r w:rsidRPr="008D1DBB">
        <w:rPr>
          <w:noProof/>
        </w:rPr>
        <w:t>Dies hängt damit zusammen, dass der Datensatz aus dem praktischen Fahrbetrieb von 2021 von Fahrzeugen einer kleinen Zahl von Herstellern dominiert wird (siehe Abschnitt </w:t>
      </w:r>
      <w:r w:rsidRPr="008D1DBB">
        <w:rPr>
          <w:rStyle w:val="CrossReference"/>
          <w:i w:val="0"/>
          <w:noProof/>
        </w:rPr>
        <w:fldChar w:fldCharType="begin"/>
      </w:r>
      <w:r w:rsidRPr="008D1DBB">
        <w:rPr>
          <w:rStyle w:val="CrossReference"/>
          <w:i w:val="0"/>
          <w:noProof/>
        </w:rPr>
        <w:instrText xml:space="preserve"> REF _Ref148516957 \r \h  \* MERGEFORMAT </w:instrText>
      </w:r>
      <w:r w:rsidRPr="008D1DBB">
        <w:rPr>
          <w:rStyle w:val="CrossReference"/>
          <w:i w:val="0"/>
          <w:noProof/>
        </w:rPr>
      </w:r>
      <w:r w:rsidRPr="008D1DBB">
        <w:rPr>
          <w:rStyle w:val="CrossReference"/>
          <w:i w:val="0"/>
          <w:noProof/>
        </w:rPr>
        <w:fldChar w:fldCharType="separate"/>
      </w:r>
      <w:r w:rsidRPr="008D1DBB">
        <w:rPr>
          <w:rStyle w:val="CrossReference"/>
          <w:i w:val="0"/>
          <w:noProof/>
        </w:rPr>
        <w:t>3.2.1</w:t>
      </w:r>
      <w:r w:rsidRPr="008D1DBB">
        <w:rPr>
          <w:rStyle w:val="CrossReference"/>
          <w:i w:val="0"/>
          <w:noProof/>
        </w:rPr>
        <w:fldChar w:fldCharType="end"/>
      </w:r>
      <w:r w:rsidRPr="008D1DBB">
        <w:rPr>
          <w:rStyle w:val="CrossReference"/>
          <w:i w:val="0"/>
          <w:noProof/>
        </w:rPr>
        <w:t>)</w:t>
      </w:r>
      <w:r w:rsidRPr="008D1DBB">
        <w:rPr>
          <w:noProof/>
        </w:rPr>
        <w:t>, von denen viele über eine OTA-Schnittstelle verfügen, die eine direkte Datenübertragung an die Hersteller ermöglicht. Im Jahr 2021 waren solche Fahrzeuge in den schwereren Flottensegmenten stärker vertreten.</w:t>
      </w:r>
    </w:p>
    <w:p w14:paraId="02997257" w14:textId="0ED8147F" w:rsidR="00B508E2" w:rsidRPr="008D1DBB" w:rsidRDefault="00B508E2" w:rsidP="00B508E2">
      <w:pPr>
        <w:pStyle w:val="TableTitle"/>
        <w:rPr>
          <w:noProof/>
        </w:rPr>
      </w:pPr>
      <w:bookmarkStart w:id="7" w:name="_Ref152576688"/>
      <w:r w:rsidRPr="008D1DBB">
        <w:rPr>
          <w:noProof/>
        </w:rPr>
        <w:t>Tabelle </w:t>
      </w:r>
      <w:r w:rsidR="00802EF4">
        <w:rPr>
          <w:noProof/>
        </w:rPr>
        <w:fldChar w:fldCharType="begin"/>
      </w:r>
      <w:r w:rsidR="00802EF4">
        <w:rPr>
          <w:noProof/>
        </w:rPr>
        <w:instrText xml:space="preserve"> SEQ Table \* ARABIC </w:instrText>
      </w:r>
      <w:r w:rsidR="00802EF4">
        <w:rPr>
          <w:noProof/>
        </w:rPr>
        <w:fldChar w:fldCharType="separate"/>
      </w:r>
      <w:r w:rsidRPr="008D1DBB">
        <w:rPr>
          <w:noProof/>
        </w:rPr>
        <w:t>2</w:t>
      </w:r>
      <w:r w:rsidR="00802EF4">
        <w:rPr>
          <w:noProof/>
        </w:rPr>
        <w:fldChar w:fldCharType="end"/>
      </w:r>
      <w:bookmarkEnd w:id="7"/>
      <w:r w:rsidRPr="008D1DBB">
        <w:rPr>
          <w:noProof/>
        </w:rPr>
        <w:t>: Repräsentativität des Datensatzes aus dem praktischen Fahrbetrieb im Vergleich zu den 2021 erstmals zugelassenen Fahrzeugen (Personenkraftwagen)</w:t>
      </w:r>
      <w:r w:rsidRPr="008D1DBB">
        <w:rPr>
          <w:rStyle w:val="FootnoteReference"/>
          <w:noProof/>
        </w:rPr>
        <w:footnoteReference w:id="13"/>
      </w:r>
    </w:p>
    <w:tbl>
      <w:tblPr>
        <w:tblStyle w:val="PlainTable1"/>
        <w:tblW w:w="0" w:type="auto"/>
        <w:tblLook w:val="04A0" w:firstRow="1" w:lastRow="0" w:firstColumn="1" w:lastColumn="0" w:noHBand="0" w:noVBand="1"/>
      </w:tblPr>
      <w:tblGrid>
        <w:gridCol w:w="2812"/>
        <w:gridCol w:w="1455"/>
        <w:gridCol w:w="1442"/>
        <w:gridCol w:w="1457"/>
        <w:gridCol w:w="1442"/>
      </w:tblGrid>
      <w:tr w:rsidR="007A1312" w:rsidRPr="008D1DBB" w14:paraId="6EB787C9" w14:textId="77777777" w:rsidTr="00056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0" w:type="dxa"/>
            <w:vMerge w:val="restart"/>
          </w:tcPr>
          <w:p w14:paraId="53C41E63" w14:textId="19F519CB" w:rsidR="00B508E2" w:rsidRPr="008D1DBB" w:rsidRDefault="00AE6D7D" w:rsidP="000B649D">
            <w:pPr>
              <w:pStyle w:val="TableText"/>
              <w:rPr>
                <w:noProof/>
              </w:rPr>
            </w:pPr>
            <w:r w:rsidRPr="008D1DBB">
              <w:rPr>
                <w:noProof/>
              </w:rPr>
              <w:t>Antriebsstrang/</w:t>
            </w:r>
            <w:r w:rsidR="00B807FD" w:rsidRPr="008D1DBB">
              <w:rPr>
                <w:noProof/>
              </w:rPr>
              <w:t xml:space="preserve"> </w:t>
            </w:r>
            <w:r w:rsidRPr="008D1DBB">
              <w:rPr>
                <w:noProof/>
              </w:rPr>
              <w:t>Kraftstofftyp</w:t>
            </w:r>
          </w:p>
        </w:tc>
        <w:tc>
          <w:tcPr>
            <w:tcW w:w="0" w:type="dxa"/>
            <w:gridSpan w:val="2"/>
          </w:tcPr>
          <w:p w14:paraId="25CEB14F" w14:textId="07C5844F" w:rsidR="00B508E2" w:rsidRPr="008D1DBB" w:rsidRDefault="00B508E2" w:rsidP="000B649D">
            <w:pPr>
              <w:pStyle w:val="TableText"/>
              <w:jc w:val="center"/>
              <w:cnfStyle w:val="100000000000" w:firstRow="1" w:lastRow="0" w:firstColumn="0" w:lastColumn="0" w:oddVBand="0" w:evenVBand="0" w:oddHBand="0" w:evenHBand="0" w:firstRowFirstColumn="0" w:firstRowLastColumn="0" w:lastRowFirstColumn="0" w:lastRowLastColumn="0"/>
              <w:rPr>
                <w:noProof/>
              </w:rPr>
            </w:pPr>
            <w:r w:rsidRPr="008D1DBB">
              <w:rPr>
                <w:noProof/>
              </w:rPr>
              <w:t>Durchschnittliche WLTP-basierte CO</w:t>
            </w:r>
            <w:r w:rsidRPr="008D1DBB">
              <w:rPr>
                <w:noProof/>
                <w:vertAlign w:val="subscript"/>
              </w:rPr>
              <w:t>2</w:t>
            </w:r>
            <w:r w:rsidRPr="008D1DBB">
              <w:rPr>
                <w:noProof/>
              </w:rPr>
              <w:t>-Emissionen (g CO</w:t>
            </w:r>
            <w:r w:rsidRPr="008D1DBB">
              <w:rPr>
                <w:noProof/>
                <w:vertAlign w:val="subscript"/>
              </w:rPr>
              <w:t>2</w:t>
            </w:r>
            <w:r w:rsidRPr="008D1DBB">
              <w:rPr>
                <w:noProof/>
              </w:rPr>
              <w:t>/km)</w:t>
            </w:r>
          </w:p>
        </w:tc>
        <w:tc>
          <w:tcPr>
            <w:tcW w:w="0" w:type="dxa"/>
            <w:gridSpan w:val="2"/>
          </w:tcPr>
          <w:p w14:paraId="0574D90D" w14:textId="4C33D8EE" w:rsidR="00B508E2" w:rsidRPr="008D1DBB" w:rsidRDefault="00B508E2" w:rsidP="000B649D">
            <w:pPr>
              <w:pStyle w:val="TableText"/>
              <w:jc w:val="center"/>
              <w:cnfStyle w:val="100000000000" w:firstRow="1" w:lastRow="0" w:firstColumn="0" w:lastColumn="0" w:oddVBand="0" w:evenVBand="0" w:oddHBand="0" w:evenHBand="0" w:firstRowFirstColumn="0" w:firstRowLastColumn="0" w:lastRowFirstColumn="0" w:lastRowLastColumn="0"/>
              <w:rPr>
                <w:noProof/>
              </w:rPr>
            </w:pPr>
            <w:r w:rsidRPr="008D1DBB">
              <w:rPr>
                <w:noProof/>
              </w:rPr>
              <w:t>Durchschnittliche Masse (in kg) im fahrbereiten Zustand</w:t>
            </w:r>
          </w:p>
        </w:tc>
      </w:tr>
      <w:tr w:rsidR="00056DB6" w:rsidRPr="008D1DBB" w14:paraId="0BA8C137" w14:textId="77777777" w:rsidTr="00056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11E10F7A" w14:textId="77777777" w:rsidR="00B508E2" w:rsidRPr="008D1DBB" w:rsidRDefault="00B508E2" w:rsidP="000B649D">
            <w:pPr>
              <w:pStyle w:val="TableText"/>
              <w:rPr>
                <w:noProof/>
              </w:rPr>
            </w:pPr>
          </w:p>
        </w:tc>
        <w:tc>
          <w:tcPr>
            <w:tcW w:w="0" w:type="dxa"/>
          </w:tcPr>
          <w:p w14:paraId="021B6CB4" w14:textId="77777777" w:rsidR="00B508E2" w:rsidRPr="008D1DBB" w:rsidRDefault="00B508E2" w:rsidP="000B649D">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Praktischer Fahrbetrieb</w:t>
            </w:r>
          </w:p>
        </w:tc>
        <w:tc>
          <w:tcPr>
            <w:tcW w:w="0" w:type="dxa"/>
          </w:tcPr>
          <w:p w14:paraId="7125DD66" w14:textId="6AEB308C" w:rsidR="00B508E2" w:rsidRPr="008D1DBB" w:rsidRDefault="00B508E2" w:rsidP="000B649D">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Erstzu</w:t>
            </w:r>
            <w:r w:rsidR="00B807FD" w:rsidRPr="008D1DBB">
              <w:rPr>
                <w:noProof/>
              </w:rPr>
              <w:softHyphen/>
            </w:r>
            <w:r w:rsidRPr="008D1DBB">
              <w:rPr>
                <w:noProof/>
              </w:rPr>
              <w:t>lassungen 2021</w:t>
            </w:r>
          </w:p>
        </w:tc>
        <w:tc>
          <w:tcPr>
            <w:tcW w:w="0" w:type="dxa"/>
          </w:tcPr>
          <w:p w14:paraId="54AB921C" w14:textId="77777777" w:rsidR="00B508E2" w:rsidRPr="008D1DBB" w:rsidRDefault="00B508E2" w:rsidP="000B649D">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Praktischer Fahrbetrieb</w:t>
            </w:r>
          </w:p>
        </w:tc>
        <w:tc>
          <w:tcPr>
            <w:tcW w:w="0" w:type="dxa"/>
          </w:tcPr>
          <w:p w14:paraId="551116E9" w14:textId="5BB266B7" w:rsidR="00B508E2" w:rsidRPr="008D1DBB" w:rsidRDefault="00B508E2" w:rsidP="000B649D">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Erstzu</w:t>
            </w:r>
            <w:r w:rsidR="00B807FD" w:rsidRPr="008D1DBB">
              <w:rPr>
                <w:noProof/>
              </w:rPr>
              <w:softHyphen/>
            </w:r>
            <w:r w:rsidRPr="008D1DBB">
              <w:rPr>
                <w:noProof/>
              </w:rPr>
              <w:t>lassungen 2021</w:t>
            </w:r>
          </w:p>
        </w:tc>
      </w:tr>
      <w:tr w:rsidR="007A1312" w:rsidRPr="008D1DBB" w14:paraId="1B5E03BB" w14:textId="77777777" w:rsidTr="00056DB6">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BFBFBF" w:themeColor="background1" w:themeShade="BF"/>
            </w:tcBorders>
          </w:tcPr>
          <w:p w14:paraId="640902EA" w14:textId="77777777" w:rsidR="00B508E2" w:rsidRPr="008D1DBB" w:rsidRDefault="00B508E2" w:rsidP="000B649D">
            <w:pPr>
              <w:pStyle w:val="TableText"/>
              <w:rPr>
                <w:noProof/>
              </w:rPr>
            </w:pPr>
            <w:r w:rsidRPr="008D1DBB">
              <w:rPr>
                <w:noProof/>
              </w:rPr>
              <w:t>Benzin</w:t>
            </w:r>
          </w:p>
        </w:tc>
        <w:tc>
          <w:tcPr>
            <w:tcW w:w="1466" w:type="dxa"/>
            <w:tcBorders>
              <w:bottom w:val="single" w:sz="4" w:space="0" w:color="BFBFBF" w:themeColor="background1" w:themeShade="BF"/>
            </w:tcBorders>
          </w:tcPr>
          <w:p w14:paraId="48C1C417" w14:textId="77777777" w:rsidR="00B508E2" w:rsidRPr="008D1DBB" w:rsidRDefault="00B508E2" w:rsidP="000B649D">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145,0</w:t>
            </w:r>
          </w:p>
        </w:tc>
        <w:tc>
          <w:tcPr>
            <w:tcW w:w="1464" w:type="dxa"/>
            <w:tcBorders>
              <w:bottom w:val="single" w:sz="4" w:space="0" w:color="BFBFBF" w:themeColor="background1" w:themeShade="BF"/>
            </w:tcBorders>
          </w:tcPr>
          <w:p w14:paraId="4C8C9493" w14:textId="77777777" w:rsidR="00B508E2" w:rsidRPr="008D1DBB" w:rsidRDefault="00B508E2" w:rsidP="000B649D">
            <w:pPr>
              <w:pStyle w:val="TableText"/>
              <w:spacing w:line="259" w:lineRule="auto"/>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134,8</w:t>
            </w:r>
          </w:p>
        </w:tc>
        <w:tc>
          <w:tcPr>
            <w:tcW w:w="1468" w:type="dxa"/>
            <w:tcBorders>
              <w:bottom w:val="single" w:sz="4" w:space="0" w:color="BFBFBF" w:themeColor="background1" w:themeShade="BF"/>
            </w:tcBorders>
          </w:tcPr>
          <w:p w14:paraId="482CACA9" w14:textId="589CF942" w:rsidR="00B508E2" w:rsidRPr="008D1DBB" w:rsidRDefault="00B508E2" w:rsidP="000B649D">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1 404</w:t>
            </w:r>
          </w:p>
        </w:tc>
        <w:tc>
          <w:tcPr>
            <w:tcW w:w="1464" w:type="dxa"/>
            <w:tcBorders>
              <w:bottom w:val="single" w:sz="4" w:space="0" w:color="BFBFBF" w:themeColor="background1" w:themeShade="BF"/>
            </w:tcBorders>
          </w:tcPr>
          <w:p w14:paraId="74E8A064" w14:textId="4AE9E9C2" w:rsidR="00B508E2" w:rsidRPr="008D1DBB" w:rsidRDefault="00B508E2" w:rsidP="000B649D">
            <w:pPr>
              <w:pStyle w:val="TableText"/>
              <w:spacing w:line="259" w:lineRule="auto"/>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1 317</w:t>
            </w:r>
          </w:p>
        </w:tc>
      </w:tr>
      <w:tr w:rsidR="00056DB6" w:rsidRPr="008D1DBB" w14:paraId="7D3E5CA7" w14:textId="77777777" w:rsidTr="00056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auto"/>
            </w:tcBorders>
          </w:tcPr>
          <w:p w14:paraId="00C1E9E4" w14:textId="77777777" w:rsidR="00B508E2" w:rsidRPr="008D1DBB" w:rsidRDefault="00B508E2" w:rsidP="000B649D">
            <w:pPr>
              <w:pStyle w:val="TableText"/>
              <w:rPr>
                <w:noProof/>
              </w:rPr>
            </w:pPr>
            <w:r w:rsidRPr="008D1DBB">
              <w:rPr>
                <w:noProof/>
              </w:rPr>
              <w:t>Diesel</w:t>
            </w:r>
          </w:p>
        </w:tc>
        <w:tc>
          <w:tcPr>
            <w:tcW w:w="0" w:type="dxa"/>
            <w:tcBorders>
              <w:bottom w:val="single" w:sz="4" w:space="0" w:color="auto"/>
            </w:tcBorders>
          </w:tcPr>
          <w:p w14:paraId="2A3671D9" w14:textId="77777777" w:rsidR="00B508E2" w:rsidRPr="008D1DBB" w:rsidRDefault="00B508E2" w:rsidP="000B649D">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153,0</w:t>
            </w:r>
          </w:p>
        </w:tc>
        <w:tc>
          <w:tcPr>
            <w:tcW w:w="0" w:type="dxa"/>
            <w:tcBorders>
              <w:bottom w:val="single" w:sz="4" w:space="0" w:color="auto"/>
            </w:tcBorders>
          </w:tcPr>
          <w:p w14:paraId="05BA5725" w14:textId="77777777" w:rsidR="00B508E2" w:rsidRPr="008D1DBB" w:rsidRDefault="00B508E2" w:rsidP="000B649D">
            <w:pPr>
              <w:pStyle w:val="TableText"/>
              <w:spacing w:line="259" w:lineRule="auto"/>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144,7</w:t>
            </w:r>
          </w:p>
        </w:tc>
        <w:tc>
          <w:tcPr>
            <w:tcW w:w="0" w:type="dxa"/>
            <w:tcBorders>
              <w:bottom w:val="single" w:sz="4" w:space="0" w:color="auto"/>
            </w:tcBorders>
          </w:tcPr>
          <w:p w14:paraId="58ADE618" w14:textId="21A0B388" w:rsidR="00B508E2" w:rsidRPr="008D1DBB" w:rsidRDefault="00B508E2" w:rsidP="000B649D">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1 747</w:t>
            </w:r>
          </w:p>
        </w:tc>
        <w:tc>
          <w:tcPr>
            <w:tcW w:w="0" w:type="dxa"/>
            <w:tcBorders>
              <w:bottom w:val="single" w:sz="4" w:space="0" w:color="auto"/>
            </w:tcBorders>
          </w:tcPr>
          <w:p w14:paraId="2260F908" w14:textId="24773944" w:rsidR="00B508E2" w:rsidRPr="008D1DBB" w:rsidRDefault="00B508E2" w:rsidP="000B649D">
            <w:pPr>
              <w:pStyle w:val="TableText"/>
              <w:spacing w:line="259" w:lineRule="auto"/>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1 627</w:t>
            </w:r>
          </w:p>
        </w:tc>
      </w:tr>
      <w:tr w:rsidR="007A1312" w:rsidRPr="008D1DBB" w14:paraId="56152ECF" w14:textId="77777777" w:rsidTr="00056DB6">
        <w:tc>
          <w:tcPr>
            <w:cnfStyle w:val="001000000000" w:firstRow="0" w:lastRow="0" w:firstColumn="1" w:lastColumn="0" w:oddVBand="0" w:evenVBand="0" w:oddHBand="0" w:evenHBand="0" w:firstRowFirstColumn="0" w:firstRowLastColumn="0" w:lastRowFirstColumn="0" w:lastRowLastColumn="0"/>
            <w:tcW w:w="2890" w:type="dxa"/>
            <w:tcBorders>
              <w:top w:val="single" w:sz="4" w:space="0" w:color="auto"/>
              <w:bottom w:val="single" w:sz="4" w:space="0" w:color="auto"/>
            </w:tcBorders>
          </w:tcPr>
          <w:p w14:paraId="5C756E13" w14:textId="77777777" w:rsidR="00B508E2" w:rsidRPr="008D1DBB" w:rsidRDefault="00B508E2" w:rsidP="000B649D">
            <w:pPr>
              <w:pStyle w:val="TableText"/>
              <w:rPr>
                <w:noProof/>
              </w:rPr>
            </w:pPr>
            <w:r w:rsidRPr="008D1DBB">
              <w:rPr>
                <w:noProof/>
              </w:rPr>
              <w:t>Benzin + Diesel</w:t>
            </w:r>
          </w:p>
        </w:tc>
        <w:tc>
          <w:tcPr>
            <w:tcW w:w="1466" w:type="dxa"/>
            <w:tcBorders>
              <w:top w:val="single" w:sz="4" w:space="0" w:color="auto"/>
              <w:bottom w:val="single" w:sz="4" w:space="0" w:color="auto"/>
            </w:tcBorders>
          </w:tcPr>
          <w:p w14:paraId="200CAF0A" w14:textId="77777777" w:rsidR="00B508E2" w:rsidRPr="008D1DBB" w:rsidRDefault="00B508E2" w:rsidP="000B649D">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148,5</w:t>
            </w:r>
          </w:p>
        </w:tc>
        <w:tc>
          <w:tcPr>
            <w:tcW w:w="1464" w:type="dxa"/>
            <w:tcBorders>
              <w:top w:val="single" w:sz="4" w:space="0" w:color="auto"/>
              <w:bottom w:val="single" w:sz="4" w:space="0" w:color="auto"/>
            </w:tcBorders>
          </w:tcPr>
          <w:p w14:paraId="21A3C7D6" w14:textId="77777777" w:rsidR="00B508E2" w:rsidRPr="008D1DBB" w:rsidRDefault="00B508E2" w:rsidP="000B649D">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137,7</w:t>
            </w:r>
          </w:p>
        </w:tc>
        <w:tc>
          <w:tcPr>
            <w:tcW w:w="1468" w:type="dxa"/>
            <w:tcBorders>
              <w:top w:val="single" w:sz="4" w:space="0" w:color="auto"/>
              <w:bottom w:val="single" w:sz="4" w:space="0" w:color="auto"/>
            </w:tcBorders>
          </w:tcPr>
          <w:p w14:paraId="23360EDF" w14:textId="7A20B690" w:rsidR="00B508E2" w:rsidRPr="008D1DBB" w:rsidRDefault="00B508E2" w:rsidP="000B649D">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1 554</w:t>
            </w:r>
          </w:p>
        </w:tc>
        <w:tc>
          <w:tcPr>
            <w:tcW w:w="1464" w:type="dxa"/>
            <w:tcBorders>
              <w:top w:val="single" w:sz="4" w:space="0" w:color="auto"/>
              <w:bottom w:val="single" w:sz="4" w:space="0" w:color="auto"/>
            </w:tcBorders>
          </w:tcPr>
          <w:p w14:paraId="6BE54857" w14:textId="53AED8AC" w:rsidR="00B508E2" w:rsidRPr="008D1DBB" w:rsidRDefault="00B508E2" w:rsidP="000B649D">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1 407</w:t>
            </w:r>
          </w:p>
        </w:tc>
      </w:tr>
      <w:tr w:rsidR="00056DB6" w:rsidRPr="008D1DBB" w14:paraId="2E105244" w14:textId="77777777" w:rsidTr="00056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0" w:type="dxa"/>
            <w:tcBorders>
              <w:top w:val="single" w:sz="4" w:space="0" w:color="auto"/>
              <w:bottom w:val="single" w:sz="4" w:space="0" w:color="BFBFBF" w:themeColor="background1" w:themeShade="BF"/>
            </w:tcBorders>
          </w:tcPr>
          <w:p w14:paraId="05B1A91F" w14:textId="77777777" w:rsidR="00B508E2" w:rsidRPr="008D1DBB" w:rsidRDefault="00B508E2" w:rsidP="000B649D">
            <w:pPr>
              <w:pStyle w:val="TableText"/>
              <w:rPr>
                <w:noProof/>
              </w:rPr>
            </w:pPr>
            <w:r w:rsidRPr="008D1DBB">
              <w:rPr>
                <w:noProof/>
              </w:rPr>
              <w:t>Plug-in-Hybrid (Benzin)</w:t>
            </w:r>
          </w:p>
        </w:tc>
        <w:tc>
          <w:tcPr>
            <w:tcW w:w="0" w:type="dxa"/>
            <w:tcBorders>
              <w:top w:val="single" w:sz="4" w:space="0" w:color="auto"/>
              <w:bottom w:val="single" w:sz="4" w:space="0" w:color="BFBFBF" w:themeColor="background1" w:themeShade="BF"/>
            </w:tcBorders>
          </w:tcPr>
          <w:p w14:paraId="0BB1CFA6" w14:textId="77777777" w:rsidR="00B508E2" w:rsidRPr="008D1DBB" w:rsidRDefault="00B508E2" w:rsidP="000B649D">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40,3</w:t>
            </w:r>
          </w:p>
        </w:tc>
        <w:tc>
          <w:tcPr>
            <w:tcW w:w="0" w:type="dxa"/>
            <w:tcBorders>
              <w:top w:val="single" w:sz="4" w:space="0" w:color="auto"/>
              <w:bottom w:val="single" w:sz="4" w:space="0" w:color="BFBFBF" w:themeColor="background1" w:themeShade="BF"/>
            </w:tcBorders>
          </w:tcPr>
          <w:p w14:paraId="3F77CE6C" w14:textId="77777777" w:rsidR="00B508E2" w:rsidRPr="008D1DBB" w:rsidRDefault="00B508E2" w:rsidP="000B649D">
            <w:pPr>
              <w:pStyle w:val="TableText"/>
              <w:spacing w:line="259" w:lineRule="auto"/>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37,7</w:t>
            </w:r>
          </w:p>
        </w:tc>
        <w:tc>
          <w:tcPr>
            <w:tcW w:w="0" w:type="dxa"/>
            <w:tcBorders>
              <w:top w:val="single" w:sz="4" w:space="0" w:color="auto"/>
              <w:bottom w:val="single" w:sz="4" w:space="0" w:color="BFBFBF" w:themeColor="background1" w:themeShade="BF"/>
            </w:tcBorders>
          </w:tcPr>
          <w:p w14:paraId="7236EB22" w14:textId="07D9ED93" w:rsidR="00B508E2" w:rsidRPr="008D1DBB" w:rsidRDefault="00B508E2" w:rsidP="000B649D">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1 955</w:t>
            </w:r>
          </w:p>
        </w:tc>
        <w:tc>
          <w:tcPr>
            <w:tcW w:w="0" w:type="dxa"/>
            <w:tcBorders>
              <w:top w:val="single" w:sz="4" w:space="0" w:color="auto"/>
              <w:bottom w:val="single" w:sz="4" w:space="0" w:color="BFBFBF" w:themeColor="background1" w:themeShade="BF"/>
            </w:tcBorders>
          </w:tcPr>
          <w:p w14:paraId="3FE778C1" w14:textId="70FE6874" w:rsidR="00B508E2" w:rsidRPr="008D1DBB" w:rsidRDefault="00B508E2" w:rsidP="000B649D">
            <w:pPr>
              <w:pStyle w:val="TableText"/>
              <w:spacing w:line="259" w:lineRule="auto"/>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1 899</w:t>
            </w:r>
          </w:p>
        </w:tc>
      </w:tr>
      <w:tr w:rsidR="007A1312" w:rsidRPr="008D1DBB" w14:paraId="36E15CFB" w14:textId="77777777" w:rsidTr="00056DB6">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auto"/>
            </w:tcBorders>
          </w:tcPr>
          <w:p w14:paraId="4330BF7D" w14:textId="77777777" w:rsidR="00B508E2" w:rsidRPr="008D1DBB" w:rsidRDefault="00B508E2" w:rsidP="000B649D">
            <w:pPr>
              <w:pStyle w:val="TableText"/>
              <w:rPr>
                <w:noProof/>
              </w:rPr>
            </w:pPr>
            <w:r w:rsidRPr="008D1DBB">
              <w:rPr>
                <w:noProof/>
              </w:rPr>
              <w:t>Plug-in-Hybrid (Diesel)</w:t>
            </w:r>
          </w:p>
        </w:tc>
        <w:tc>
          <w:tcPr>
            <w:tcW w:w="1466" w:type="dxa"/>
            <w:tcBorders>
              <w:bottom w:val="single" w:sz="4" w:space="0" w:color="auto"/>
            </w:tcBorders>
          </w:tcPr>
          <w:p w14:paraId="402EEE82" w14:textId="77777777" w:rsidR="00B508E2" w:rsidRPr="008D1DBB" w:rsidRDefault="00B508E2" w:rsidP="000B649D">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37,2</w:t>
            </w:r>
          </w:p>
        </w:tc>
        <w:tc>
          <w:tcPr>
            <w:tcW w:w="1464" w:type="dxa"/>
            <w:tcBorders>
              <w:bottom w:val="single" w:sz="4" w:space="0" w:color="auto"/>
            </w:tcBorders>
          </w:tcPr>
          <w:p w14:paraId="6380D1BB" w14:textId="77777777" w:rsidR="00B508E2" w:rsidRPr="008D1DBB" w:rsidRDefault="00B508E2" w:rsidP="000B649D">
            <w:pPr>
              <w:pStyle w:val="TableText"/>
              <w:spacing w:line="259" w:lineRule="auto"/>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37,2</w:t>
            </w:r>
          </w:p>
        </w:tc>
        <w:tc>
          <w:tcPr>
            <w:tcW w:w="1468" w:type="dxa"/>
            <w:tcBorders>
              <w:bottom w:val="single" w:sz="4" w:space="0" w:color="auto"/>
            </w:tcBorders>
          </w:tcPr>
          <w:p w14:paraId="5FFAF156" w14:textId="71630D7C" w:rsidR="00B508E2" w:rsidRPr="008D1DBB" w:rsidRDefault="00B508E2" w:rsidP="000B649D">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2 281</w:t>
            </w:r>
          </w:p>
        </w:tc>
        <w:tc>
          <w:tcPr>
            <w:tcW w:w="1464" w:type="dxa"/>
            <w:tcBorders>
              <w:bottom w:val="single" w:sz="4" w:space="0" w:color="auto"/>
            </w:tcBorders>
          </w:tcPr>
          <w:p w14:paraId="39095A7E" w14:textId="6DE56613" w:rsidR="00B508E2" w:rsidRPr="008D1DBB" w:rsidRDefault="00B508E2" w:rsidP="000B649D">
            <w:pPr>
              <w:pStyle w:val="TableText"/>
              <w:spacing w:line="259" w:lineRule="auto"/>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2 291</w:t>
            </w:r>
          </w:p>
        </w:tc>
      </w:tr>
      <w:tr w:rsidR="00056DB6" w:rsidRPr="008D1DBB" w14:paraId="06C4FA7F" w14:textId="77777777" w:rsidTr="00056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0" w:type="dxa"/>
            <w:tcBorders>
              <w:top w:val="single" w:sz="4" w:space="0" w:color="auto"/>
            </w:tcBorders>
          </w:tcPr>
          <w:p w14:paraId="7EB8CE6A" w14:textId="77777777" w:rsidR="00B508E2" w:rsidRPr="008D1DBB" w:rsidRDefault="00B508E2" w:rsidP="000B649D">
            <w:pPr>
              <w:pStyle w:val="TableText"/>
              <w:rPr>
                <w:noProof/>
              </w:rPr>
            </w:pPr>
            <w:r w:rsidRPr="008D1DBB">
              <w:rPr>
                <w:noProof/>
              </w:rPr>
              <w:t>Plug-in-Hybrid (alle)</w:t>
            </w:r>
          </w:p>
        </w:tc>
        <w:tc>
          <w:tcPr>
            <w:tcW w:w="0" w:type="dxa"/>
            <w:tcBorders>
              <w:top w:val="single" w:sz="4" w:space="0" w:color="auto"/>
            </w:tcBorders>
          </w:tcPr>
          <w:p w14:paraId="12D3B26B" w14:textId="77777777" w:rsidR="00B508E2" w:rsidRPr="008D1DBB" w:rsidRDefault="00B508E2" w:rsidP="000B649D">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39,6</w:t>
            </w:r>
          </w:p>
        </w:tc>
        <w:tc>
          <w:tcPr>
            <w:tcW w:w="0" w:type="dxa"/>
            <w:tcBorders>
              <w:top w:val="single" w:sz="4" w:space="0" w:color="auto"/>
            </w:tcBorders>
          </w:tcPr>
          <w:p w14:paraId="5E707ABA" w14:textId="77777777" w:rsidR="00B508E2" w:rsidRPr="008D1DBB" w:rsidRDefault="00B508E2" w:rsidP="000B649D">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37,7</w:t>
            </w:r>
          </w:p>
        </w:tc>
        <w:tc>
          <w:tcPr>
            <w:tcW w:w="0" w:type="dxa"/>
            <w:tcBorders>
              <w:top w:val="single" w:sz="4" w:space="0" w:color="auto"/>
            </w:tcBorders>
          </w:tcPr>
          <w:p w14:paraId="1C2112D4" w14:textId="5FEAE7BB" w:rsidR="00B508E2" w:rsidRPr="008D1DBB" w:rsidRDefault="00B508E2" w:rsidP="000B649D">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2 021</w:t>
            </w:r>
          </w:p>
        </w:tc>
        <w:tc>
          <w:tcPr>
            <w:tcW w:w="0" w:type="dxa"/>
            <w:tcBorders>
              <w:top w:val="single" w:sz="4" w:space="0" w:color="auto"/>
            </w:tcBorders>
          </w:tcPr>
          <w:p w14:paraId="3BDC2004" w14:textId="4E21CDBB" w:rsidR="00B508E2" w:rsidRPr="008D1DBB" w:rsidRDefault="00B508E2" w:rsidP="000B649D">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1 923</w:t>
            </w:r>
          </w:p>
        </w:tc>
      </w:tr>
    </w:tbl>
    <w:p w14:paraId="282286FC" w14:textId="3DF37462" w:rsidR="00E550D9" w:rsidRPr="008D1DBB" w:rsidRDefault="00E550D9" w:rsidP="00D74986">
      <w:pPr>
        <w:pStyle w:val="Heading1"/>
        <w:rPr>
          <w:noProof/>
        </w:rPr>
      </w:pPr>
      <w:r w:rsidRPr="008D1DBB">
        <w:rPr>
          <w:noProof/>
        </w:rPr>
        <w:t>Ergebnisse</w:t>
      </w:r>
      <w:bookmarkEnd w:id="6"/>
    </w:p>
    <w:p w14:paraId="2860262B" w14:textId="20784F28" w:rsidR="000D6205" w:rsidRPr="008D1DBB" w:rsidRDefault="00D913F6" w:rsidP="00E550D9">
      <w:pPr>
        <w:rPr>
          <w:noProof/>
        </w:rPr>
      </w:pPr>
      <w:r w:rsidRPr="008D1DBB">
        <w:rPr>
          <w:noProof/>
        </w:rPr>
        <w:t>Die durchschnittlichen CO</w:t>
      </w:r>
      <w:r w:rsidRPr="008D1DBB">
        <w:rPr>
          <w:noProof/>
          <w:vertAlign w:val="subscript"/>
        </w:rPr>
        <w:t>2</w:t>
      </w:r>
      <w:r w:rsidRPr="008D1DBB">
        <w:rPr>
          <w:noProof/>
        </w:rPr>
        <w:t xml:space="preserve">-Emissionen und der durchschnittliche Kraftstoffverbrauch im praktischen Fahrbetrieb und auf WLTP-Basis sowie die Differenz zwischen diesen Werten werden auf Flottenebene und für jeden Hersteller getrennt berechnet. </w:t>
      </w:r>
    </w:p>
    <w:p w14:paraId="24761DAA" w14:textId="0507CDE5" w:rsidR="00715C52" w:rsidRPr="008D1DBB" w:rsidRDefault="00715C52" w:rsidP="00215622">
      <w:pPr>
        <w:keepLines/>
        <w:rPr>
          <w:noProof/>
        </w:rPr>
      </w:pPr>
      <w:r w:rsidRPr="008D1DBB">
        <w:rPr>
          <w:noProof/>
        </w:rPr>
        <w:t>Die Berechnungsmethode und die Ergebnisse werden in der Arbeitsunterlage der Kommissionsdienststellen ausführlicher dargelegt, die auch die Daten auf Länderebene sowie Informationen über den Stromverbrauch von Plug-in-Hybridelektrofahrzeugen enthält.</w:t>
      </w:r>
    </w:p>
    <w:p w14:paraId="7CD19D4C" w14:textId="0305ED9D" w:rsidR="009D02A0" w:rsidRPr="008D1DBB" w:rsidRDefault="00E550D9" w:rsidP="009C60E4">
      <w:pPr>
        <w:pStyle w:val="Heading2"/>
        <w:rPr>
          <w:noProof/>
        </w:rPr>
      </w:pPr>
      <w:r w:rsidRPr="008D1DBB">
        <w:rPr>
          <w:noProof/>
        </w:rPr>
        <w:t>Flottenweite Bewertung der durchschnittlichen CO</w:t>
      </w:r>
      <w:r w:rsidRPr="008D1DBB">
        <w:rPr>
          <w:noProof/>
          <w:vertAlign w:val="subscript"/>
        </w:rPr>
        <w:t>2</w:t>
      </w:r>
      <w:r w:rsidRPr="008D1DBB">
        <w:rPr>
          <w:noProof/>
        </w:rPr>
        <w:t>-Emissionen, des Kraftstoffverbrauchs und der Differenz zwischen Laborwerten und tatsächlichen Werten</w:t>
      </w:r>
    </w:p>
    <w:p w14:paraId="1E4FFC15" w14:textId="3D46835A" w:rsidR="00D5794A" w:rsidRPr="008D1DBB" w:rsidRDefault="00E32171" w:rsidP="00D5794A">
      <w:pPr>
        <w:rPr>
          <w:noProof/>
          <w:color w:val="000000" w:themeColor="text1"/>
        </w:rPr>
      </w:pPr>
      <w:r w:rsidRPr="008D1DBB">
        <w:rPr>
          <w:rStyle w:val="CrossReference"/>
          <w:noProof/>
        </w:rPr>
        <w:fldChar w:fldCharType="begin"/>
      </w:r>
      <w:r w:rsidRPr="008D1DBB">
        <w:rPr>
          <w:rStyle w:val="CrossReference"/>
          <w:noProof/>
        </w:rPr>
        <w:instrText xml:space="preserve"> REF _Ref145925489 \h  \* MERGEFORMAT </w:instrText>
      </w:r>
      <w:r w:rsidRPr="008D1DBB">
        <w:rPr>
          <w:rStyle w:val="CrossReference"/>
          <w:noProof/>
        </w:rPr>
      </w:r>
      <w:r w:rsidRPr="008D1DBB">
        <w:rPr>
          <w:rStyle w:val="CrossReference"/>
          <w:noProof/>
        </w:rPr>
        <w:fldChar w:fldCharType="separate"/>
      </w:r>
      <w:r w:rsidR="00A72250" w:rsidRPr="008D1DBB">
        <w:rPr>
          <w:rStyle w:val="CrossReference"/>
          <w:noProof/>
        </w:rPr>
        <w:t>Tabelle </w:t>
      </w:r>
      <w:r w:rsidRPr="008D1DBB">
        <w:rPr>
          <w:rStyle w:val="CrossReference"/>
          <w:noProof/>
        </w:rPr>
        <w:t>3</w:t>
      </w:r>
      <w:r w:rsidRPr="008D1DBB">
        <w:rPr>
          <w:rStyle w:val="CrossReference"/>
          <w:noProof/>
        </w:rPr>
        <w:fldChar w:fldCharType="end"/>
      </w:r>
      <w:r w:rsidRPr="008D1DBB">
        <w:rPr>
          <w:rStyle w:val="CrossReference"/>
          <w:i w:val="0"/>
          <w:noProof/>
        </w:rPr>
        <w:t xml:space="preserve"> </w:t>
      </w:r>
      <w:r w:rsidRPr="008D1DBB">
        <w:rPr>
          <w:noProof/>
        </w:rPr>
        <w:t xml:space="preserve">In </w:t>
      </w:r>
      <w:r w:rsidRPr="008D1DBB">
        <w:rPr>
          <w:rStyle w:val="CrossReference"/>
          <w:i w:val="0"/>
          <w:noProof/>
        </w:rPr>
        <w:t>sind die wichtigsten Ergebnisse für Personenkraftwagen zusammengefasst</w:t>
      </w:r>
      <w:r w:rsidRPr="008D1DBB">
        <w:rPr>
          <w:noProof/>
        </w:rPr>
        <w:t>.</w:t>
      </w:r>
      <w:r w:rsidRPr="008D1DBB">
        <w:rPr>
          <w:noProof/>
          <w:color w:val="000000" w:themeColor="text1"/>
        </w:rPr>
        <w:t xml:space="preserve"> Darin werden für jede Antriebsstrang-/Kraftstofftypgruppe der durchschnittliche Kraftstoffverbrauch und die CO</w:t>
      </w:r>
      <w:r w:rsidRPr="008D1DBB">
        <w:rPr>
          <w:noProof/>
          <w:color w:val="000000" w:themeColor="text1"/>
          <w:vertAlign w:val="subscript"/>
        </w:rPr>
        <w:t>2</w:t>
      </w:r>
      <w:r w:rsidRPr="008D1DBB">
        <w:rPr>
          <w:noProof/>
          <w:color w:val="000000" w:themeColor="text1"/>
        </w:rPr>
        <w:t>-Emissionen im praktischen Fahrbetrieb sowie die entsprechenden WLTP-Werte und die relative Differenz zwischen diesen tatsächlichen Durchschnittswerten und den WLTP-Werten aufgezeigt. Für die Differenz werden sowohl das arithmetische Mittel als auch der kilometergewichtete Durchschnitt gezeigt, da Letzterer den gesamten zusätzlichen Kraftstoffverbrauch und die zusätzlichen CO</w:t>
      </w:r>
      <w:r w:rsidRPr="008D1DBB">
        <w:rPr>
          <w:noProof/>
          <w:color w:val="000000" w:themeColor="text1"/>
          <w:vertAlign w:val="subscript"/>
        </w:rPr>
        <w:t>2</w:t>
      </w:r>
      <w:r w:rsidRPr="008D1DBB">
        <w:rPr>
          <w:noProof/>
          <w:color w:val="000000" w:themeColor="text1"/>
        </w:rPr>
        <w:t>-Emissionen aufgrund der Differenz zwischen Laborwerten und tatsächlichen Werten klarer vermitteln sollte.</w:t>
      </w:r>
    </w:p>
    <w:p w14:paraId="745336DC" w14:textId="68ECE8DC" w:rsidR="000252F9" w:rsidRPr="008D1DBB" w:rsidRDefault="000252F9" w:rsidP="000252F9">
      <w:pPr>
        <w:pStyle w:val="TableTitle"/>
        <w:rPr>
          <w:noProof/>
        </w:rPr>
      </w:pPr>
      <w:bookmarkStart w:id="8" w:name="_Ref145925489"/>
      <w:r w:rsidRPr="008D1DBB">
        <w:rPr>
          <w:noProof/>
        </w:rPr>
        <w:t>Tabelle </w:t>
      </w:r>
      <w:r w:rsidR="00802EF4">
        <w:rPr>
          <w:noProof/>
        </w:rPr>
        <w:fldChar w:fldCharType="begin"/>
      </w:r>
      <w:r w:rsidR="00802EF4">
        <w:rPr>
          <w:noProof/>
        </w:rPr>
        <w:instrText xml:space="preserve"> SEQ Table \* ARABIC </w:instrText>
      </w:r>
      <w:r w:rsidR="00802EF4">
        <w:rPr>
          <w:noProof/>
        </w:rPr>
        <w:fldChar w:fldCharType="separate"/>
      </w:r>
      <w:r w:rsidRPr="008D1DBB">
        <w:rPr>
          <w:noProof/>
        </w:rPr>
        <w:t>3</w:t>
      </w:r>
      <w:r w:rsidR="00802EF4">
        <w:rPr>
          <w:noProof/>
        </w:rPr>
        <w:fldChar w:fldCharType="end"/>
      </w:r>
      <w:bookmarkEnd w:id="8"/>
      <w:r w:rsidRPr="008D1DBB">
        <w:rPr>
          <w:noProof/>
        </w:rPr>
        <w:t>: Durchschnittlicher Kraftstoffverbrauch im praktischen Fahrbetrieb und WLTP-Kraftstoffverbrauch, CO</w:t>
      </w:r>
      <w:r w:rsidRPr="008D1DBB">
        <w:rPr>
          <w:noProof/>
          <w:vertAlign w:val="subscript"/>
        </w:rPr>
        <w:t>2</w:t>
      </w:r>
      <w:r w:rsidRPr="008D1DBB">
        <w:rPr>
          <w:noProof/>
        </w:rPr>
        <w:t>-Emissionen und Differenz zwischen tatsächlichen Werten und WLTP-Werten (Personenkraftwagen)</w:t>
      </w:r>
    </w:p>
    <w:tbl>
      <w:tblPr>
        <w:tblStyle w:val="PlainTable1"/>
        <w:tblW w:w="0" w:type="auto"/>
        <w:tblLayout w:type="fixed"/>
        <w:tblLook w:val="04A0" w:firstRow="1" w:lastRow="0" w:firstColumn="1" w:lastColumn="0" w:noHBand="0" w:noVBand="1"/>
      </w:tblPr>
      <w:tblGrid>
        <w:gridCol w:w="2689"/>
        <w:gridCol w:w="850"/>
        <w:gridCol w:w="910"/>
        <w:gridCol w:w="791"/>
        <w:gridCol w:w="872"/>
        <w:gridCol w:w="980"/>
        <w:gridCol w:w="1516"/>
      </w:tblGrid>
      <w:tr w:rsidR="00B82027" w:rsidRPr="008D1DBB" w14:paraId="3A8CAE9F" w14:textId="77777777" w:rsidTr="00B82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right w:val="single" w:sz="4" w:space="0" w:color="auto"/>
            </w:tcBorders>
          </w:tcPr>
          <w:p w14:paraId="376C9719" w14:textId="77777777" w:rsidR="000252F9" w:rsidRPr="008D1DBB" w:rsidRDefault="000252F9">
            <w:pPr>
              <w:pStyle w:val="TableText"/>
              <w:rPr>
                <w:noProof/>
              </w:rPr>
            </w:pPr>
          </w:p>
        </w:tc>
        <w:tc>
          <w:tcPr>
            <w:tcW w:w="1760" w:type="dxa"/>
            <w:gridSpan w:val="2"/>
            <w:tcBorders>
              <w:top w:val="single" w:sz="4" w:space="0" w:color="auto"/>
              <w:left w:val="single" w:sz="4" w:space="0" w:color="auto"/>
              <w:right w:val="single" w:sz="4" w:space="0" w:color="auto"/>
            </w:tcBorders>
          </w:tcPr>
          <w:p w14:paraId="5BED799D" w14:textId="2C603A2D" w:rsidR="000252F9" w:rsidRPr="008D1DBB" w:rsidRDefault="000252F9" w:rsidP="0028607B">
            <w:pPr>
              <w:pStyle w:val="TableText"/>
              <w:jc w:val="center"/>
              <w:cnfStyle w:val="100000000000" w:firstRow="1" w:lastRow="0" w:firstColumn="0" w:lastColumn="0" w:oddVBand="0" w:evenVBand="0" w:oddHBand="0" w:evenHBand="0" w:firstRowFirstColumn="0" w:firstRowLastColumn="0" w:lastRowFirstColumn="0" w:lastRowLastColumn="0"/>
              <w:rPr>
                <w:noProof/>
              </w:rPr>
            </w:pPr>
            <w:r w:rsidRPr="008D1DBB">
              <w:rPr>
                <w:noProof/>
              </w:rPr>
              <w:t>Durchschnitt</w:t>
            </w:r>
            <w:r w:rsidR="00241905" w:rsidRPr="008D1DBB">
              <w:rPr>
                <w:noProof/>
              </w:rPr>
              <w:softHyphen/>
            </w:r>
            <w:r w:rsidRPr="008D1DBB">
              <w:rPr>
                <w:noProof/>
              </w:rPr>
              <w:t>licher Kraftstoff</w:t>
            </w:r>
            <w:r w:rsidR="00241905" w:rsidRPr="008D1DBB">
              <w:rPr>
                <w:noProof/>
              </w:rPr>
              <w:softHyphen/>
            </w:r>
            <w:r w:rsidRPr="008D1DBB">
              <w:rPr>
                <w:noProof/>
              </w:rPr>
              <w:t>verbrauch</w:t>
            </w:r>
            <w:r w:rsidRPr="008D1DBB">
              <w:rPr>
                <w:noProof/>
              </w:rPr>
              <w:br/>
              <w:t>(l/100 km)</w:t>
            </w:r>
          </w:p>
        </w:tc>
        <w:tc>
          <w:tcPr>
            <w:tcW w:w="1663" w:type="dxa"/>
            <w:gridSpan w:val="2"/>
            <w:tcBorders>
              <w:top w:val="single" w:sz="4" w:space="0" w:color="auto"/>
              <w:left w:val="single" w:sz="4" w:space="0" w:color="auto"/>
              <w:right w:val="single" w:sz="4" w:space="0" w:color="auto"/>
            </w:tcBorders>
          </w:tcPr>
          <w:p w14:paraId="405F6C94" w14:textId="70A8A525" w:rsidR="000252F9" w:rsidRPr="008D1DBB" w:rsidRDefault="000252F9" w:rsidP="0028607B">
            <w:pPr>
              <w:pStyle w:val="TableText"/>
              <w:jc w:val="center"/>
              <w:cnfStyle w:val="100000000000" w:firstRow="1" w:lastRow="0" w:firstColumn="0" w:lastColumn="0" w:oddVBand="0" w:evenVBand="0" w:oddHBand="0" w:evenHBand="0" w:firstRowFirstColumn="0" w:firstRowLastColumn="0" w:lastRowFirstColumn="0" w:lastRowLastColumn="0"/>
              <w:rPr>
                <w:noProof/>
              </w:rPr>
            </w:pPr>
            <w:r w:rsidRPr="008D1DBB">
              <w:rPr>
                <w:noProof/>
              </w:rPr>
              <w:t>Durchschnitt</w:t>
            </w:r>
            <w:r w:rsidR="00241905" w:rsidRPr="008D1DBB">
              <w:rPr>
                <w:noProof/>
              </w:rPr>
              <w:softHyphen/>
            </w:r>
            <w:r w:rsidRPr="008D1DBB">
              <w:rPr>
                <w:noProof/>
              </w:rPr>
              <w:t>liche CO</w:t>
            </w:r>
            <w:r w:rsidRPr="008D1DBB">
              <w:rPr>
                <w:noProof/>
                <w:vertAlign w:val="subscript"/>
              </w:rPr>
              <w:t>2</w:t>
            </w:r>
            <w:r w:rsidRPr="008D1DBB">
              <w:rPr>
                <w:noProof/>
              </w:rPr>
              <w:t>-Emissionen (g/km)</w:t>
            </w:r>
          </w:p>
        </w:tc>
        <w:tc>
          <w:tcPr>
            <w:tcW w:w="2496" w:type="dxa"/>
            <w:gridSpan w:val="2"/>
            <w:tcBorders>
              <w:top w:val="single" w:sz="4" w:space="0" w:color="auto"/>
              <w:left w:val="single" w:sz="4" w:space="0" w:color="auto"/>
              <w:right w:val="single" w:sz="4" w:space="0" w:color="auto"/>
            </w:tcBorders>
          </w:tcPr>
          <w:p w14:paraId="27D53CDD" w14:textId="15558C0E" w:rsidR="000252F9" w:rsidRPr="008D1DBB" w:rsidRDefault="000252F9" w:rsidP="0028607B">
            <w:pPr>
              <w:pStyle w:val="TableText"/>
              <w:jc w:val="center"/>
              <w:cnfStyle w:val="100000000000" w:firstRow="1" w:lastRow="0" w:firstColumn="0" w:lastColumn="0" w:oddVBand="0" w:evenVBand="0" w:oddHBand="0" w:evenHBand="0" w:firstRowFirstColumn="0" w:firstRowLastColumn="0" w:lastRowFirstColumn="0" w:lastRowLastColumn="0"/>
              <w:rPr>
                <w:noProof/>
              </w:rPr>
            </w:pPr>
            <w:r w:rsidRPr="008D1DBB">
              <w:rPr>
                <w:noProof/>
              </w:rPr>
              <w:t>Differenz (%)</w:t>
            </w:r>
            <w:r w:rsidRPr="008D1DBB">
              <w:rPr>
                <w:rStyle w:val="FootnoteReference"/>
                <w:noProof/>
              </w:rPr>
              <w:footnoteReference w:id="14"/>
            </w:r>
          </w:p>
        </w:tc>
      </w:tr>
      <w:tr w:rsidR="00056DB6" w:rsidRPr="008D1DBB" w14:paraId="45077C93" w14:textId="77777777" w:rsidTr="00B82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12" w:space="0" w:color="auto"/>
              <w:right w:val="single" w:sz="4" w:space="0" w:color="auto"/>
            </w:tcBorders>
          </w:tcPr>
          <w:p w14:paraId="4213D66A" w14:textId="10D46738" w:rsidR="000252F9" w:rsidRPr="008D1DBB" w:rsidRDefault="00F32E89">
            <w:pPr>
              <w:pStyle w:val="TableText"/>
              <w:rPr>
                <w:noProof/>
              </w:rPr>
            </w:pPr>
            <w:r w:rsidRPr="008D1DBB">
              <w:rPr>
                <w:noProof/>
              </w:rPr>
              <w:t>Antriebsstrang/</w:t>
            </w:r>
            <w:r w:rsidR="00241905" w:rsidRPr="008D1DBB">
              <w:rPr>
                <w:noProof/>
              </w:rPr>
              <w:t xml:space="preserve"> </w:t>
            </w:r>
            <w:r w:rsidRPr="008D1DBB">
              <w:rPr>
                <w:noProof/>
              </w:rPr>
              <w:t>Kraftstofftyp</w:t>
            </w:r>
          </w:p>
        </w:tc>
        <w:tc>
          <w:tcPr>
            <w:tcW w:w="850" w:type="dxa"/>
            <w:tcBorders>
              <w:left w:val="single" w:sz="4" w:space="0" w:color="auto"/>
              <w:bottom w:val="single" w:sz="12" w:space="0" w:color="auto"/>
            </w:tcBorders>
          </w:tcPr>
          <w:p w14:paraId="0E157362" w14:textId="7223CE90"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color w:val="000000" w:themeColor="text1"/>
              </w:rPr>
              <w:t>Fahr</w:t>
            </w:r>
            <w:r w:rsidR="00241905" w:rsidRPr="008D1DBB">
              <w:rPr>
                <w:noProof/>
                <w:color w:val="000000" w:themeColor="text1"/>
              </w:rPr>
              <w:softHyphen/>
            </w:r>
            <w:r w:rsidRPr="008D1DBB">
              <w:rPr>
                <w:noProof/>
                <w:color w:val="000000" w:themeColor="text1"/>
              </w:rPr>
              <w:t>be</w:t>
            </w:r>
            <w:r w:rsidR="00241905" w:rsidRPr="008D1DBB">
              <w:rPr>
                <w:noProof/>
                <w:color w:val="000000" w:themeColor="text1"/>
              </w:rPr>
              <w:softHyphen/>
            </w:r>
            <w:r w:rsidRPr="008D1DBB">
              <w:rPr>
                <w:noProof/>
                <w:color w:val="000000" w:themeColor="text1"/>
              </w:rPr>
              <w:t>trieb</w:t>
            </w:r>
          </w:p>
        </w:tc>
        <w:tc>
          <w:tcPr>
            <w:tcW w:w="910" w:type="dxa"/>
            <w:tcBorders>
              <w:bottom w:val="single" w:sz="12" w:space="0" w:color="auto"/>
              <w:right w:val="single" w:sz="4" w:space="0" w:color="auto"/>
            </w:tcBorders>
          </w:tcPr>
          <w:p w14:paraId="67F82607" w14:textId="77777777"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color w:val="000000" w:themeColor="text1"/>
              </w:rPr>
              <w:t>WLTP</w:t>
            </w:r>
          </w:p>
        </w:tc>
        <w:tc>
          <w:tcPr>
            <w:tcW w:w="791" w:type="dxa"/>
            <w:tcBorders>
              <w:left w:val="single" w:sz="4" w:space="0" w:color="auto"/>
              <w:bottom w:val="single" w:sz="12" w:space="0" w:color="auto"/>
            </w:tcBorders>
          </w:tcPr>
          <w:p w14:paraId="35D7D9EC" w14:textId="56B02926"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color w:val="000000" w:themeColor="text1"/>
              </w:rPr>
              <w:t>Fahr</w:t>
            </w:r>
            <w:r w:rsidR="00241905" w:rsidRPr="008D1DBB">
              <w:rPr>
                <w:noProof/>
                <w:color w:val="000000" w:themeColor="text1"/>
              </w:rPr>
              <w:softHyphen/>
            </w:r>
            <w:r w:rsidRPr="008D1DBB">
              <w:rPr>
                <w:noProof/>
                <w:color w:val="000000" w:themeColor="text1"/>
              </w:rPr>
              <w:t>be</w:t>
            </w:r>
            <w:r w:rsidR="00241905" w:rsidRPr="008D1DBB">
              <w:rPr>
                <w:noProof/>
                <w:color w:val="000000" w:themeColor="text1"/>
              </w:rPr>
              <w:softHyphen/>
            </w:r>
            <w:r w:rsidRPr="008D1DBB">
              <w:rPr>
                <w:noProof/>
                <w:color w:val="000000" w:themeColor="text1"/>
              </w:rPr>
              <w:t>trieb</w:t>
            </w:r>
          </w:p>
        </w:tc>
        <w:tc>
          <w:tcPr>
            <w:tcW w:w="872" w:type="dxa"/>
            <w:tcBorders>
              <w:bottom w:val="single" w:sz="12" w:space="0" w:color="auto"/>
              <w:right w:val="single" w:sz="4" w:space="0" w:color="auto"/>
            </w:tcBorders>
          </w:tcPr>
          <w:p w14:paraId="34D0047B" w14:textId="5B5DE928"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color w:val="000000" w:themeColor="text1"/>
              </w:rPr>
              <w:t>WLTP</w:t>
            </w:r>
          </w:p>
        </w:tc>
        <w:tc>
          <w:tcPr>
            <w:tcW w:w="980" w:type="dxa"/>
            <w:tcBorders>
              <w:left w:val="single" w:sz="4" w:space="0" w:color="auto"/>
              <w:bottom w:val="single" w:sz="12" w:space="0" w:color="auto"/>
            </w:tcBorders>
          </w:tcPr>
          <w:p w14:paraId="2B48C30B" w14:textId="3F277DC2"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color w:val="000000" w:themeColor="text1"/>
              </w:rPr>
              <w:t>Durch</w:t>
            </w:r>
            <w:r w:rsidR="00241905" w:rsidRPr="008D1DBB">
              <w:rPr>
                <w:noProof/>
                <w:color w:val="000000" w:themeColor="text1"/>
              </w:rPr>
              <w:softHyphen/>
            </w:r>
            <w:r w:rsidRPr="008D1DBB">
              <w:rPr>
                <w:noProof/>
                <w:color w:val="000000" w:themeColor="text1"/>
              </w:rPr>
              <w:t>schnitt</w:t>
            </w:r>
          </w:p>
        </w:tc>
        <w:tc>
          <w:tcPr>
            <w:tcW w:w="1516" w:type="dxa"/>
            <w:tcBorders>
              <w:bottom w:val="single" w:sz="12" w:space="0" w:color="auto"/>
              <w:right w:val="single" w:sz="4" w:space="0" w:color="auto"/>
            </w:tcBorders>
          </w:tcPr>
          <w:p w14:paraId="216F471A" w14:textId="3033324B"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color w:val="000000" w:themeColor="text1"/>
              </w:rPr>
              <w:t>km-gewichteter Durchschnitt</w:t>
            </w:r>
          </w:p>
        </w:tc>
      </w:tr>
      <w:tr w:rsidR="00056DB6" w:rsidRPr="008D1DBB" w14:paraId="346F0F55" w14:textId="77777777" w:rsidTr="00B82027">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left w:val="single" w:sz="4" w:space="0" w:color="auto"/>
              <w:bottom w:val="single" w:sz="4" w:space="0" w:color="BFBFBF" w:themeColor="background1" w:themeShade="BF"/>
              <w:right w:val="single" w:sz="4" w:space="0" w:color="auto"/>
            </w:tcBorders>
          </w:tcPr>
          <w:p w14:paraId="4B42DBDC" w14:textId="77777777" w:rsidR="000252F9" w:rsidRPr="008D1DBB" w:rsidRDefault="000252F9">
            <w:pPr>
              <w:pStyle w:val="TableText"/>
              <w:rPr>
                <w:noProof/>
              </w:rPr>
            </w:pPr>
            <w:r w:rsidRPr="008D1DBB">
              <w:rPr>
                <w:noProof/>
              </w:rPr>
              <w:t>Benzin</w:t>
            </w:r>
          </w:p>
        </w:tc>
        <w:tc>
          <w:tcPr>
            <w:tcW w:w="850" w:type="dxa"/>
            <w:tcBorders>
              <w:top w:val="single" w:sz="12" w:space="0" w:color="auto"/>
              <w:left w:val="single" w:sz="4" w:space="0" w:color="auto"/>
              <w:bottom w:val="single" w:sz="4" w:space="0" w:color="BFBFBF" w:themeColor="background1" w:themeShade="BF"/>
            </w:tcBorders>
          </w:tcPr>
          <w:p w14:paraId="5EF95333" w14:textId="77777777"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7,89</w:t>
            </w:r>
          </w:p>
        </w:tc>
        <w:tc>
          <w:tcPr>
            <w:tcW w:w="910" w:type="dxa"/>
            <w:tcBorders>
              <w:top w:val="single" w:sz="12" w:space="0" w:color="auto"/>
              <w:bottom w:val="single" w:sz="4" w:space="0" w:color="BFBFBF" w:themeColor="background1" w:themeShade="BF"/>
              <w:right w:val="single" w:sz="4" w:space="0" w:color="auto"/>
            </w:tcBorders>
          </w:tcPr>
          <w:p w14:paraId="1DF9A1EC" w14:textId="2AD6A89A"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6,38</w:t>
            </w:r>
          </w:p>
        </w:tc>
        <w:tc>
          <w:tcPr>
            <w:tcW w:w="791" w:type="dxa"/>
            <w:tcBorders>
              <w:top w:val="single" w:sz="12" w:space="0" w:color="auto"/>
              <w:left w:val="single" w:sz="4" w:space="0" w:color="auto"/>
              <w:bottom w:val="single" w:sz="4" w:space="0" w:color="BFBFBF" w:themeColor="background1" w:themeShade="BF"/>
            </w:tcBorders>
          </w:tcPr>
          <w:p w14:paraId="0CC59EC6" w14:textId="5D4B69A9"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179,8</w:t>
            </w:r>
          </w:p>
        </w:tc>
        <w:tc>
          <w:tcPr>
            <w:tcW w:w="872" w:type="dxa"/>
            <w:tcBorders>
              <w:top w:val="single" w:sz="12" w:space="0" w:color="auto"/>
              <w:bottom w:val="single" w:sz="4" w:space="0" w:color="BFBFBF" w:themeColor="background1" w:themeShade="BF"/>
              <w:right w:val="single" w:sz="4" w:space="0" w:color="auto"/>
            </w:tcBorders>
          </w:tcPr>
          <w:p w14:paraId="1468C2B6" w14:textId="77777777"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145,3</w:t>
            </w:r>
          </w:p>
        </w:tc>
        <w:tc>
          <w:tcPr>
            <w:tcW w:w="980" w:type="dxa"/>
            <w:tcBorders>
              <w:top w:val="single" w:sz="12" w:space="0" w:color="auto"/>
              <w:left w:val="single" w:sz="4" w:space="0" w:color="auto"/>
              <w:bottom w:val="single" w:sz="4" w:space="0" w:color="BFBFBF" w:themeColor="background1" w:themeShade="BF"/>
            </w:tcBorders>
          </w:tcPr>
          <w:p w14:paraId="12027D1D" w14:textId="31D2D590"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23,7</w:t>
            </w:r>
          </w:p>
        </w:tc>
        <w:tc>
          <w:tcPr>
            <w:tcW w:w="1516" w:type="dxa"/>
            <w:tcBorders>
              <w:top w:val="single" w:sz="12" w:space="0" w:color="auto"/>
              <w:bottom w:val="single" w:sz="4" w:space="0" w:color="BFBFBF" w:themeColor="background1" w:themeShade="BF"/>
              <w:right w:val="single" w:sz="4" w:space="0" w:color="auto"/>
            </w:tcBorders>
          </w:tcPr>
          <w:p w14:paraId="04866F78" w14:textId="71D27142"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20,4</w:t>
            </w:r>
          </w:p>
        </w:tc>
      </w:tr>
      <w:tr w:rsidR="00056DB6" w:rsidRPr="008D1DBB" w14:paraId="501CE3B4" w14:textId="77777777" w:rsidTr="00B82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right w:val="single" w:sz="4" w:space="0" w:color="auto"/>
            </w:tcBorders>
          </w:tcPr>
          <w:p w14:paraId="23AC0753" w14:textId="77777777" w:rsidR="000252F9" w:rsidRPr="008D1DBB" w:rsidRDefault="000252F9">
            <w:pPr>
              <w:pStyle w:val="TableText"/>
              <w:rPr>
                <w:noProof/>
              </w:rPr>
            </w:pPr>
            <w:r w:rsidRPr="008D1DBB">
              <w:rPr>
                <w:noProof/>
              </w:rPr>
              <w:t>Diesel</w:t>
            </w:r>
          </w:p>
        </w:tc>
        <w:tc>
          <w:tcPr>
            <w:tcW w:w="850" w:type="dxa"/>
            <w:tcBorders>
              <w:left w:val="single" w:sz="4" w:space="0" w:color="auto"/>
              <w:bottom w:val="single" w:sz="4" w:space="0" w:color="auto"/>
            </w:tcBorders>
          </w:tcPr>
          <w:p w14:paraId="19A1ADA8" w14:textId="77777777"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6,88</w:t>
            </w:r>
          </w:p>
        </w:tc>
        <w:tc>
          <w:tcPr>
            <w:tcW w:w="910" w:type="dxa"/>
            <w:tcBorders>
              <w:bottom w:val="single" w:sz="4" w:space="0" w:color="auto"/>
              <w:right w:val="single" w:sz="4" w:space="0" w:color="auto"/>
            </w:tcBorders>
          </w:tcPr>
          <w:p w14:paraId="6A8FC9D7" w14:textId="77777777"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5,82</w:t>
            </w:r>
          </w:p>
        </w:tc>
        <w:tc>
          <w:tcPr>
            <w:tcW w:w="791" w:type="dxa"/>
            <w:tcBorders>
              <w:left w:val="single" w:sz="4" w:space="0" w:color="auto"/>
              <w:bottom w:val="single" w:sz="4" w:space="0" w:color="auto"/>
            </w:tcBorders>
          </w:tcPr>
          <w:p w14:paraId="293F25B5" w14:textId="364767C1"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181,0</w:t>
            </w:r>
          </w:p>
        </w:tc>
        <w:tc>
          <w:tcPr>
            <w:tcW w:w="872" w:type="dxa"/>
            <w:tcBorders>
              <w:bottom w:val="single" w:sz="4" w:space="0" w:color="auto"/>
              <w:right w:val="single" w:sz="4" w:space="0" w:color="auto"/>
            </w:tcBorders>
          </w:tcPr>
          <w:p w14:paraId="76965A1B" w14:textId="77777777"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153,2</w:t>
            </w:r>
          </w:p>
        </w:tc>
        <w:tc>
          <w:tcPr>
            <w:tcW w:w="980" w:type="dxa"/>
            <w:tcBorders>
              <w:left w:val="single" w:sz="4" w:space="0" w:color="auto"/>
              <w:bottom w:val="single" w:sz="4" w:space="0" w:color="auto"/>
            </w:tcBorders>
          </w:tcPr>
          <w:p w14:paraId="010BB759" w14:textId="77777777"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18,1</w:t>
            </w:r>
          </w:p>
        </w:tc>
        <w:tc>
          <w:tcPr>
            <w:tcW w:w="1516" w:type="dxa"/>
            <w:tcBorders>
              <w:bottom w:val="single" w:sz="4" w:space="0" w:color="auto"/>
              <w:right w:val="single" w:sz="4" w:space="0" w:color="auto"/>
            </w:tcBorders>
          </w:tcPr>
          <w:p w14:paraId="3985766C" w14:textId="77777777"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16,7</w:t>
            </w:r>
          </w:p>
        </w:tc>
      </w:tr>
      <w:tr w:rsidR="00056DB6" w:rsidRPr="008D1DBB" w14:paraId="38DC2DFB" w14:textId="77777777" w:rsidTr="00B82027">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12" w:space="0" w:color="auto"/>
              <w:right w:val="single" w:sz="4" w:space="0" w:color="auto"/>
            </w:tcBorders>
            <w:vAlign w:val="bottom"/>
          </w:tcPr>
          <w:p w14:paraId="7F5846DB" w14:textId="77777777" w:rsidR="000252F9" w:rsidRPr="008D1DBB" w:rsidRDefault="000252F9" w:rsidP="004F6B8C">
            <w:pPr>
              <w:pStyle w:val="TableText"/>
              <w:rPr>
                <w:noProof/>
              </w:rPr>
            </w:pPr>
            <w:r w:rsidRPr="008D1DBB">
              <w:rPr>
                <w:noProof/>
              </w:rPr>
              <w:t>Benzin + Diesel</w:t>
            </w:r>
          </w:p>
        </w:tc>
        <w:tc>
          <w:tcPr>
            <w:tcW w:w="850" w:type="dxa"/>
            <w:tcBorders>
              <w:top w:val="single" w:sz="4" w:space="0" w:color="auto"/>
              <w:left w:val="single" w:sz="4" w:space="0" w:color="auto"/>
              <w:bottom w:val="single" w:sz="12" w:space="0" w:color="auto"/>
            </w:tcBorders>
          </w:tcPr>
          <w:p w14:paraId="78A330EC" w14:textId="25FC0B5E"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7,44</w:t>
            </w:r>
          </w:p>
        </w:tc>
        <w:tc>
          <w:tcPr>
            <w:tcW w:w="910" w:type="dxa"/>
            <w:tcBorders>
              <w:top w:val="single" w:sz="4" w:space="0" w:color="auto"/>
              <w:bottom w:val="single" w:sz="12" w:space="0" w:color="auto"/>
              <w:right w:val="single" w:sz="4" w:space="0" w:color="auto"/>
            </w:tcBorders>
          </w:tcPr>
          <w:p w14:paraId="2798C732" w14:textId="0DECEBC5"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6,13</w:t>
            </w:r>
          </w:p>
        </w:tc>
        <w:tc>
          <w:tcPr>
            <w:tcW w:w="791" w:type="dxa"/>
            <w:tcBorders>
              <w:top w:val="single" w:sz="4" w:space="0" w:color="auto"/>
              <w:left w:val="single" w:sz="4" w:space="0" w:color="auto"/>
              <w:bottom w:val="single" w:sz="12" w:space="0" w:color="auto"/>
            </w:tcBorders>
          </w:tcPr>
          <w:p w14:paraId="2B1E8D93" w14:textId="60798543"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180,3</w:t>
            </w:r>
          </w:p>
        </w:tc>
        <w:tc>
          <w:tcPr>
            <w:tcW w:w="872" w:type="dxa"/>
            <w:tcBorders>
              <w:top w:val="single" w:sz="4" w:space="0" w:color="auto"/>
              <w:bottom w:val="single" w:sz="12" w:space="0" w:color="auto"/>
              <w:right w:val="single" w:sz="4" w:space="0" w:color="auto"/>
            </w:tcBorders>
          </w:tcPr>
          <w:p w14:paraId="4E2A1406" w14:textId="77777777"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148,8</w:t>
            </w:r>
          </w:p>
        </w:tc>
        <w:tc>
          <w:tcPr>
            <w:tcW w:w="980" w:type="dxa"/>
            <w:tcBorders>
              <w:top w:val="single" w:sz="4" w:space="0" w:color="auto"/>
              <w:left w:val="single" w:sz="4" w:space="0" w:color="auto"/>
              <w:bottom w:val="single" w:sz="12" w:space="0" w:color="auto"/>
            </w:tcBorders>
          </w:tcPr>
          <w:p w14:paraId="3F4EF8EE" w14:textId="1FE1646A"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21,2</w:t>
            </w:r>
          </w:p>
        </w:tc>
        <w:tc>
          <w:tcPr>
            <w:tcW w:w="1516" w:type="dxa"/>
            <w:tcBorders>
              <w:top w:val="single" w:sz="4" w:space="0" w:color="auto"/>
              <w:bottom w:val="single" w:sz="12" w:space="0" w:color="auto"/>
              <w:right w:val="single" w:sz="4" w:space="0" w:color="auto"/>
            </w:tcBorders>
          </w:tcPr>
          <w:p w14:paraId="53B098A1" w14:textId="0F3C42DC"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18,1</w:t>
            </w:r>
          </w:p>
        </w:tc>
      </w:tr>
      <w:tr w:rsidR="00056DB6" w:rsidRPr="008D1DBB" w14:paraId="57D1E7C6" w14:textId="77777777" w:rsidTr="00B82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left w:val="single" w:sz="4" w:space="0" w:color="auto"/>
              <w:bottom w:val="single" w:sz="4" w:space="0" w:color="BFBFBF" w:themeColor="background1" w:themeShade="BF"/>
              <w:right w:val="single" w:sz="4" w:space="0" w:color="auto"/>
            </w:tcBorders>
          </w:tcPr>
          <w:p w14:paraId="71DCD9B0" w14:textId="77777777" w:rsidR="000252F9" w:rsidRPr="008D1DBB" w:rsidRDefault="000252F9">
            <w:pPr>
              <w:pStyle w:val="TableText"/>
              <w:rPr>
                <w:noProof/>
              </w:rPr>
            </w:pPr>
            <w:r w:rsidRPr="008D1DBB">
              <w:rPr>
                <w:noProof/>
              </w:rPr>
              <w:t>Plug-in-Hybrid (Benzin)</w:t>
            </w:r>
          </w:p>
        </w:tc>
        <w:tc>
          <w:tcPr>
            <w:tcW w:w="850" w:type="dxa"/>
            <w:tcBorders>
              <w:top w:val="single" w:sz="12" w:space="0" w:color="auto"/>
              <w:left w:val="single" w:sz="4" w:space="0" w:color="auto"/>
              <w:bottom w:val="single" w:sz="4" w:space="0" w:color="BFBFBF" w:themeColor="background1" w:themeShade="BF"/>
            </w:tcBorders>
          </w:tcPr>
          <w:p w14:paraId="4098172B" w14:textId="77777777"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5,97</w:t>
            </w:r>
          </w:p>
        </w:tc>
        <w:tc>
          <w:tcPr>
            <w:tcW w:w="910" w:type="dxa"/>
            <w:tcBorders>
              <w:top w:val="single" w:sz="12" w:space="0" w:color="auto"/>
              <w:bottom w:val="single" w:sz="4" w:space="0" w:color="BFBFBF" w:themeColor="background1" w:themeShade="BF"/>
              <w:right w:val="single" w:sz="4" w:space="0" w:color="auto"/>
            </w:tcBorders>
          </w:tcPr>
          <w:p w14:paraId="25BDAB8F" w14:textId="77777777"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1,76</w:t>
            </w:r>
          </w:p>
        </w:tc>
        <w:tc>
          <w:tcPr>
            <w:tcW w:w="791" w:type="dxa"/>
            <w:tcBorders>
              <w:top w:val="single" w:sz="12" w:space="0" w:color="auto"/>
              <w:left w:val="single" w:sz="4" w:space="0" w:color="auto"/>
              <w:bottom w:val="single" w:sz="4" w:space="0" w:color="BFBFBF" w:themeColor="background1" w:themeShade="BF"/>
            </w:tcBorders>
          </w:tcPr>
          <w:p w14:paraId="786B45BE" w14:textId="7F557CBD"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135,9</w:t>
            </w:r>
          </w:p>
        </w:tc>
        <w:tc>
          <w:tcPr>
            <w:tcW w:w="872" w:type="dxa"/>
            <w:tcBorders>
              <w:top w:val="single" w:sz="12" w:space="0" w:color="auto"/>
              <w:bottom w:val="single" w:sz="4" w:space="0" w:color="BFBFBF" w:themeColor="background1" w:themeShade="BF"/>
              <w:right w:val="single" w:sz="4" w:space="0" w:color="auto"/>
            </w:tcBorders>
          </w:tcPr>
          <w:p w14:paraId="465F7E16" w14:textId="78BD043D"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40,2</w:t>
            </w:r>
          </w:p>
        </w:tc>
        <w:tc>
          <w:tcPr>
            <w:tcW w:w="980" w:type="dxa"/>
            <w:tcBorders>
              <w:top w:val="single" w:sz="12" w:space="0" w:color="auto"/>
              <w:left w:val="single" w:sz="4" w:space="0" w:color="auto"/>
              <w:bottom w:val="single" w:sz="4" w:space="0" w:color="BFBFBF" w:themeColor="background1" w:themeShade="BF"/>
            </w:tcBorders>
          </w:tcPr>
          <w:p w14:paraId="5874F9C4" w14:textId="77777777"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238</w:t>
            </w:r>
          </w:p>
        </w:tc>
        <w:tc>
          <w:tcPr>
            <w:tcW w:w="1516" w:type="dxa"/>
            <w:tcBorders>
              <w:top w:val="single" w:sz="12" w:space="0" w:color="auto"/>
              <w:bottom w:val="single" w:sz="4" w:space="0" w:color="BFBFBF" w:themeColor="background1" w:themeShade="BF"/>
              <w:right w:val="single" w:sz="4" w:space="0" w:color="auto"/>
            </w:tcBorders>
          </w:tcPr>
          <w:p w14:paraId="1A9EC400" w14:textId="77777777"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251</w:t>
            </w:r>
          </w:p>
        </w:tc>
      </w:tr>
      <w:tr w:rsidR="00056DB6" w:rsidRPr="008D1DBB" w14:paraId="41C6B320" w14:textId="77777777" w:rsidTr="00B82027">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right w:val="single" w:sz="4" w:space="0" w:color="auto"/>
            </w:tcBorders>
          </w:tcPr>
          <w:p w14:paraId="2AB5847A" w14:textId="77777777" w:rsidR="000252F9" w:rsidRPr="008D1DBB" w:rsidRDefault="000252F9">
            <w:pPr>
              <w:pStyle w:val="TableText"/>
              <w:rPr>
                <w:noProof/>
              </w:rPr>
            </w:pPr>
            <w:r w:rsidRPr="008D1DBB">
              <w:rPr>
                <w:noProof/>
              </w:rPr>
              <w:t>Plug-in-Hybrid (Diesel)</w:t>
            </w:r>
          </w:p>
        </w:tc>
        <w:tc>
          <w:tcPr>
            <w:tcW w:w="850" w:type="dxa"/>
            <w:tcBorders>
              <w:left w:val="single" w:sz="4" w:space="0" w:color="auto"/>
              <w:bottom w:val="single" w:sz="4" w:space="0" w:color="auto"/>
            </w:tcBorders>
          </w:tcPr>
          <w:p w14:paraId="10A8053B" w14:textId="77777777"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5,83</w:t>
            </w:r>
          </w:p>
        </w:tc>
        <w:tc>
          <w:tcPr>
            <w:tcW w:w="910" w:type="dxa"/>
            <w:tcBorders>
              <w:bottom w:val="single" w:sz="4" w:space="0" w:color="auto"/>
              <w:right w:val="single" w:sz="4" w:space="0" w:color="auto"/>
            </w:tcBorders>
          </w:tcPr>
          <w:p w14:paraId="18DD51CC" w14:textId="77777777"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1,41</w:t>
            </w:r>
          </w:p>
        </w:tc>
        <w:tc>
          <w:tcPr>
            <w:tcW w:w="791" w:type="dxa"/>
            <w:tcBorders>
              <w:left w:val="single" w:sz="4" w:space="0" w:color="auto"/>
              <w:bottom w:val="single" w:sz="4" w:space="0" w:color="auto"/>
            </w:tcBorders>
          </w:tcPr>
          <w:p w14:paraId="7D97BCC6" w14:textId="709BBF65"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153,3</w:t>
            </w:r>
          </w:p>
        </w:tc>
        <w:tc>
          <w:tcPr>
            <w:tcW w:w="872" w:type="dxa"/>
            <w:tcBorders>
              <w:bottom w:val="single" w:sz="4" w:space="0" w:color="auto"/>
              <w:right w:val="single" w:sz="4" w:space="0" w:color="auto"/>
            </w:tcBorders>
          </w:tcPr>
          <w:p w14:paraId="4131E493" w14:textId="77777777"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37,2</w:t>
            </w:r>
          </w:p>
        </w:tc>
        <w:tc>
          <w:tcPr>
            <w:tcW w:w="980" w:type="dxa"/>
            <w:tcBorders>
              <w:left w:val="single" w:sz="4" w:space="0" w:color="auto"/>
              <w:bottom w:val="single" w:sz="4" w:space="0" w:color="auto"/>
            </w:tcBorders>
          </w:tcPr>
          <w:p w14:paraId="321AC3EE" w14:textId="77777777"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312</w:t>
            </w:r>
          </w:p>
        </w:tc>
        <w:tc>
          <w:tcPr>
            <w:tcW w:w="1516" w:type="dxa"/>
            <w:tcBorders>
              <w:bottom w:val="single" w:sz="4" w:space="0" w:color="auto"/>
              <w:right w:val="single" w:sz="4" w:space="0" w:color="auto"/>
            </w:tcBorders>
          </w:tcPr>
          <w:p w14:paraId="47DB43D9" w14:textId="77777777" w:rsidR="000252F9" w:rsidRPr="008D1DBB" w:rsidRDefault="000252F9" w:rsidP="0028607B">
            <w:pPr>
              <w:pStyle w:val="TableText"/>
              <w:jc w:val="center"/>
              <w:cnfStyle w:val="000000000000" w:firstRow="0" w:lastRow="0" w:firstColumn="0" w:lastColumn="0" w:oddVBand="0" w:evenVBand="0" w:oddHBand="0" w:evenHBand="0" w:firstRowFirstColumn="0" w:firstRowLastColumn="0" w:lastRowFirstColumn="0" w:lastRowLastColumn="0"/>
              <w:rPr>
                <w:noProof/>
              </w:rPr>
            </w:pPr>
            <w:r w:rsidRPr="008D1DBB">
              <w:rPr>
                <w:noProof/>
              </w:rPr>
              <w:t>318</w:t>
            </w:r>
          </w:p>
        </w:tc>
      </w:tr>
      <w:tr w:rsidR="007E0B8C" w:rsidRPr="008D1DBB" w14:paraId="04C8BAC0" w14:textId="77777777" w:rsidTr="00B82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7ED29D8D" w14:textId="77777777" w:rsidR="000252F9" w:rsidRPr="008D1DBB" w:rsidRDefault="000252F9">
            <w:pPr>
              <w:pStyle w:val="TableText"/>
              <w:rPr>
                <w:noProof/>
              </w:rPr>
            </w:pPr>
            <w:r w:rsidRPr="008D1DBB">
              <w:rPr>
                <w:noProof/>
              </w:rPr>
              <w:t>Plug-in-Hybrid (alle)</w:t>
            </w:r>
          </w:p>
        </w:tc>
        <w:tc>
          <w:tcPr>
            <w:tcW w:w="850" w:type="dxa"/>
            <w:tcBorders>
              <w:top w:val="single" w:sz="4" w:space="0" w:color="auto"/>
              <w:left w:val="single" w:sz="4" w:space="0" w:color="auto"/>
              <w:bottom w:val="single" w:sz="4" w:space="0" w:color="auto"/>
            </w:tcBorders>
          </w:tcPr>
          <w:p w14:paraId="70F31CA3" w14:textId="77777777"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5,94</w:t>
            </w:r>
          </w:p>
        </w:tc>
        <w:tc>
          <w:tcPr>
            <w:tcW w:w="910" w:type="dxa"/>
            <w:tcBorders>
              <w:top w:val="single" w:sz="4" w:space="0" w:color="auto"/>
              <w:bottom w:val="single" w:sz="4" w:space="0" w:color="auto"/>
              <w:right w:val="single" w:sz="4" w:space="0" w:color="auto"/>
            </w:tcBorders>
          </w:tcPr>
          <w:p w14:paraId="399E8124" w14:textId="77777777"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1,69</w:t>
            </w:r>
          </w:p>
        </w:tc>
        <w:tc>
          <w:tcPr>
            <w:tcW w:w="791" w:type="dxa"/>
            <w:tcBorders>
              <w:top w:val="single" w:sz="4" w:space="0" w:color="auto"/>
              <w:left w:val="single" w:sz="4" w:space="0" w:color="auto"/>
              <w:bottom w:val="single" w:sz="4" w:space="0" w:color="auto"/>
            </w:tcBorders>
          </w:tcPr>
          <w:p w14:paraId="10CD1986" w14:textId="26E6893C"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139,4</w:t>
            </w:r>
          </w:p>
        </w:tc>
        <w:tc>
          <w:tcPr>
            <w:tcW w:w="872" w:type="dxa"/>
            <w:tcBorders>
              <w:top w:val="single" w:sz="4" w:space="0" w:color="auto"/>
              <w:bottom w:val="single" w:sz="4" w:space="0" w:color="auto"/>
              <w:right w:val="single" w:sz="4" w:space="0" w:color="auto"/>
            </w:tcBorders>
          </w:tcPr>
          <w:p w14:paraId="2758DC2F" w14:textId="77777777"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39,6</w:t>
            </w:r>
          </w:p>
        </w:tc>
        <w:tc>
          <w:tcPr>
            <w:tcW w:w="980" w:type="dxa"/>
            <w:tcBorders>
              <w:top w:val="single" w:sz="4" w:space="0" w:color="auto"/>
              <w:left w:val="single" w:sz="4" w:space="0" w:color="auto"/>
              <w:bottom w:val="single" w:sz="4" w:space="0" w:color="auto"/>
            </w:tcBorders>
          </w:tcPr>
          <w:p w14:paraId="1703BAE3" w14:textId="77777777"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252</w:t>
            </w:r>
          </w:p>
        </w:tc>
        <w:tc>
          <w:tcPr>
            <w:tcW w:w="1516" w:type="dxa"/>
            <w:tcBorders>
              <w:top w:val="single" w:sz="4" w:space="0" w:color="auto"/>
              <w:bottom w:val="single" w:sz="4" w:space="0" w:color="auto"/>
              <w:right w:val="single" w:sz="4" w:space="0" w:color="auto"/>
            </w:tcBorders>
          </w:tcPr>
          <w:p w14:paraId="052558B5" w14:textId="752B9AFC" w:rsidR="000252F9" w:rsidRPr="008D1DBB" w:rsidRDefault="000252F9" w:rsidP="0028607B">
            <w:pPr>
              <w:pStyle w:val="TableText"/>
              <w:jc w:val="center"/>
              <w:cnfStyle w:val="000000100000" w:firstRow="0" w:lastRow="0" w:firstColumn="0" w:lastColumn="0" w:oddVBand="0" w:evenVBand="0" w:oddHBand="1" w:evenHBand="0" w:firstRowFirstColumn="0" w:firstRowLastColumn="0" w:lastRowFirstColumn="0" w:lastRowLastColumn="0"/>
              <w:rPr>
                <w:noProof/>
              </w:rPr>
            </w:pPr>
            <w:r w:rsidRPr="008D1DBB">
              <w:rPr>
                <w:noProof/>
              </w:rPr>
              <w:t>267</w:t>
            </w:r>
          </w:p>
        </w:tc>
      </w:tr>
    </w:tbl>
    <w:p w14:paraId="14C8A907" w14:textId="77777777" w:rsidR="0073336F" w:rsidRPr="008D1DBB" w:rsidRDefault="0073336F" w:rsidP="0073336F">
      <w:pPr>
        <w:rPr>
          <w:b/>
          <w:noProof/>
        </w:rPr>
      </w:pPr>
    </w:p>
    <w:p w14:paraId="6131D077" w14:textId="48F2E2A7" w:rsidR="0073336F" w:rsidRPr="008D1DBB" w:rsidRDefault="0073336F" w:rsidP="00215622">
      <w:pPr>
        <w:keepLines/>
        <w:rPr>
          <w:noProof/>
        </w:rPr>
      </w:pPr>
      <w:r w:rsidRPr="008D1DBB">
        <w:rPr>
          <w:b/>
          <w:bCs/>
          <w:noProof/>
        </w:rPr>
        <w:t>Im ersten Jahr der Nutzung betrug die durchschnittliche Differenz zwischen Laborwerten und tatsächlichen Emissionen bei Neufahrzeugen, die 2021 zugelassen wurden, 23,7 % (34,6 g CO</w:t>
      </w:r>
      <w:r w:rsidRPr="008D1DBB">
        <w:rPr>
          <w:b/>
          <w:bCs/>
          <w:noProof/>
          <w:vertAlign w:val="subscript"/>
        </w:rPr>
        <w:t>2</w:t>
      </w:r>
      <w:r w:rsidRPr="008D1DBB">
        <w:rPr>
          <w:b/>
          <w:bCs/>
          <w:noProof/>
        </w:rPr>
        <w:t>/km) bei benzinbetriebenen Personenkraftwagen und 18,1 % (27,8 g CO</w:t>
      </w:r>
      <w:r w:rsidRPr="008D1DBB">
        <w:rPr>
          <w:b/>
          <w:bCs/>
          <w:noProof/>
          <w:vertAlign w:val="subscript"/>
        </w:rPr>
        <w:t>2</w:t>
      </w:r>
      <w:r w:rsidRPr="008D1DBB">
        <w:rPr>
          <w:b/>
          <w:bCs/>
          <w:noProof/>
        </w:rPr>
        <w:t>/km) bei dieselbetriebenen Personenkraftwagen</w:t>
      </w:r>
      <w:r w:rsidRPr="008D1DBB">
        <w:rPr>
          <w:noProof/>
        </w:rPr>
        <w:t>, was einer durchschnittlichen Differenz von insgesamt 21,2 % (31,6 g CO</w:t>
      </w:r>
      <w:r w:rsidRPr="008D1DBB">
        <w:rPr>
          <w:noProof/>
          <w:vertAlign w:val="subscript"/>
        </w:rPr>
        <w:t>2</w:t>
      </w:r>
      <w:r w:rsidRPr="008D1DBB">
        <w:rPr>
          <w:noProof/>
        </w:rPr>
        <w:t>/km) entspricht. Die kilometergewichteten durchschnittlichen Differenzen fallen etwas niedriger aus: 20,4 % (30,4 g CO</w:t>
      </w:r>
      <w:r w:rsidRPr="008D1DBB">
        <w:rPr>
          <w:noProof/>
          <w:vertAlign w:val="subscript"/>
        </w:rPr>
        <w:t>2</w:t>
      </w:r>
      <w:r w:rsidRPr="008D1DBB">
        <w:rPr>
          <w:noProof/>
        </w:rPr>
        <w:t>/km) bei Benzinfahrzeugen und 16,7 % (25,3 g CO</w:t>
      </w:r>
      <w:r w:rsidRPr="008D1DBB">
        <w:rPr>
          <w:noProof/>
          <w:vertAlign w:val="subscript"/>
        </w:rPr>
        <w:t>2</w:t>
      </w:r>
      <w:r w:rsidRPr="008D1DBB">
        <w:rPr>
          <w:noProof/>
        </w:rPr>
        <w:t xml:space="preserve">/km) bei Dieselfahrzeugen. </w:t>
      </w:r>
    </w:p>
    <w:p w14:paraId="553D77F6" w14:textId="5AB1303C" w:rsidR="0073336F" w:rsidRPr="008D1DBB" w:rsidRDefault="00EB1316" w:rsidP="006045E4">
      <w:pPr>
        <w:rPr>
          <w:noProof/>
          <w:color w:val="000000" w:themeColor="text1"/>
        </w:rPr>
      </w:pPr>
      <w:bookmarkStart w:id="9" w:name="_Hlk146289051"/>
      <w:r w:rsidRPr="008D1DBB">
        <w:rPr>
          <w:noProof/>
        </w:rPr>
        <w:t>Diese bei den Zulassungen im Jahr 2021 beobachtete Differenz deutet darauf hin, dass sich die Differenz zwischen den tatsächlichen Emissionen und dem im Labor ermittelten Werten infolge der Umstellung vom alten NEFZ- (neuer europäischer Fahrzyklus) auf das neue WLTP-Prüfverfahren in etwa halbiert hat. Bis zum Jahr 2017 war die Differenz zwischen den tatsächlichen CO</w:t>
      </w:r>
      <w:r w:rsidRPr="008D1DBB">
        <w:rPr>
          <w:noProof/>
          <w:vertAlign w:val="subscript"/>
        </w:rPr>
        <w:t>2</w:t>
      </w:r>
      <w:r w:rsidRPr="008D1DBB">
        <w:rPr>
          <w:noProof/>
        </w:rPr>
        <w:t>-Emissionen und den im Rahmen des NEFZ-Verfahrens gemessenen CO</w:t>
      </w:r>
      <w:r w:rsidRPr="008D1DBB">
        <w:rPr>
          <w:noProof/>
          <w:vertAlign w:val="subscript"/>
        </w:rPr>
        <w:t>2</w:t>
      </w:r>
      <w:r w:rsidRPr="008D1DBB">
        <w:rPr>
          <w:noProof/>
        </w:rPr>
        <w:t>-Emissionen auf rund 40 % angestiegen.</w:t>
      </w:r>
      <w:r w:rsidRPr="008D1DBB">
        <w:rPr>
          <w:rStyle w:val="FootnoteReference"/>
          <w:noProof/>
        </w:rPr>
        <w:footnoteReference w:id="15"/>
      </w:r>
      <w:r w:rsidRPr="008D1DBB">
        <w:rPr>
          <w:noProof/>
        </w:rPr>
        <w:t xml:space="preserve"> Diese zunehmende Differenz war der Anlass für den Wechsel vom NEFZ- zum WLTP-Verfahren und für die Anforderung, Fahrzeuge mit OBFCM-Einrichtungen auszustatten.</w:t>
      </w:r>
      <w:r w:rsidRPr="008D1DBB">
        <w:rPr>
          <w:noProof/>
          <w:color w:val="000000" w:themeColor="text1"/>
        </w:rPr>
        <w:t xml:space="preserve"> </w:t>
      </w:r>
    </w:p>
    <w:p w14:paraId="28A43FF7" w14:textId="7D8B191C" w:rsidR="005D697B" w:rsidRPr="008D1DBB" w:rsidRDefault="00EB1316" w:rsidP="006045E4">
      <w:pPr>
        <w:rPr>
          <w:noProof/>
          <w:color w:val="000000" w:themeColor="text1"/>
        </w:rPr>
      </w:pPr>
      <w:r w:rsidRPr="008D1DBB">
        <w:rPr>
          <w:noProof/>
          <w:color w:val="000000" w:themeColor="text1"/>
        </w:rPr>
        <w:t>Bei den Folgenabschätzungen</w:t>
      </w:r>
      <w:r w:rsidRPr="008D1DBB">
        <w:rPr>
          <w:rStyle w:val="FootnoteReference"/>
          <w:noProof/>
          <w:color w:val="000000" w:themeColor="text1"/>
        </w:rPr>
        <w:footnoteReference w:id="16"/>
      </w:r>
      <w:r w:rsidRPr="008D1DBB">
        <w:rPr>
          <w:noProof/>
          <w:color w:val="000000" w:themeColor="text1"/>
        </w:rPr>
        <w:t>, die der Überarbeitung der CO</w:t>
      </w:r>
      <w:r w:rsidRPr="008D1DBB">
        <w:rPr>
          <w:noProof/>
          <w:color w:val="000000" w:themeColor="text1"/>
          <w:vertAlign w:val="subscript"/>
        </w:rPr>
        <w:t>2</w:t>
      </w:r>
      <w:r w:rsidRPr="008D1DBB">
        <w:rPr>
          <w:noProof/>
          <w:color w:val="000000" w:themeColor="text1"/>
        </w:rPr>
        <w:t>-Emissionsnormen für Personenkraftwagen und leichte Nutzfahrzeuge zugrunde liegen, ging die Kommission davon aus, dass die WLTP-basierten CO</w:t>
      </w:r>
      <w:r w:rsidRPr="008D1DBB">
        <w:rPr>
          <w:noProof/>
          <w:color w:val="000000" w:themeColor="text1"/>
          <w:vertAlign w:val="subscript"/>
        </w:rPr>
        <w:t>2</w:t>
      </w:r>
      <w:r w:rsidRPr="008D1DBB">
        <w:rPr>
          <w:noProof/>
          <w:color w:val="000000" w:themeColor="text1"/>
        </w:rPr>
        <w:t>-Emissionen von Personenkraftwagen mit Verbrennungsmotor durchschnittlich um 21 % höher lagen als die mit dem NEFZ-Verfahren berechneten Emissionen, was später durch eine Studie</w:t>
      </w:r>
      <w:r w:rsidRPr="008D1DBB">
        <w:rPr>
          <w:rStyle w:val="FootnoteReference"/>
          <w:noProof/>
          <w:color w:val="000000" w:themeColor="text1"/>
        </w:rPr>
        <w:footnoteReference w:id="17"/>
      </w:r>
      <w:r w:rsidRPr="008D1DBB">
        <w:rPr>
          <w:noProof/>
          <w:color w:val="000000" w:themeColor="text1"/>
        </w:rPr>
        <w:t xml:space="preserve"> der Gemeinsamen Forschungsstelle (JRC) bestätigt wurde. Dieses Verhältnis legt eine Differenz von rund 16 % zwischen den im praktischen Fahrbetrieb gemessenen und den WLTP-basierten Emissionswerten nahe. Für das Jahr 2021 ist die festgestellte Differenz mit der in den Folgenabschätzungen angenommenen Differenz für 2021 vereinbar.</w:t>
      </w:r>
      <w:r w:rsidRPr="008D1DBB">
        <w:rPr>
          <w:noProof/>
        </w:rPr>
        <w:t xml:space="preserve"> Eine solche Differenz wurde erwartet, da es unterschiedliche Faktoren gibt, die sich auf die Emissionen im praktischen Fahrbetrieb auswirken und nicht alle in einer Laborprüfung vollständig reproduziert werden können. </w:t>
      </w:r>
    </w:p>
    <w:p w14:paraId="076C0ACB" w14:textId="14F66A2B" w:rsidR="00EB1316" w:rsidRPr="008D1DBB" w:rsidRDefault="00EB1316" w:rsidP="00EB1316">
      <w:pPr>
        <w:rPr>
          <w:noProof/>
        </w:rPr>
      </w:pPr>
      <w:r w:rsidRPr="008D1DBB">
        <w:rPr>
          <w:noProof/>
        </w:rPr>
        <w:t xml:space="preserve">Die festgestellte Differenz bedeutet auch, dass der im Fahrbetrieb verzeichnete tatsächliche Kraftstoffverbrauch nach wie vor durchschnittlich um 1-1,5 l/100 km höher ist als in den amtlichen Dokumenten angegeben. </w:t>
      </w:r>
    </w:p>
    <w:p w14:paraId="5F543CE4" w14:textId="1D63AF07" w:rsidR="002A7ED9" w:rsidRPr="008D1DBB" w:rsidRDefault="005F7658" w:rsidP="00684937">
      <w:pPr>
        <w:rPr>
          <w:noProof/>
        </w:rPr>
      </w:pPr>
      <w:r w:rsidRPr="008D1DBB">
        <w:rPr>
          <w:noProof/>
        </w:rPr>
        <w:t>Eine Analyse nach Masse ergab, dass die Differenz zwischen Laborwerten und tatsächlichen Emissionen bei leichteren Benzin- und Dieselfahrzeugen 20-40 g CO</w:t>
      </w:r>
      <w:r w:rsidRPr="008D1DBB">
        <w:rPr>
          <w:noProof/>
          <w:vertAlign w:val="subscript"/>
        </w:rPr>
        <w:t>2</w:t>
      </w:r>
      <w:r w:rsidRPr="008D1DBB">
        <w:rPr>
          <w:noProof/>
        </w:rPr>
        <w:t>/km beträgt, bei schweren Fahrzeugen wie SUV und Luxusfahrzeugen jedoch 1,5</w:t>
      </w:r>
      <w:r w:rsidR="004F54CD" w:rsidRPr="008D1DBB">
        <w:rPr>
          <w:noProof/>
        </w:rPr>
        <w:t>-</w:t>
      </w:r>
      <w:r w:rsidRPr="008D1DBB">
        <w:rPr>
          <w:noProof/>
        </w:rPr>
        <w:t xml:space="preserve"> bis 2,5</w:t>
      </w:r>
      <w:r w:rsidR="004F54CD" w:rsidRPr="008D1DBB">
        <w:rPr>
          <w:noProof/>
        </w:rPr>
        <w:t>-m</w:t>
      </w:r>
      <w:r w:rsidRPr="008D1DBB">
        <w:rPr>
          <w:noProof/>
        </w:rPr>
        <w:t>al größer ist, was zu den ohnehin höheren WLTP-basierten CO</w:t>
      </w:r>
      <w:r w:rsidRPr="008D1DBB">
        <w:rPr>
          <w:noProof/>
          <w:vertAlign w:val="subscript"/>
        </w:rPr>
        <w:t>2</w:t>
      </w:r>
      <w:r w:rsidRPr="008D1DBB">
        <w:rPr>
          <w:noProof/>
        </w:rPr>
        <w:t>-Emissionen hinzukommt.</w:t>
      </w:r>
    </w:p>
    <w:p w14:paraId="26EC0E35" w14:textId="2511E324" w:rsidR="006D1809" w:rsidRPr="008D1DBB" w:rsidRDefault="00031E59" w:rsidP="0C61B5CB">
      <w:pPr>
        <w:rPr>
          <w:noProof/>
        </w:rPr>
      </w:pPr>
      <w:bookmarkStart w:id="10" w:name="_Ref147226435"/>
      <w:bookmarkEnd w:id="9"/>
      <w:r w:rsidRPr="008D1DBB">
        <w:rPr>
          <w:noProof/>
        </w:rPr>
        <w:t>Bei den neuen Plug-in-Hybridelektrofahrzeugen, die im Jahr 2021 zugelassen wurden, waren die durchschnittlichen CO</w:t>
      </w:r>
      <w:r w:rsidRPr="008D1DBB">
        <w:rPr>
          <w:noProof/>
          <w:vertAlign w:val="subscript"/>
        </w:rPr>
        <w:t>2</w:t>
      </w:r>
      <w:r w:rsidRPr="008D1DBB">
        <w:rPr>
          <w:noProof/>
        </w:rPr>
        <w:t xml:space="preserve">-Emissionen im praktischen Fahrbetrieb </w:t>
      </w:r>
      <w:r w:rsidRPr="008D1DBB">
        <w:rPr>
          <w:rStyle w:val="CrossReference"/>
          <w:i w:val="0"/>
          <w:noProof/>
        </w:rPr>
        <w:t>(139,5 g CO</w:t>
      </w:r>
      <w:r w:rsidRPr="008D1DBB">
        <w:rPr>
          <w:rStyle w:val="CrossReference"/>
          <w:i w:val="0"/>
          <w:noProof/>
          <w:vertAlign w:val="subscript"/>
        </w:rPr>
        <w:t>2</w:t>
      </w:r>
      <w:r w:rsidRPr="008D1DBB">
        <w:rPr>
          <w:rStyle w:val="CrossReference"/>
          <w:i w:val="0"/>
          <w:noProof/>
        </w:rPr>
        <w:t>/km)</w:t>
      </w:r>
      <w:r w:rsidRPr="008D1DBB">
        <w:rPr>
          <w:noProof/>
        </w:rPr>
        <w:t xml:space="preserve"> nur </w:t>
      </w:r>
      <w:r w:rsidRPr="008D1DBB">
        <w:rPr>
          <w:rStyle w:val="CrossReference"/>
          <w:i w:val="0"/>
          <w:noProof/>
        </w:rPr>
        <w:t>23 % geringer als bei herkömmlichen Personenkraftwagen (180,3 g CO</w:t>
      </w:r>
      <w:r w:rsidRPr="008D1DBB">
        <w:rPr>
          <w:rStyle w:val="CrossReference"/>
          <w:i w:val="0"/>
          <w:noProof/>
          <w:vertAlign w:val="subscript"/>
        </w:rPr>
        <w:t>2</w:t>
      </w:r>
      <w:r w:rsidRPr="008D1DBB">
        <w:rPr>
          <w:rStyle w:val="CrossReference"/>
          <w:i w:val="0"/>
          <w:noProof/>
        </w:rPr>
        <w:t xml:space="preserve">/km), und </w:t>
      </w:r>
      <w:r w:rsidRPr="008D1DBB">
        <w:rPr>
          <w:noProof/>
        </w:rPr>
        <w:t>3,5</w:t>
      </w:r>
      <w:r w:rsidR="004F54CD" w:rsidRPr="008D1DBB">
        <w:rPr>
          <w:noProof/>
        </w:rPr>
        <w:t>-m</w:t>
      </w:r>
      <w:r w:rsidRPr="008D1DBB">
        <w:rPr>
          <w:noProof/>
        </w:rPr>
        <w:t>al (100 g CO</w:t>
      </w:r>
      <w:r w:rsidRPr="008D1DBB">
        <w:rPr>
          <w:noProof/>
          <w:vertAlign w:val="subscript"/>
        </w:rPr>
        <w:t>2</w:t>
      </w:r>
      <w:r w:rsidRPr="008D1DBB">
        <w:rPr>
          <w:noProof/>
        </w:rPr>
        <w:t>/km) höher als beim WLTP-Verfahren ermittelt (39,5 </w:t>
      </w:r>
      <w:r w:rsidRPr="008D1DBB">
        <w:rPr>
          <w:rStyle w:val="CrossReference"/>
          <w:i w:val="0"/>
          <w:noProof/>
        </w:rPr>
        <w:t>g CO</w:t>
      </w:r>
      <w:r w:rsidRPr="008D1DBB">
        <w:rPr>
          <w:rStyle w:val="CrossReference"/>
          <w:i w:val="0"/>
          <w:noProof/>
          <w:vertAlign w:val="subscript"/>
        </w:rPr>
        <w:t>2</w:t>
      </w:r>
      <w:r w:rsidRPr="008D1DBB">
        <w:rPr>
          <w:rStyle w:val="CrossReference"/>
          <w:i w:val="0"/>
          <w:noProof/>
        </w:rPr>
        <w:t>/km</w:t>
      </w:r>
      <w:r w:rsidRPr="008D1DBB">
        <w:rPr>
          <w:noProof/>
        </w:rPr>
        <w:t xml:space="preserve">) – siehe </w:t>
      </w:r>
      <w:r w:rsidRPr="008D1DBB">
        <w:rPr>
          <w:rStyle w:val="CrossReference"/>
          <w:noProof/>
        </w:rPr>
        <w:fldChar w:fldCharType="begin"/>
      </w:r>
      <w:r w:rsidRPr="008D1DBB">
        <w:rPr>
          <w:rStyle w:val="CrossReference"/>
          <w:noProof/>
        </w:rPr>
        <w:instrText xml:space="preserve"> REF _Ref152581318 \h  \* MERGEFORMAT </w:instrText>
      </w:r>
      <w:r w:rsidRPr="008D1DBB">
        <w:rPr>
          <w:rStyle w:val="CrossReference"/>
          <w:noProof/>
        </w:rPr>
      </w:r>
      <w:r w:rsidRPr="008D1DBB">
        <w:rPr>
          <w:rStyle w:val="CrossReference"/>
          <w:noProof/>
        </w:rPr>
        <w:fldChar w:fldCharType="separate"/>
      </w:r>
      <w:r w:rsidR="00241905" w:rsidRPr="008D1DBB">
        <w:rPr>
          <w:rStyle w:val="CrossReference"/>
          <w:noProof/>
        </w:rPr>
        <w:t>Abbildung </w:t>
      </w:r>
      <w:r w:rsidRPr="008D1DBB">
        <w:rPr>
          <w:rStyle w:val="CrossReference"/>
          <w:noProof/>
        </w:rPr>
        <w:t>1</w:t>
      </w:r>
      <w:r w:rsidRPr="008D1DBB">
        <w:rPr>
          <w:rStyle w:val="CrossReference"/>
          <w:noProof/>
        </w:rPr>
        <w:fldChar w:fldCharType="end"/>
      </w:r>
      <w:r w:rsidRPr="008D1DBB">
        <w:rPr>
          <w:noProof/>
        </w:rPr>
        <w:t>. Für diese Fahrzeuge</w:t>
      </w:r>
      <w:bookmarkEnd w:id="10"/>
      <w:r w:rsidRPr="008D1DBB">
        <w:rPr>
          <w:noProof/>
        </w:rPr>
        <w:t xml:space="preserve"> wird bei der Berechnung des WLTP-basierten Kraftstoffverbrauchs und der CO</w:t>
      </w:r>
      <w:r w:rsidRPr="008D1DBB">
        <w:rPr>
          <w:noProof/>
          <w:vertAlign w:val="subscript"/>
        </w:rPr>
        <w:t>2</w:t>
      </w:r>
      <w:r w:rsidRPr="008D1DBB">
        <w:rPr>
          <w:noProof/>
        </w:rPr>
        <w:t>-Emissionen ein Nutzfaktor berücksichtigt, d. h. der erwartete Anteil der im Elektrobetrieb gefahrenen Strecke. Im Fahrbetrieb hängen die CO</w:t>
      </w:r>
      <w:r w:rsidRPr="008D1DBB">
        <w:rPr>
          <w:noProof/>
          <w:vertAlign w:val="subscript"/>
        </w:rPr>
        <w:t>2</w:t>
      </w:r>
      <w:r w:rsidRPr="008D1DBB">
        <w:rPr>
          <w:noProof/>
        </w:rPr>
        <w:t xml:space="preserve">-Emissionen dieser Fahrzeuge in hohem Maße vom tatsächlichen Anteil der vollständig elektrisch gefahrenen Strecke ab, der wiederum von den tatsächlichen Lade- und Nutzungsmustern und spezifischen Fahrzeugtechnologien abhängig ist. Die bei diesen Fahrzeugen festgestellte große Diskrepanz zwischen den Werten im praktischen Fahrbetrieb und den WLTP-Werten zeigt, dass sie viel weniger aufgeladen und im Elektrobetrieb gefahren werden als erwartet, und dass die für die Berechnung des WLTP-Prüfergebnisses verwendeten Annahmen den realen Fahrbedingungen nicht standhalten. </w:t>
      </w:r>
    </w:p>
    <w:bookmarkStart w:id="11" w:name="_Ref152581318" w:displacedByCustomXml="next"/>
    <w:bookmarkStart w:id="12" w:name="_Ref148524126" w:displacedByCustomXml="next"/>
    <w:sdt>
      <w:sdtPr>
        <w:rPr>
          <w:b/>
          <w:i/>
          <w:noProof/>
        </w:rPr>
        <w:alias w:val="Abbildung"/>
        <w:tag w:val="Yevoz0GxKA7SLcZiEquUa5"/>
        <w:id w:val="-185828285"/>
        <w:placeholder>
          <w:docPart w:val="9527B8ECEBCC47669D27D87F4B3EC816"/>
        </w:placeholder>
      </w:sdtPr>
      <w:sdtEndPr>
        <w:rPr>
          <w:b w:val="0"/>
          <w:i w:val="0"/>
        </w:rPr>
      </w:sdtEndPr>
      <w:sdtContent>
        <w:p w14:paraId="0F2919A3" w14:textId="16F9D85D" w:rsidR="003B4F89" w:rsidRPr="008D1DBB" w:rsidRDefault="00250D7A" w:rsidP="00785F55">
          <w:pPr>
            <w:keepNext/>
            <w:rPr>
              <w:b/>
              <w:i/>
              <w:noProof/>
            </w:rPr>
          </w:pPr>
          <w:r w:rsidRPr="008D1DBB">
            <w:rPr>
              <w:b/>
              <w:i/>
              <w:noProof/>
            </w:rPr>
            <w:t>Abbildung </w:t>
          </w:r>
          <w:r w:rsidRPr="008D1DBB">
            <w:rPr>
              <w:b/>
              <w:i/>
              <w:noProof/>
            </w:rPr>
            <w:fldChar w:fldCharType="begin"/>
          </w:r>
          <w:r w:rsidRPr="008D1DBB">
            <w:rPr>
              <w:b/>
              <w:i/>
              <w:noProof/>
            </w:rPr>
            <w:instrText xml:space="preserve"> SEQ Figure \* ARABIC </w:instrText>
          </w:r>
          <w:r w:rsidRPr="008D1DBB">
            <w:rPr>
              <w:b/>
              <w:i/>
              <w:noProof/>
            </w:rPr>
            <w:fldChar w:fldCharType="separate"/>
          </w:r>
          <w:r w:rsidRPr="008D1DBB">
            <w:rPr>
              <w:b/>
              <w:i/>
              <w:noProof/>
            </w:rPr>
            <w:t>1</w:t>
          </w:r>
          <w:r w:rsidRPr="008D1DBB">
            <w:rPr>
              <w:b/>
              <w:i/>
              <w:noProof/>
            </w:rPr>
            <w:fldChar w:fldCharType="end"/>
          </w:r>
          <w:bookmarkEnd w:id="11"/>
          <w:r w:rsidRPr="008D1DBB">
            <w:rPr>
              <w:b/>
              <w:i/>
              <w:noProof/>
            </w:rPr>
            <w:t xml:space="preserve">: </w:t>
          </w:r>
          <w:bookmarkEnd w:id="12"/>
          <w:r w:rsidRPr="008D1DBB">
            <w:rPr>
              <w:b/>
              <w:i/>
              <w:noProof/>
            </w:rPr>
            <w:t>Durchschnittliche tatsächliche und WLTP-basierte CO</w:t>
          </w:r>
          <w:r w:rsidRPr="008D1DBB">
            <w:rPr>
              <w:b/>
              <w:i/>
              <w:noProof/>
              <w:vertAlign w:val="subscript"/>
            </w:rPr>
            <w:t>2</w:t>
          </w:r>
          <w:r w:rsidRPr="008D1DBB">
            <w:rPr>
              <w:b/>
              <w:i/>
              <w:noProof/>
            </w:rPr>
            <w:t>-Emissionen (Personenkraftwagen)</w:t>
          </w:r>
        </w:p>
        <w:p w14:paraId="73E7DA0F" w14:textId="27D1AA34" w:rsidR="003956D0" w:rsidRPr="008D1DBB" w:rsidRDefault="00241905" w:rsidP="00547553">
          <w:pPr>
            <w:pStyle w:val="FigureBody"/>
            <w:jc w:val="center"/>
            <w:rPr>
              <w:noProof/>
            </w:rPr>
          </w:pPr>
          <w:r w:rsidRPr="008D1DBB">
            <w:rPr>
              <w:noProof/>
              <w:lang w:val="en-GB" w:eastAsia="en-GB"/>
            </w:rPr>
            <w:drawing>
              <wp:inline distT="0" distB="0" distL="0" distR="0" wp14:anchorId="317B544C" wp14:editId="7E78E8DB">
                <wp:extent cx="5472430" cy="2809240"/>
                <wp:effectExtent l="0" t="0" r="0" b="0"/>
                <wp:docPr id="1" name="Chart 1">
                  <a:extLst xmlns:a="http://schemas.openxmlformats.org/drawingml/2006/main">
                    <a:ext uri="{FF2B5EF4-FFF2-40B4-BE49-F238E27FC236}">
                      <a16:creationId xmlns:a16="http://schemas.microsoft.com/office/drawing/2014/main" id="{F5FC421E-83F4-3C24-2AFA-0501AF9722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sdtContent>
    </w:sdt>
    <w:p w14:paraId="3BEDD2AF" w14:textId="767ADE0A" w:rsidR="000252F9" w:rsidRPr="008D1DBB" w:rsidRDefault="000252F9" w:rsidP="003D5698">
      <w:pPr>
        <w:rPr>
          <w:noProof/>
        </w:rPr>
      </w:pPr>
    </w:p>
    <w:p w14:paraId="29F52B4C" w14:textId="15B1E823" w:rsidR="00926F07" w:rsidRPr="008D1DBB" w:rsidRDefault="00926F07" w:rsidP="00926F07">
      <w:pPr>
        <w:pStyle w:val="Heading2"/>
        <w:rPr>
          <w:noProof/>
        </w:rPr>
      </w:pPr>
      <w:bookmarkStart w:id="13" w:name="_Ref146029387"/>
      <w:r w:rsidRPr="008D1DBB">
        <w:rPr>
          <w:noProof/>
        </w:rPr>
        <w:t>Bewertung auf Herstellerebene</w:t>
      </w:r>
      <w:bookmarkEnd w:id="13"/>
    </w:p>
    <w:p w14:paraId="27696248" w14:textId="1DDD8775" w:rsidR="00500568" w:rsidRPr="008D1DBB" w:rsidRDefault="00500568" w:rsidP="00500568">
      <w:pPr>
        <w:pStyle w:val="Heading3"/>
        <w:rPr>
          <w:noProof/>
        </w:rPr>
      </w:pPr>
      <w:bookmarkStart w:id="14" w:name="_Ref148516957"/>
      <w:bookmarkStart w:id="15" w:name="_Ref147225298"/>
      <w:r w:rsidRPr="008D1DBB">
        <w:rPr>
          <w:noProof/>
        </w:rPr>
        <w:t>Umfang der Erfassung</w:t>
      </w:r>
      <w:bookmarkEnd w:id="14"/>
      <w:r w:rsidRPr="008D1DBB">
        <w:rPr>
          <w:noProof/>
        </w:rPr>
        <w:t xml:space="preserve"> </w:t>
      </w:r>
      <w:bookmarkEnd w:id="15"/>
    </w:p>
    <w:p w14:paraId="4C36CCF3" w14:textId="200D9E64" w:rsidR="009E4575" w:rsidRPr="008D1DBB" w:rsidRDefault="000D7109" w:rsidP="00F72521">
      <w:pPr>
        <w:rPr>
          <w:noProof/>
        </w:rPr>
      </w:pPr>
      <w:r w:rsidRPr="008D1DBB">
        <w:rPr>
          <w:rStyle w:val="CrossReference"/>
          <w:noProof/>
        </w:rPr>
        <w:fldChar w:fldCharType="begin"/>
      </w:r>
      <w:r w:rsidRPr="008D1DBB">
        <w:rPr>
          <w:rStyle w:val="CrossReference"/>
          <w:noProof/>
        </w:rPr>
        <w:instrText xml:space="preserve"> REF _Ref152580378 \h  \* MERGEFORMAT </w:instrText>
      </w:r>
      <w:r w:rsidRPr="008D1DBB">
        <w:rPr>
          <w:rStyle w:val="CrossReference"/>
          <w:noProof/>
        </w:rPr>
      </w:r>
      <w:r w:rsidRPr="008D1DBB">
        <w:rPr>
          <w:rStyle w:val="CrossReference"/>
          <w:noProof/>
        </w:rPr>
        <w:fldChar w:fldCharType="separate"/>
      </w:r>
      <w:r w:rsidR="00241905" w:rsidRPr="008D1DBB">
        <w:rPr>
          <w:rStyle w:val="CrossReference"/>
          <w:noProof/>
        </w:rPr>
        <w:t>Abbildung </w:t>
      </w:r>
      <w:r w:rsidRPr="008D1DBB">
        <w:rPr>
          <w:rStyle w:val="CrossReference"/>
          <w:noProof/>
        </w:rPr>
        <w:t>2</w:t>
      </w:r>
      <w:r w:rsidRPr="008D1DBB">
        <w:rPr>
          <w:rStyle w:val="CrossReference"/>
          <w:noProof/>
        </w:rPr>
        <w:fldChar w:fldCharType="end"/>
      </w:r>
      <w:r w:rsidRPr="008D1DBB">
        <w:rPr>
          <w:rStyle w:val="CrossReference"/>
          <w:noProof/>
        </w:rPr>
        <w:t xml:space="preserve"> </w:t>
      </w:r>
      <w:r w:rsidRPr="008D1DBB">
        <w:rPr>
          <w:noProof/>
        </w:rPr>
        <w:t xml:space="preserve">gibt einen Überblick über die Anzahl der Fahrzeuge, die pro Hersteller im Datensatz aus dem praktischen Fahrbetrieb gemeldet wurden, sowohl vor als auch nach der Verarbeitung und über den Umfang, in dem es sich dabei um im Jahr 2021 erstmals zugelassene Fahrzeuge dieser Hersteller handelt. </w:t>
      </w:r>
    </w:p>
    <w:p w14:paraId="775CF48F" w14:textId="77777777" w:rsidR="004B660D" w:rsidRPr="008D1DBB" w:rsidRDefault="009E4575" w:rsidP="00E03A7E">
      <w:pPr>
        <w:rPr>
          <w:noProof/>
        </w:rPr>
      </w:pPr>
      <w:r w:rsidRPr="008D1DBB">
        <w:rPr>
          <w:noProof/>
        </w:rPr>
        <w:t>Dabei zeigen sich erhebliche Unterschiede zwischen den Herstellern.</w:t>
      </w:r>
      <w:r w:rsidRPr="008D1DBB">
        <w:rPr>
          <w:rStyle w:val="CrossReference"/>
          <w:i w:val="0"/>
          <w:noProof/>
        </w:rPr>
        <w:t xml:space="preserve"> Dies lässt sich dadurch erklären,</w:t>
      </w:r>
      <w:r w:rsidRPr="008D1DBB">
        <w:rPr>
          <w:noProof/>
        </w:rPr>
        <w:t xml:space="preserve"> dass die verfügbaren Datenerhebungsmöglichkeiten in unterschiedlichem Maße eingesetzt wurden, wobei nur wenige Hersteller die OTA-Datenübertragung umfassend nutzen. Andere Hersteller erhoben Daten nur von der begrenzten Zahl von Fahrzeugen, die im ersten Jahr nach ihrer Zulassung zur Wartung oder Reparatur gebracht wurden. Gemäß der Verordnung (EU) 2021/392 müssen die Hersteller die fehlenden Fahrzeugdaten im Rahmen ihrer Berichterstattung für das folgende Jahr begründen.</w:t>
      </w:r>
    </w:p>
    <w:p w14:paraId="25056F08" w14:textId="5F771B3E" w:rsidR="00E03A7E" w:rsidRPr="008D1DBB" w:rsidRDefault="00E03A7E" w:rsidP="00E03A7E">
      <w:pPr>
        <w:rPr>
          <w:noProof/>
        </w:rPr>
      </w:pPr>
      <w:r w:rsidRPr="008D1DBB">
        <w:rPr>
          <w:noProof/>
        </w:rPr>
        <w:t xml:space="preserve">Nach der Datenverarbeitung war der Umfang der Erfassung der Flotte des Jahres 2021 in diesem ersten Berichtsjahr eher gering, mit Ausnahme der Hersteller Jaguar Land Rover (43 %), Ford Werke GmbH (34 %), Mercedes-Benz AG (27 %), Ford Motor Company (27 %) und Volvo (24 %). Die meisten anderen Hersteller meldeten Daten für weniger als 5 % ihrer im Jahr 2021 erstmals zugelassenen Fahrzeuge. Bei </w:t>
      </w:r>
      <w:r w:rsidRPr="008D1DBB">
        <w:rPr>
          <w:rStyle w:val="CrossReference"/>
          <w:i w:val="0"/>
          <w:noProof/>
        </w:rPr>
        <w:t>bestimmten Herstellern mit einer vor der Datenverarbeitung zunächst hohen Erfassung blieben nach Herausfiltern der Fahrzeuge mit geringer Kilometerleistung erheblich weniger Fahrzeuge übrig. Dies war bei Volvo und Jaguar Land Rover der Fall, die die höchste anfängliche Erfassung aufwiesen; allerdings hatten 70 % bzw. 31 % der von ihnen gemeldeten Fahrzeuge weniger als 500 km zurückgelegt.</w:t>
      </w:r>
    </w:p>
    <w:p w14:paraId="6E1EA7BD" w14:textId="13678429" w:rsidR="00BF4D0B" w:rsidRPr="008D1DBB" w:rsidRDefault="009E4575" w:rsidP="00F72521">
      <w:pPr>
        <w:rPr>
          <w:noProof/>
        </w:rPr>
      </w:pPr>
      <w:r w:rsidRPr="008D1DBB">
        <w:rPr>
          <w:noProof/>
        </w:rPr>
        <w:t xml:space="preserve">Der endgültige Datensatz wird von sehr wenigen Herstellern dominiert, insbesondere sind dies die Ford Werke GmbH (22 %) und die Mercedes-Benz AG (21 %). Zusammen mit Volkswagen (9 %), Volvo (8 %), Renault (7 %) und der BMW AG (6 %) machen sie 73 % des endgültigen Datensatzes für Personenkraftwagen aus. Der Datensatz für Plug-in-Hybridfahrzeuge umfasst in erster Linie Fahrzeuge der Hersteller Mercedes-Benz AG (39 %), Volvo (19 %) und Ford Werke GmbH (16 %). </w:t>
      </w:r>
    </w:p>
    <w:bookmarkStart w:id="16" w:name="_Ref152580378" w:displacedByCustomXml="next"/>
    <w:sdt>
      <w:sdtPr>
        <w:rPr>
          <w:b w:val="0"/>
          <w:i w:val="0"/>
          <w:noProof/>
        </w:rPr>
        <w:alias w:val="Abbildung"/>
        <w:tag w:val="Yevoz0GxKA7SLcZiEquUa5"/>
        <w:id w:val="-1205009509"/>
        <w:placeholder>
          <w:docPart w:val="E72B22A6059444909995BE9964A155AD"/>
        </w:placeholder>
      </w:sdtPr>
      <w:sdtEndPr/>
      <w:sdtContent>
        <w:p w14:paraId="1545C0F2" w14:textId="2CD7BD80" w:rsidR="00C52479" w:rsidRPr="008D1DBB" w:rsidRDefault="000D7109" w:rsidP="00AE062B">
          <w:pPr>
            <w:pStyle w:val="FigureTitle"/>
            <w:rPr>
              <w:noProof/>
            </w:rPr>
          </w:pPr>
          <w:r w:rsidRPr="008D1DBB">
            <w:rPr>
              <w:noProof/>
            </w:rPr>
            <w:t>Abbildung </w:t>
          </w:r>
          <w:r w:rsidR="008D1DBB" w:rsidRPr="008D1DBB">
            <w:rPr>
              <w:noProof/>
            </w:rPr>
            <w:fldChar w:fldCharType="begin"/>
          </w:r>
          <w:r w:rsidR="008D1DBB" w:rsidRPr="008D1DBB">
            <w:rPr>
              <w:noProof/>
            </w:rPr>
            <w:instrText xml:space="preserve"> SEQ Figure \* ARABIC </w:instrText>
          </w:r>
          <w:r w:rsidR="008D1DBB" w:rsidRPr="008D1DBB">
            <w:rPr>
              <w:noProof/>
            </w:rPr>
            <w:fldChar w:fldCharType="separate"/>
          </w:r>
          <w:r w:rsidRPr="008D1DBB">
            <w:rPr>
              <w:noProof/>
            </w:rPr>
            <w:t>2</w:t>
          </w:r>
          <w:r w:rsidR="008D1DBB" w:rsidRPr="008D1DBB">
            <w:rPr>
              <w:noProof/>
            </w:rPr>
            <w:fldChar w:fldCharType="end"/>
          </w:r>
          <w:bookmarkEnd w:id="16"/>
          <w:r w:rsidRPr="008D1DBB">
            <w:rPr>
              <w:noProof/>
            </w:rPr>
            <w:t>: Anzahl der Personenkraftwagen je Hersteller vor und nach der Datenverarbeitung: Gesamtzahl (links) und Anteil an der Gesamtzahl der Neuzulassungen des Herstellers im Jahr 2021 (rechts)</w:t>
          </w:r>
          <w:r w:rsidRPr="008D1DBB">
            <w:rPr>
              <w:rStyle w:val="FootnoteReference"/>
              <w:noProof/>
            </w:rPr>
            <w:footnoteReference w:id="18"/>
          </w:r>
        </w:p>
        <w:p w14:paraId="67FC431C" w14:textId="41AD7327" w:rsidR="004E78CD" w:rsidRPr="008D1DBB" w:rsidRDefault="004E78CD" w:rsidP="004E78CD">
          <w:pPr>
            <w:pStyle w:val="FigureBody"/>
            <w:rPr>
              <w:noProof/>
            </w:rPr>
          </w:pPr>
          <w:r w:rsidRPr="008D1DBB">
            <w:rPr>
              <w:noProof/>
              <w:lang w:val="en-GB" w:eastAsia="en-GB"/>
            </w:rPr>
            <w:drawing>
              <wp:inline distT="0" distB="0" distL="0" distR="0" wp14:anchorId="36276ABB" wp14:editId="79DDE0F4">
                <wp:extent cx="5472430" cy="4116070"/>
                <wp:effectExtent l="0" t="0" r="0" b="0"/>
                <wp:docPr id="2" name="Picture 1">
                  <a:extLst xmlns:a="http://schemas.openxmlformats.org/drawingml/2006/main">
                    <a:ext uri="{FF2B5EF4-FFF2-40B4-BE49-F238E27FC236}">
                      <a16:creationId xmlns:a16="http://schemas.microsoft.com/office/drawing/2014/main" id="{372FD0F4-532E-D6BE-14C1-F0AEFB8ACB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72FD0F4-532E-D6BE-14C1-F0AEFB8ACB94}"/>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2430" cy="4116070"/>
                        </a:xfrm>
                        <a:prstGeom prst="rect">
                          <a:avLst/>
                        </a:prstGeom>
                        <a:noFill/>
                      </pic:spPr>
                    </pic:pic>
                  </a:graphicData>
                </a:graphic>
              </wp:inline>
            </w:drawing>
          </w:r>
        </w:p>
      </w:sdtContent>
    </w:sdt>
    <w:p w14:paraId="24D56175" w14:textId="049989B0" w:rsidR="000D7109" w:rsidRPr="008D1DBB" w:rsidRDefault="000D7109" w:rsidP="000944EE">
      <w:pPr>
        <w:rPr>
          <w:noProof/>
        </w:rPr>
      </w:pPr>
    </w:p>
    <w:p w14:paraId="410E4390" w14:textId="00B46D65" w:rsidR="00AF1427" w:rsidRPr="008D1DBB" w:rsidRDefault="002C4853" w:rsidP="00AF1427">
      <w:pPr>
        <w:pStyle w:val="Heading3"/>
        <w:rPr>
          <w:noProof/>
        </w:rPr>
      </w:pPr>
      <w:r w:rsidRPr="008D1DBB">
        <w:rPr>
          <w:noProof/>
        </w:rPr>
        <w:t>Durchschnittliche CO</w:t>
      </w:r>
      <w:r w:rsidRPr="008D1DBB">
        <w:rPr>
          <w:noProof/>
          <w:vertAlign w:val="subscript"/>
        </w:rPr>
        <w:t>2</w:t>
      </w:r>
      <w:r w:rsidRPr="008D1DBB">
        <w:rPr>
          <w:noProof/>
        </w:rPr>
        <w:t xml:space="preserve">-Emissionen, durchschnittlicher Kraftstoffverbrauch und durchschnittliche Differenz zwischen Laborwerten und tatsächlichen Werten </w:t>
      </w:r>
    </w:p>
    <w:p w14:paraId="2367281B" w14:textId="57A98B39" w:rsidR="00AF1427" w:rsidRPr="008D1DBB" w:rsidRDefault="00DB2FA0" w:rsidP="00AF1427">
      <w:pPr>
        <w:rPr>
          <w:noProof/>
        </w:rPr>
      </w:pPr>
      <w:r w:rsidRPr="008D1DBB">
        <w:rPr>
          <w:noProof/>
        </w:rPr>
        <w:t>Für jeden Hersteller wurden der durchschnittliche Kraftstoffverbrauch und die durchschnittlichen CO</w:t>
      </w:r>
      <w:r w:rsidRPr="008D1DBB">
        <w:rPr>
          <w:noProof/>
          <w:vertAlign w:val="subscript"/>
        </w:rPr>
        <w:t>2</w:t>
      </w:r>
      <w:r w:rsidRPr="008D1DBB">
        <w:rPr>
          <w:noProof/>
        </w:rPr>
        <w:t>-Emissionen im praktischen Fahrbetrieb sowie die Differenz zu den WLTP-Durchschnittswerten berechnet.</w:t>
      </w:r>
    </w:p>
    <w:p w14:paraId="24C8AC7D" w14:textId="44CB444B" w:rsidR="00366DBD" w:rsidRPr="008D1DBB" w:rsidRDefault="00B077DF" w:rsidP="001048E4">
      <w:pPr>
        <w:pStyle w:val="FigureTitle"/>
        <w:keepNext w:val="0"/>
        <w:rPr>
          <w:rStyle w:val="CrossReference"/>
          <w:b w:val="0"/>
          <w:noProof/>
        </w:rPr>
      </w:pPr>
      <w:r w:rsidRPr="008D1DBB">
        <w:rPr>
          <w:rStyle w:val="CrossReference"/>
          <w:b w:val="0"/>
          <w:noProof/>
        </w:rPr>
        <w:t xml:space="preserve">In diesem Abschnitt werden die Ergebnisse nur für Hersteller mit mehr als 500 gemeldeten Fahrzeugen (für den betreffenden Antriebsstrang/Kraftstofftyp) dargelegt. Die Arbeitsunterlage der Kommissionsdienststellen enthält weitere Einzelheiten. </w:t>
      </w:r>
    </w:p>
    <w:p w14:paraId="3C1438DD" w14:textId="6935945F" w:rsidR="00B077DF" w:rsidRPr="008D1DBB" w:rsidRDefault="00366DBD" w:rsidP="001048E4">
      <w:pPr>
        <w:pStyle w:val="FigureTitle"/>
        <w:keepNext w:val="0"/>
        <w:rPr>
          <w:rStyle w:val="CrossReference"/>
          <w:noProof/>
        </w:rPr>
      </w:pPr>
      <w:r w:rsidRPr="008D1DBB">
        <w:rPr>
          <w:rStyle w:val="CrossReference"/>
          <w:noProof/>
        </w:rPr>
        <w:t>Die Ergebnisse für die verschiedenen Hersteller können von unterschiedlichen Faktoren abhängen, die einer weiteren Analyse bedürfen, auch auf der Grundlage nachfolgender Datensätze.</w:t>
      </w:r>
    </w:p>
    <w:p w14:paraId="7C2FF240" w14:textId="2E2B44F5" w:rsidR="00D720FC" w:rsidRPr="008D1DBB" w:rsidRDefault="00B077DF" w:rsidP="00D720FC">
      <w:pPr>
        <w:pStyle w:val="FigureTitle"/>
        <w:keepNext w:val="0"/>
        <w:rPr>
          <w:b w:val="0"/>
          <w:i w:val="0"/>
          <w:noProof/>
        </w:rPr>
      </w:pPr>
      <w:r w:rsidRPr="008D1DBB">
        <w:rPr>
          <w:rStyle w:val="CrossReference"/>
          <w:b w:val="0"/>
          <w:noProof/>
        </w:rPr>
        <w:t xml:space="preserve">Wie aus </w:t>
      </w:r>
      <w:r w:rsidRPr="008D1DBB">
        <w:rPr>
          <w:rStyle w:val="CrossReference"/>
          <w:b w:val="0"/>
          <w:i/>
          <w:noProof/>
        </w:rPr>
        <w:fldChar w:fldCharType="begin"/>
      </w:r>
      <w:r w:rsidRPr="008D1DBB">
        <w:rPr>
          <w:rStyle w:val="CrossReference"/>
          <w:b w:val="0"/>
          <w:i/>
          <w:noProof/>
        </w:rPr>
        <w:instrText xml:space="preserve"> REF _Ref152580449 \h  \* MERGEFORMAT </w:instrText>
      </w:r>
      <w:r w:rsidRPr="008D1DBB">
        <w:rPr>
          <w:rStyle w:val="CrossReference"/>
          <w:b w:val="0"/>
          <w:i/>
          <w:noProof/>
        </w:rPr>
      </w:r>
      <w:r w:rsidRPr="008D1DBB">
        <w:rPr>
          <w:rStyle w:val="CrossReference"/>
          <w:b w:val="0"/>
          <w:i/>
          <w:noProof/>
        </w:rPr>
        <w:fldChar w:fldCharType="separate"/>
      </w:r>
      <w:r w:rsidR="00241905" w:rsidRPr="008D1DBB">
        <w:rPr>
          <w:rStyle w:val="CrossReference"/>
          <w:b w:val="0"/>
          <w:i/>
          <w:noProof/>
        </w:rPr>
        <w:t>Abbildung </w:t>
      </w:r>
      <w:r w:rsidRPr="008D1DBB">
        <w:rPr>
          <w:rStyle w:val="CrossReference"/>
          <w:b w:val="0"/>
          <w:i/>
          <w:noProof/>
        </w:rPr>
        <w:t>3</w:t>
      </w:r>
      <w:r w:rsidRPr="008D1DBB">
        <w:rPr>
          <w:rStyle w:val="CrossReference"/>
          <w:b w:val="0"/>
          <w:i/>
          <w:noProof/>
        </w:rPr>
        <w:fldChar w:fldCharType="end"/>
      </w:r>
      <w:r w:rsidRPr="008D1DBB">
        <w:rPr>
          <w:rStyle w:val="CrossReference"/>
          <w:b w:val="0"/>
          <w:noProof/>
        </w:rPr>
        <w:t xml:space="preserve"> hervorgeht, </w:t>
      </w:r>
      <w:r w:rsidRPr="008D1DBB">
        <w:rPr>
          <w:rStyle w:val="CrossReference"/>
          <w:b w:val="0"/>
          <w:noProof/>
        </w:rPr>
        <w:fldChar w:fldCharType="begin"/>
      </w:r>
      <w:r w:rsidRPr="008D1DBB">
        <w:rPr>
          <w:rStyle w:val="CrossReference"/>
          <w:b w:val="0"/>
          <w:noProof/>
        </w:rPr>
        <w:fldChar w:fldCharType="separate"/>
      </w:r>
      <w:r w:rsidRPr="008D1DBB">
        <w:rPr>
          <w:rStyle w:val="CrossReference"/>
          <w:b w:val="0"/>
          <w:noProof/>
        </w:rPr>
        <w:t>Figure 3</w:t>
      </w:r>
      <w:r w:rsidRPr="008D1DBB">
        <w:rPr>
          <w:rStyle w:val="CrossReference"/>
          <w:b w:val="0"/>
          <w:noProof/>
        </w:rPr>
        <w:fldChar w:fldCharType="end"/>
      </w:r>
      <w:r w:rsidRPr="008D1DBB">
        <w:rPr>
          <w:rStyle w:val="CrossReference"/>
          <w:b w:val="0"/>
          <w:noProof/>
        </w:rPr>
        <w:t>unterscheidet sich die Differenz zwischen Laborwerten und tatsächlichen Werten bei benzinbetriebenen Personenkraftwagen zwischen den einzelnen Herstellern erheblich und reicht von 10 % bis 32 %; der Durchschnitt liegt bei 23,7 %.</w:t>
      </w:r>
    </w:p>
    <w:bookmarkStart w:id="17" w:name="_Ref152580449" w:displacedByCustomXml="next"/>
    <w:sdt>
      <w:sdtPr>
        <w:rPr>
          <w:b w:val="0"/>
          <w:i w:val="0"/>
          <w:noProof/>
        </w:rPr>
        <w:alias w:val="Abbildung"/>
        <w:tag w:val="Yevoz0GxKA7SLcZiEquUa5"/>
        <w:id w:val="572780397"/>
        <w:placeholder>
          <w:docPart w:val="4C997B18EAD14FD6B390B2A278BDDADA"/>
        </w:placeholder>
      </w:sdtPr>
      <w:sdtEndPr/>
      <w:sdtContent>
        <w:p w14:paraId="5BC24BC5" w14:textId="5B320989" w:rsidR="000D7109" w:rsidRPr="008D1DBB" w:rsidRDefault="000D7109" w:rsidP="00F1175B">
          <w:pPr>
            <w:pStyle w:val="FigureTitle"/>
            <w:rPr>
              <w:noProof/>
            </w:rPr>
          </w:pPr>
          <w:r w:rsidRPr="008D1DBB">
            <w:rPr>
              <w:noProof/>
            </w:rPr>
            <w:t>Abbildung </w:t>
          </w:r>
          <w:r w:rsidR="008D1DBB" w:rsidRPr="008D1DBB">
            <w:rPr>
              <w:noProof/>
            </w:rPr>
            <w:fldChar w:fldCharType="begin"/>
          </w:r>
          <w:r w:rsidR="008D1DBB" w:rsidRPr="008D1DBB">
            <w:rPr>
              <w:noProof/>
            </w:rPr>
            <w:instrText xml:space="preserve"> SEQ Figure \* ARABIC </w:instrText>
          </w:r>
          <w:r w:rsidR="008D1DBB" w:rsidRPr="008D1DBB">
            <w:rPr>
              <w:noProof/>
            </w:rPr>
            <w:fldChar w:fldCharType="separate"/>
          </w:r>
          <w:r w:rsidRPr="008D1DBB">
            <w:rPr>
              <w:noProof/>
            </w:rPr>
            <w:t>3</w:t>
          </w:r>
          <w:r w:rsidR="008D1DBB" w:rsidRPr="008D1DBB">
            <w:rPr>
              <w:noProof/>
            </w:rPr>
            <w:fldChar w:fldCharType="end"/>
          </w:r>
          <w:bookmarkEnd w:id="17"/>
          <w:r w:rsidRPr="008D1DBB">
            <w:rPr>
              <w:noProof/>
            </w:rPr>
            <w:t>: </w:t>
          </w:r>
          <w:r w:rsidRPr="008D1DBB">
            <w:rPr>
              <w:noProof/>
              <w:color w:val="000000" w:themeColor="text1"/>
            </w:rPr>
            <w:t>Durchschnittliche CO</w:t>
          </w:r>
          <w:r w:rsidRPr="008D1DBB">
            <w:rPr>
              <w:noProof/>
              <w:color w:val="000000" w:themeColor="text1"/>
              <w:vertAlign w:val="subscript"/>
            </w:rPr>
            <w:t>2</w:t>
          </w:r>
          <w:r w:rsidRPr="008D1DBB">
            <w:rPr>
              <w:noProof/>
              <w:color w:val="000000" w:themeColor="text1"/>
            </w:rPr>
            <w:t>-Emissionen und durchschnittlicher Kraftstoffverbrauch im praktischen Fahrbetrieb (links) und Differenz (rechts) je Hersteller (benzinbetriebene Personenkraftwagen)</w:t>
          </w:r>
        </w:p>
        <w:p w14:paraId="7E552330" w14:textId="086FDDC0" w:rsidR="000D7109" w:rsidRPr="008D1DBB" w:rsidRDefault="000D7109" w:rsidP="00F1175B">
          <w:pPr>
            <w:pStyle w:val="FigureBody"/>
            <w:rPr>
              <w:noProof/>
            </w:rPr>
          </w:pPr>
          <w:r w:rsidRPr="008D1DBB">
            <w:rPr>
              <w:noProof/>
              <w:lang w:val="en-GB" w:eastAsia="en-GB"/>
            </w:rPr>
            <w:drawing>
              <wp:inline distT="0" distB="0" distL="0" distR="0" wp14:anchorId="67C3F382" wp14:editId="5BA79245">
                <wp:extent cx="5336840" cy="353684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3">
                          <a:extLst>
                            <a:ext uri="{28A0092B-C50C-407E-A947-70E740481C1C}">
                              <a14:useLocalDpi xmlns:a14="http://schemas.microsoft.com/office/drawing/2010/main" val="0"/>
                            </a:ext>
                          </a:extLst>
                        </a:blip>
                        <a:stretch>
                          <a:fillRect/>
                        </a:stretch>
                      </pic:blipFill>
                      <pic:spPr>
                        <a:xfrm>
                          <a:off x="0" y="0"/>
                          <a:ext cx="5336840" cy="3536840"/>
                        </a:xfrm>
                        <a:prstGeom prst="rect">
                          <a:avLst/>
                        </a:prstGeom>
                      </pic:spPr>
                    </pic:pic>
                  </a:graphicData>
                </a:graphic>
              </wp:inline>
            </w:drawing>
          </w:r>
        </w:p>
      </w:sdtContent>
    </w:sdt>
    <w:bookmarkStart w:id="18" w:name="_Ref147157762"/>
    <w:p w14:paraId="64E78489" w14:textId="7329AE3E" w:rsidR="009A3D25" w:rsidRPr="008D1DBB" w:rsidRDefault="009A3D25" w:rsidP="009A3D25">
      <w:pPr>
        <w:pStyle w:val="FigureBody"/>
        <w:keepNext w:val="0"/>
        <w:rPr>
          <w:noProof/>
        </w:rPr>
      </w:pPr>
      <w:r w:rsidRPr="008D1DBB">
        <w:rPr>
          <w:rStyle w:val="CrossReference"/>
          <w:noProof/>
        </w:rPr>
        <w:fldChar w:fldCharType="begin"/>
      </w:r>
      <w:r w:rsidRPr="008D1DBB">
        <w:rPr>
          <w:rStyle w:val="CrossReference"/>
          <w:noProof/>
        </w:rPr>
        <w:instrText xml:space="preserve"> REF _Ref152580549 \h  \* MERGEFORMAT </w:instrText>
      </w:r>
      <w:r w:rsidRPr="008D1DBB">
        <w:rPr>
          <w:rStyle w:val="CrossReference"/>
          <w:noProof/>
        </w:rPr>
      </w:r>
      <w:r w:rsidRPr="008D1DBB">
        <w:rPr>
          <w:rStyle w:val="CrossReference"/>
          <w:noProof/>
        </w:rPr>
        <w:fldChar w:fldCharType="separate"/>
      </w:r>
      <w:r w:rsidR="00241905" w:rsidRPr="008D1DBB">
        <w:rPr>
          <w:rStyle w:val="CrossReference"/>
          <w:noProof/>
        </w:rPr>
        <w:t>Abbildung </w:t>
      </w:r>
      <w:r w:rsidRPr="008D1DBB">
        <w:rPr>
          <w:rStyle w:val="CrossReference"/>
          <w:noProof/>
        </w:rPr>
        <w:t>4</w:t>
      </w:r>
      <w:r w:rsidRPr="008D1DBB">
        <w:rPr>
          <w:rStyle w:val="CrossReference"/>
          <w:noProof/>
        </w:rPr>
        <w:fldChar w:fldCharType="end"/>
      </w:r>
      <w:r w:rsidRPr="008D1DBB">
        <w:rPr>
          <w:noProof/>
        </w:rPr>
        <w:t xml:space="preserve"> zeigt, dass es bei dieselbetriebenen Personenkraftwagen geringere Abweichungen zwischen den Herstellern hinsichtlich der Differenz zwischen Laborwerten und tatsächlichen Werten gibt, die zwischen 15 % und 27 % liegt und durchschnittlich 18,1 % beträgt.</w:t>
      </w:r>
    </w:p>
    <w:p w14:paraId="46152BAB" w14:textId="2F6C8106" w:rsidR="006832D0" w:rsidRPr="008D1DBB" w:rsidRDefault="006832D0" w:rsidP="006832D0">
      <w:pPr>
        <w:rPr>
          <w:noProof/>
        </w:rPr>
      </w:pPr>
    </w:p>
    <w:bookmarkStart w:id="19" w:name="_Ref152580549" w:displacedByCustomXml="next"/>
    <w:sdt>
      <w:sdtPr>
        <w:rPr>
          <w:b w:val="0"/>
          <w:i w:val="0"/>
          <w:noProof/>
        </w:rPr>
        <w:alias w:val="Abbildung"/>
        <w:tag w:val="Yevoz0GxKA7SLcZiEquUa5"/>
        <w:id w:val="1965070080"/>
        <w:placeholder>
          <w:docPart w:val="D066E0002C8A4B75B59FC82C434F722F"/>
        </w:placeholder>
      </w:sdtPr>
      <w:sdtEndPr/>
      <w:sdtContent>
        <w:p w14:paraId="78014A1B" w14:textId="1F3B3D93" w:rsidR="000D7109" w:rsidRPr="008D1DBB" w:rsidRDefault="000D7109" w:rsidP="000E3ADE">
          <w:pPr>
            <w:pStyle w:val="FigureTitle"/>
            <w:rPr>
              <w:noProof/>
            </w:rPr>
          </w:pPr>
          <w:r w:rsidRPr="008D1DBB">
            <w:rPr>
              <w:noProof/>
            </w:rPr>
            <w:t>Abbildung </w:t>
          </w:r>
          <w:r w:rsidR="008D1DBB" w:rsidRPr="008D1DBB">
            <w:rPr>
              <w:noProof/>
            </w:rPr>
            <w:fldChar w:fldCharType="begin"/>
          </w:r>
          <w:r w:rsidR="008D1DBB" w:rsidRPr="008D1DBB">
            <w:rPr>
              <w:noProof/>
            </w:rPr>
            <w:instrText xml:space="preserve"> SEQ Figure \* ARABIC </w:instrText>
          </w:r>
          <w:r w:rsidR="008D1DBB" w:rsidRPr="008D1DBB">
            <w:rPr>
              <w:noProof/>
            </w:rPr>
            <w:fldChar w:fldCharType="separate"/>
          </w:r>
          <w:r w:rsidRPr="008D1DBB">
            <w:rPr>
              <w:noProof/>
            </w:rPr>
            <w:t>4</w:t>
          </w:r>
          <w:r w:rsidR="008D1DBB" w:rsidRPr="008D1DBB">
            <w:rPr>
              <w:noProof/>
            </w:rPr>
            <w:fldChar w:fldCharType="end"/>
          </w:r>
          <w:bookmarkEnd w:id="19"/>
          <w:r w:rsidRPr="008D1DBB">
            <w:rPr>
              <w:noProof/>
            </w:rPr>
            <w:t>: </w:t>
          </w:r>
          <w:r w:rsidRPr="008D1DBB">
            <w:rPr>
              <w:noProof/>
              <w:color w:val="000000" w:themeColor="text1"/>
            </w:rPr>
            <w:t>Durchschnittliche CO</w:t>
          </w:r>
          <w:r w:rsidRPr="008D1DBB">
            <w:rPr>
              <w:noProof/>
              <w:color w:val="000000" w:themeColor="text1"/>
              <w:vertAlign w:val="subscript"/>
            </w:rPr>
            <w:t>2</w:t>
          </w:r>
          <w:r w:rsidRPr="008D1DBB">
            <w:rPr>
              <w:noProof/>
              <w:color w:val="000000" w:themeColor="text1"/>
            </w:rPr>
            <w:t>-Emissionen und durchschnittlicher Kraftstoffverbrauch im praktischen Fahrbetrieb (links) und Differenz (rechts) je Hersteller (dieselbetriebene Personenkraftwagen)</w:t>
          </w:r>
        </w:p>
        <w:p w14:paraId="693EEA35" w14:textId="490A02D8" w:rsidR="000D7109" w:rsidRPr="008D1DBB" w:rsidRDefault="000D7109" w:rsidP="000E3ADE">
          <w:pPr>
            <w:pStyle w:val="FigureBody"/>
            <w:rPr>
              <w:noProof/>
            </w:rPr>
          </w:pPr>
          <w:r w:rsidRPr="008D1DBB">
            <w:rPr>
              <w:noProof/>
              <w:lang w:val="en-GB" w:eastAsia="en-GB"/>
            </w:rPr>
            <w:drawing>
              <wp:inline distT="0" distB="0" distL="0" distR="0" wp14:anchorId="201C0784" wp14:editId="62CBE738">
                <wp:extent cx="4784090" cy="31697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4">
                          <a:extLst>
                            <a:ext uri="{28A0092B-C50C-407E-A947-70E740481C1C}">
                              <a14:useLocalDpi xmlns:a14="http://schemas.microsoft.com/office/drawing/2010/main" val="0"/>
                            </a:ext>
                          </a:extLst>
                        </a:blip>
                        <a:stretch>
                          <a:fillRect/>
                        </a:stretch>
                      </pic:blipFill>
                      <pic:spPr>
                        <a:xfrm>
                          <a:off x="0" y="0"/>
                          <a:ext cx="4792253" cy="3175136"/>
                        </a:xfrm>
                        <a:prstGeom prst="rect">
                          <a:avLst/>
                        </a:prstGeom>
                      </pic:spPr>
                    </pic:pic>
                  </a:graphicData>
                </a:graphic>
              </wp:inline>
            </w:drawing>
          </w:r>
        </w:p>
      </w:sdtContent>
    </w:sdt>
    <w:bookmarkEnd w:id="18"/>
    <w:p w14:paraId="3915A923" w14:textId="77777777" w:rsidR="006832D0" w:rsidRPr="008D1DBB" w:rsidRDefault="006832D0" w:rsidP="006832D0">
      <w:pPr>
        <w:rPr>
          <w:noProof/>
        </w:rPr>
      </w:pPr>
    </w:p>
    <w:p w14:paraId="5E971401" w14:textId="572643F6" w:rsidR="0023771E" w:rsidRPr="008D1DBB" w:rsidRDefault="00386DD6" w:rsidP="00AF1427">
      <w:pPr>
        <w:rPr>
          <w:noProof/>
          <w:color w:val="000000" w:themeColor="text1"/>
        </w:rPr>
      </w:pPr>
      <w:r w:rsidRPr="008D1DBB">
        <w:rPr>
          <w:noProof/>
        </w:rPr>
        <w:t xml:space="preserve">Bei Plug-in-Hybridfahrzeugen mit Benzinmotor liegt die durchschnittliche Differenz je Hersteller zwischen 170 % und 345 %, der Durchschnittswert beläuft sich auf 238 % (siehe </w:t>
      </w:r>
      <w:r w:rsidRPr="008D1DBB">
        <w:rPr>
          <w:rStyle w:val="CrossReference"/>
          <w:noProof/>
        </w:rPr>
        <w:fldChar w:fldCharType="begin"/>
      </w:r>
      <w:r w:rsidRPr="008D1DBB">
        <w:rPr>
          <w:rStyle w:val="CrossReference"/>
          <w:noProof/>
        </w:rPr>
        <w:instrText xml:space="preserve"> REF _Ref152580623 \h  \* MERGEFORMAT </w:instrText>
      </w:r>
      <w:r w:rsidRPr="008D1DBB">
        <w:rPr>
          <w:rStyle w:val="CrossReference"/>
          <w:noProof/>
        </w:rPr>
      </w:r>
      <w:r w:rsidRPr="008D1DBB">
        <w:rPr>
          <w:rStyle w:val="CrossReference"/>
          <w:noProof/>
        </w:rPr>
        <w:fldChar w:fldCharType="separate"/>
      </w:r>
      <w:r w:rsidR="00241905" w:rsidRPr="008D1DBB">
        <w:rPr>
          <w:rStyle w:val="CrossReference"/>
          <w:noProof/>
        </w:rPr>
        <w:t>Abbildung </w:t>
      </w:r>
      <w:r w:rsidRPr="008D1DBB">
        <w:rPr>
          <w:rStyle w:val="CrossReference"/>
          <w:noProof/>
        </w:rPr>
        <w:t>5</w:t>
      </w:r>
      <w:r w:rsidRPr="008D1DBB">
        <w:rPr>
          <w:rStyle w:val="CrossReference"/>
          <w:noProof/>
        </w:rPr>
        <w:fldChar w:fldCharType="end"/>
      </w:r>
      <w:r w:rsidRPr="008D1DBB">
        <w:rPr>
          <w:rStyle w:val="CrossReference"/>
          <w:i w:val="0"/>
          <w:noProof/>
        </w:rPr>
        <w:t>).</w:t>
      </w:r>
    </w:p>
    <w:bookmarkStart w:id="20" w:name="_Ref152580623" w:displacedByCustomXml="next"/>
    <w:sdt>
      <w:sdtPr>
        <w:rPr>
          <w:b w:val="0"/>
          <w:i w:val="0"/>
          <w:noProof/>
        </w:rPr>
        <w:alias w:val="Abbildung"/>
        <w:tag w:val="Yevoz0GxKA7SLcZiEquUa5"/>
        <w:id w:val="1586501856"/>
        <w:placeholder>
          <w:docPart w:val="24A5CDA148284BA88E3975567B3708F9"/>
        </w:placeholder>
      </w:sdtPr>
      <w:sdtEndPr/>
      <w:sdtContent>
        <w:p w14:paraId="138974B0" w14:textId="31B895D2" w:rsidR="000D7109" w:rsidRPr="008D1DBB" w:rsidRDefault="000D7109" w:rsidP="00215622">
          <w:pPr>
            <w:pStyle w:val="FigureTitle"/>
            <w:keepNext w:val="0"/>
            <w:rPr>
              <w:noProof/>
            </w:rPr>
          </w:pPr>
          <w:r w:rsidRPr="008D1DBB">
            <w:rPr>
              <w:noProof/>
            </w:rPr>
            <w:t>Abbildung </w:t>
          </w:r>
          <w:r w:rsidR="008D1DBB" w:rsidRPr="008D1DBB">
            <w:rPr>
              <w:noProof/>
            </w:rPr>
            <w:fldChar w:fldCharType="begin"/>
          </w:r>
          <w:r w:rsidR="008D1DBB" w:rsidRPr="008D1DBB">
            <w:rPr>
              <w:noProof/>
            </w:rPr>
            <w:instrText xml:space="preserve"> SEQ Figure \* ARABIC </w:instrText>
          </w:r>
          <w:r w:rsidR="008D1DBB" w:rsidRPr="008D1DBB">
            <w:rPr>
              <w:noProof/>
            </w:rPr>
            <w:fldChar w:fldCharType="separate"/>
          </w:r>
          <w:r w:rsidRPr="008D1DBB">
            <w:rPr>
              <w:noProof/>
            </w:rPr>
            <w:t>5</w:t>
          </w:r>
          <w:r w:rsidR="008D1DBB" w:rsidRPr="008D1DBB">
            <w:rPr>
              <w:noProof/>
            </w:rPr>
            <w:fldChar w:fldCharType="end"/>
          </w:r>
          <w:bookmarkEnd w:id="20"/>
          <w:r w:rsidRPr="008D1DBB">
            <w:rPr>
              <w:noProof/>
            </w:rPr>
            <w:t>: </w:t>
          </w:r>
          <w:r w:rsidRPr="008D1DBB">
            <w:rPr>
              <w:noProof/>
              <w:color w:val="000000" w:themeColor="text1"/>
            </w:rPr>
            <w:t>Durchschnittliche CO</w:t>
          </w:r>
          <w:r w:rsidRPr="008D1DBB">
            <w:rPr>
              <w:noProof/>
              <w:color w:val="000000" w:themeColor="text1"/>
              <w:vertAlign w:val="subscript"/>
            </w:rPr>
            <w:t>2</w:t>
          </w:r>
          <w:r w:rsidRPr="008D1DBB">
            <w:rPr>
              <w:noProof/>
              <w:color w:val="000000" w:themeColor="text1"/>
            </w:rPr>
            <w:t>-Emissionen und durchschnittlicher Kraftstoffverbrauch im praktischen Fahrbetrieb (links) und Differenz (rechts) je Hersteller (Plug-in-Hybridelektrofahrzeuge mit Benzinmotor)</w:t>
          </w:r>
        </w:p>
        <w:p w14:paraId="753B92ED" w14:textId="6816C1D1" w:rsidR="000D7109" w:rsidRPr="008D1DBB" w:rsidRDefault="000D7109" w:rsidP="00215622">
          <w:pPr>
            <w:pStyle w:val="FigureBody"/>
            <w:keepNext w:val="0"/>
            <w:rPr>
              <w:noProof/>
            </w:rPr>
          </w:pPr>
          <w:r w:rsidRPr="008D1DBB">
            <w:rPr>
              <w:noProof/>
              <w:color w:val="000000" w:themeColor="text1"/>
              <w:lang w:val="en-GB" w:eastAsia="en-GB"/>
            </w:rPr>
            <w:drawing>
              <wp:inline distT="0" distB="0" distL="0" distR="0" wp14:anchorId="4C167067" wp14:editId="26F247E7">
                <wp:extent cx="4963160" cy="3286417"/>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972222" cy="3292418"/>
                        </a:xfrm>
                        <a:prstGeom prst="rect">
                          <a:avLst/>
                        </a:prstGeom>
                        <a:noFill/>
                        <a:ln>
                          <a:noFill/>
                        </a:ln>
                      </pic:spPr>
                    </pic:pic>
                  </a:graphicData>
                </a:graphic>
              </wp:inline>
            </w:drawing>
          </w:r>
        </w:p>
      </w:sdtContent>
    </w:sdt>
    <w:p w14:paraId="69E73BDD" w14:textId="2A21FEF6" w:rsidR="00315FB0" w:rsidRPr="008D1DBB" w:rsidRDefault="00315FB0" w:rsidP="00315FB0">
      <w:pPr>
        <w:pStyle w:val="Heading1"/>
        <w:rPr>
          <w:noProof/>
        </w:rPr>
      </w:pPr>
      <w:r w:rsidRPr="008D1DBB">
        <w:rPr>
          <w:noProof/>
        </w:rPr>
        <w:t>Bewertung der künftigen Nutzung der Daten aus dem praktischen Fahrbetrieb</w:t>
      </w:r>
    </w:p>
    <w:p w14:paraId="66F08757" w14:textId="039E4CD9" w:rsidR="00315FB0" w:rsidRPr="008D1DBB" w:rsidRDefault="00315FB0" w:rsidP="00315FB0">
      <w:pPr>
        <w:rPr>
          <w:noProof/>
        </w:rPr>
      </w:pPr>
      <w:r w:rsidRPr="008D1DBB">
        <w:rPr>
          <w:noProof/>
        </w:rPr>
        <w:t>Dieser Abschnitt des Berichts stellt die Bewertung der Kommission gemäß Artikel 12 Absatz 3 der Verordnung (EU) 2019/631 hinsichtlich der Frage dar, wie die Daten aus dem praktischen Fahrbetrieb genutzt werden können, um sicherzustellen, dass die mit dem WLTP-Verfahren ermittelten CO</w:t>
      </w:r>
      <w:r w:rsidRPr="008D1DBB">
        <w:rPr>
          <w:noProof/>
          <w:vertAlign w:val="subscript"/>
        </w:rPr>
        <w:t>2</w:t>
      </w:r>
      <w:r w:rsidRPr="008D1DBB">
        <w:rPr>
          <w:noProof/>
        </w:rPr>
        <w:t>-Emissionen sowie Kraftstoff- oder Energieverbrauchswerte im Zeitablauf für jeden Hersteller repräsentativ für die tatsächliche Leistung bleiben.</w:t>
      </w:r>
    </w:p>
    <w:p w14:paraId="348510B0" w14:textId="77777777" w:rsidR="00315FB0" w:rsidRPr="008D1DBB" w:rsidRDefault="00315FB0" w:rsidP="00315FB0">
      <w:pPr>
        <w:rPr>
          <w:noProof/>
        </w:rPr>
      </w:pPr>
      <w:r w:rsidRPr="008D1DBB">
        <w:rPr>
          <w:noProof/>
        </w:rPr>
        <w:t>Zum gegenwärtigen Zeitpunkt sollten die folgenden weiteren Nutzungsmöglichkeiten der tatsächlichen Daten in Betracht gezogen werden:</w:t>
      </w:r>
    </w:p>
    <w:p w14:paraId="6FDE01FB" w14:textId="4BD1C0DD" w:rsidR="00315FB0" w:rsidRPr="008D1DBB" w:rsidRDefault="000F7E25" w:rsidP="00315FB0">
      <w:pPr>
        <w:pStyle w:val="Heading2"/>
        <w:rPr>
          <w:noProof/>
        </w:rPr>
      </w:pPr>
      <w:r w:rsidRPr="008D1DBB">
        <w:rPr>
          <w:noProof/>
        </w:rPr>
        <w:t>Sicherstellung, dass die WLTP-Werte für die tatsächlichen Emissionen repräsentativ bleiben</w:t>
      </w:r>
    </w:p>
    <w:p w14:paraId="2E70D329" w14:textId="51ABB845" w:rsidR="004B478D" w:rsidRPr="008D1DBB" w:rsidRDefault="00315FB0" w:rsidP="00315FB0">
      <w:pPr>
        <w:rPr>
          <w:noProof/>
        </w:rPr>
      </w:pPr>
      <w:r w:rsidRPr="008D1DBB">
        <w:rPr>
          <w:noProof/>
        </w:rPr>
        <w:t>Hauptziel der Überwachung der Daten im praktischen Fahrbetrieb ist es, die Entwicklung der Differenz zwischen Laborwerten und tatsächlichen Emissionen zu verfolgen, um sicherzustellen, dass die WLTP-basierten CO</w:t>
      </w:r>
      <w:r w:rsidRPr="008D1DBB">
        <w:rPr>
          <w:noProof/>
          <w:vertAlign w:val="subscript"/>
        </w:rPr>
        <w:t>2</w:t>
      </w:r>
      <w:r w:rsidRPr="008D1DBB">
        <w:rPr>
          <w:noProof/>
        </w:rPr>
        <w:t>-Emissionswerte für die tatsächlichen Emissionen von Fahrzeugen im Fahrbetrieb im Zeitverlauf repräsentativ bleiben. Nimmt die Differenz im Laufe der Zeit zu, sollte dieser Trend so schnell wie möglich festgestellt werden, und es sollten Maßnahmen ergriffen werden, um sicherzustellen, dass die wachsende Diskrepanz entweder behoben oder angemessen berücksichtigt wird. Dies könnte beispielsweise durch eine Anpassung des WLTP-Prüfverfahrens, die Berichtigung der WLTP-Überwachungsdaten oder die Festlegung von Zielen auf der Grundlage der Emissionen im praktischen Fahrbetrieb geschehen.</w:t>
      </w:r>
    </w:p>
    <w:p w14:paraId="32FEF66A" w14:textId="74ABECD6" w:rsidR="00315FB0" w:rsidRPr="008D1DBB" w:rsidRDefault="00315FB0" w:rsidP="00315FB0">
      <w:pPr>
        <w:rPr>
          <w:noProof/>
        </w:rPr>
      </w:pPr>
      <w:r w:rsidRPr="008D1DBB">
        <w:rPr>
          <w:noProof/>
        </w:rPr>
        <w:t>Zum gegenwärtigen Zeitpunkt ist es jedoch noch zu früh, um Trends hinsichtlich der Größe der Differenz zu erkennen, da bisher nur Daten für ein Jahr vorliegen. Für die folgenden Jahre wird es notwendig sein, eine bessere und repräsentativere Erfassung der Fahrzeugflotte zu erreichen, um die Daten aus dem praktischen Fahrbetrieb zu verfolgen und diese Differenz im Zeitverlauf angemessen zu analysieren.</w:t>
      </w:r>
    </w:p>
    <w:p w14:paraId="7A4020A3" w14:textId="2FE3AC28" w:rsidR="00315FB0" w:rsidRPr="008D1DBB" w:rsidRDefault="00315FB0" w:rsidP="00315FB0">
      <w:pPr>
        <w:pStyle w:val="Heading2"/>
        <w:rPr>
          <w:noProof/>
        </w:rPr>
      </w:pPr>
      <w:r w:rsidRPr="008D1DBB">
        <w:rPr>
          <w:noProof/>
        </w:rPr>
        <w:t>Überarbeitung des Nutzfaktors für Plug-in-Hybridelektrofahrzeuge</w:t>
      </w:r>
    </w:p>
    <w:p w14:paraId="09310F25" w14:textId="245457C0" w:rsidR="00315FB0" w:rsidRPr="008D1DBB" w:rsidRDefault="00315FB0" w:rsidP="00315FB0">
      <w:pPr>
        <w:rPr>
          <w:noProof/>
        </w:rPr>
      </w:pPr>
      <w:r w:rsidRPr="008D1DBB">
        <w:rPr>
          <w:noProof/>
        </w:rPr>
        <w:t xml:space="preserve">Die Analyse der Daten aus dem praktischen Fahrbetrieb bestätigt, dass die Differenz zwischen Laborwerten und tatsächlichen Werten bei Plug-in-Hybridelektrofahrzeugen erheblich größer ist als bei konventionellen Fahrzeugen. Ein Hauptgrund für eine solche Diskrepanz ist das Missverhältnis zwischen dem bei der Typgenehmigung verwendeten Nutzfaktor und den tatsächlichen Lade- und Fahrmustern der Fahrzeuge. </w:t>
      </w:r>
    </w:p>
    <w:p w14:paraId="722B7DBF" w14:textId="3E95D5D2" w:rsidR="005E6231" w:rsidRPr="008D1DBB" w:rsidRDefault="00315FB0" w:rsidP="00315FB0">
      <w:pPr>
        <w:rPr>
          <w:noProof/>
        </w:rPr>
      </w:pPr>
      <w:r w:rsidRPr="008D1DBB">
        <w:rPr>
          <w:noProof/>
        </w:rPr>
        <w:t xml:space="preserve">Um hier Abhilfe zu schaffen, wurden mit der Verordnung (EU) 2023/443 der Kommission bereits Änderungen an der Berechnung des Nutzfaktors eingeführt, um ihn den realen Bedingungen näherzubringen. Diese Änderungen werden in zwei aufeinanderfolgenden Schritten ab 2025 und 2027 gelten. Darüber hinaus wird die Kommission bis Ende 2024 auf der Grundlage der bis dahin erhobenen Daten aus dem praktischen Fahrbetrieb den Faktor für die zweite Phase überprüfen. </w:t>
      </w:r>
    </w:p>
    <w:p w14:paraId="12371F23" w14:textId="77777777" w:rsidR="00315FB0" w:rsidRPr="008D1DBB" w:rsidRDefault="00315FB0" w:rsidP="00315FB0">
      <w:pPr>
        <w:pStyle w:val="Heading2"/>
        <w:rPr>
          <w:noProof/>
        </w:rPr>
      </w:pPr>
      <w:r w:rsidRPr="008D1DBB">
        <w:rPr>
          <w:noProof/>
        </w:rPr>
        <w:t>Nutzung von Daten aus dem praktischen Fahrbetrieb zur Unterstützung der Überprüfung der CO</w:t>
      </w:r>
      <w:r w:rsidRPr="008D1DBB">
        <w:rPr>
          <w:noProof/>
          <w:vertAlign w:val="subscript"/>
        </w:rPr>
        <w:t>2</w:t>
      </w:r>
      <w:r w:rsidRPr="008D1DBB">
        <w:rPr>
          <w:noProof/>
        </w:rPr>
        <w:t>-Emissionen von Fahrzeugen im Betrieb</w:t>
      </w:r>
    </w:p>
    <w:p w14:paraId="0F1617BF" w14:textId="79E9667E" w:rsidR="00961431" w:rsidRPr="008D1DBB" w:rsidRDefault="00547897" w:rsidP="00215622">
      <w:pPr>
        <w:keepLines/>
        <w:rPr>
          <w:noProof/>
        </w:rPr>
      </w:pPr>
      <w:r w:rsidRPr="008D1DBB">
        <w:rPr>
          <w:noProof/>
        </w:rPr>
        <w:t>In Bezug auf die Überprüfung in Betrieb befindlicher Fahrzeuge wird in Artikel 13 Absatz 2 der Verordnung (EU) 2019/631 vorgeschlagen, die Daten von OBFCM-Einrichtungen zu verwenden.</w:t>
      </w:r>
      <w:r w:rsidRPr="008D1DBB">
        <w:rPr>
          <w:noProof/>
          <w:color w:val="000000" w:themeColor="text1"/>
        </w:rPr>
        <w:t xml:space="preserve"> </w:t>
      </w:r>
      <w:r w:rsidRPr="008D1DBB">
        <w:rPr>
          <w:noProof/>
        </w:rPr>
        <w:t>Die Delegierte Verordnung (EU) 2023/286</w:t>
      </w:r>
      <w:r w:rsidR="00C409A1" w:rsidRPr="008D1DBB">
        <w:rPr>
          <w:noProof/>
        </w:rPr>
        <w:t>7</w:t>
      </w:r>
      <w:r w:rsidRPr="008D1DBB">
        <w:rPr>
          <w:noProof/>
        </w:rPr>
        <w:t>, in der die Leitprinzipien für diese Überprüfung der CO</w:t>
      </w:r>
      <w:r w:rsidRPr="008D1DBB">
        <w:rPr>
          <w:noProof/>
          <w:vertAlign w:val="subscript"/>
        </w:rPr>
        <w:t>2</w:t>
      </w:r>
      <w:r w:rsidRPr="008D1DBB">
        <w:rPr>
          <w:noProof/>
        </w:rPr>
        <w:t>-Emissionen im Betrieb festgelegt werden, und die Durchführungsverordnung (EU) 2023/286</w:t>
      </w:r>
      <w:r w:rsidR="00E65020" w:rsidRPr="008D1DBB">
        <w:rPr>
          <w:noProof/>
        </w:rPr>
        <w:t>6</w:t>
      </w:r>
      <w:r w:rsidRPr="008D1DBB">
        <w:rPr>
          <w:noProof/>
        </w:rPr>
        <w:t>, in der die entsprechenden Überprüfungsverfahren bestimmt werden, wurden kürzlich angenommen.</w:t>
      </w:r>
      <w:r w:rsidRPr="008D1DBB">
        <w:rPr>
          <w:noProof/>
          <w:color w:val="000000" w:themeColor="text1"/>
        </w:rPr>
        <w:t xml:space="preserve"> In beiden Verordnungen wird festgelegt, dass Daten aus dem praktischen Fahrbetrieb im Rahmen der Risikobewertung verwendet werden können, um zu ermitteln, bei welchen Fahrzeugfamilien es am sinnvollsten ist, die WLTP-basierten CO</w:t>
      </w:r>
      <w:r w:rsidRPr="008D1DBB">
        <w:rPr>
          <w:noProof/>
          <w:color w:val="000000" w:themeColor="text1"/>
          <w:vertAlign w:val="subscript"/>
        </w:rPr>
        <w:t>2</w:t>
      </w:r>
      <w:r w:rsidRPr="008D1DBB">
        <w:rPr>
          <w:noProof/>
          <w:color w:val="000000" w:themeColor="text1"/>
        </w:rPr>
        <w:t xml:space="preserve">-Emissionen zu überprüfen. </w:t>
      </w:r>
    </w:p>
    <w:p w14:paraId="23B82ABE" w14:textId="0D58E6DA" w:rsidR="00926F07" w:rsidRPr="008D1DBB" w:rsidRDefault="00926F07" w:rsidP="00961431">
      <w:pPr>
        <w:pStyle w:val="Heading1"/>
        <w:rPr>
          <w:noProof/>
        </w:rPr>
      </w:pPr>
      <w:r w:rsidRPr="008D1DBB">
        <w:rPr>
          <w:noProof/>
        </w:rPr>
        <w:t xml:space="preserve">Schlussfolgerungen </w:t>
      </w:r>
    </w:p>
    <w:p w14:paraId="4F48ED94" w14:textId="11CC0DEF" w:rsidR="00FB4133" w:rsidRPr="008D1DBB" w:rsidRDefault="00FB4133" w:rsidP="000E207C">
      <w:pPr>
        <w:rPr>
          <w:b/>
          <w:noProof/>
        </w:rPr>
      </w:pPr>
      <w:r w:rsidRPr="008D1DBB">
        <w:rPr>
          <w:b/>
          <w:noProof/>
        </w:rPr>
        <w:t>Diese Repräsentativität der CO</w:t>
      </w:r>
      <w:r w:rsidRPr="008D1DBB">
        <w:rPr>
          <w:b/>
          <w:noProof/>
          <w:vertAlign w:val="subscript"/>
        </w:rPr>
        <w:t>2</w:t>
      </w:r>
      <w:r w:rsidRPr="008D1DBB">
        <w:rPr>
          <w:b/>
          <w:noProof/>
        </w:rPr>
        <w:t>-Emissionswerte von Fahrzeugen ist entscheidend für die Umweltintegrität, die Transparenz und die Zuverlässigkeit des Überwachungssystems und somit auch für das Vertrauen der Verbraucherinnen und Verbraucher.</w:t>
      </w:r>
    </w:p>
    <w:p w14:paraId="1A120C4F" w14:textId="3BC3F033" w:rsidR="00FA176B" w:rsidRPr="008D1DBB" w:rsidRDefault="000E207C" w:rsidP="00686C3A">
      <w:pPr>
        <w:rPr>
          <w:noProof/>
        </w:rPr>
      </w:pPr>
      <w:r w:rsidRPr="008D1DBB">
        <w:rPr>
          <w:b/>
          <w:noProof/>
        </w:rPr>
        <w:t>Mit diesem ersten Bericht, der sich auf Daten für im Jahr 2021 erstmals zugelassene Fahrzeuge konzentriert, wird ein Prozess der Überwachung und Berichterstattung über die Umsetzung der CO</w:t>
      </w:r>
      <w:r w:rsidRPr="008D1DBB">
        <w:rPr>
          <w:b/>
          <w:noProof/>
          <w:vertAlign w:val="subscript"/>
        </w:rPr>
        <w:t>2</w:t>
      </w:r>
      <w:r w:rsidRPr="008D1DBB">
        <w:rPr>
          <w:b/>
          <w:noProof/>
        </w:rPr>
        <w:t>-Emissionen im praktischen Fahrbetrieb eingeleitet.</w:t>
      </w:r>
      <w:r w:rsidRPr="008D1DBB">
        <w:rPr>
          <w:noProof/>
        </w:rPr>
        <w:t xml:space="preserve"> Im ersten Jahr wurden Daten aus dem praktischen Fahrbetrieb von 988 124 Fahrzeugen erhoben; dies entspricht 10,6 % der Personenkraftwagen und 1,0 % der leichten Nutzfahrzeuge, die 2021 erstmals zugelassen wurden. Nach der Datenverarbeitung wurde eine Analyse an einem endgültigen Datensatz durchgeführt, der 617 194 Personenkraftwagen (67 % der gemeldeten) und 6 667 leichte Nutzfahrzeuge (54 % der gemeldeten) umfasste. </w:t>
      </w:r>
    </w:p>
    <w:p w14:paraId="2B4B6C94" w14:textId="714EA19E" w:rsidR="00F97B32" w:rsidRPr="008D1DBB" w:rsidRDefault="00CA0DFC" w:rsidP="00EF758F">
      <w:pPr>
        <w:rPr>
          <w:noProof/>
        </w:rPr>
      </w:pPr>
      <w:r w:rsidRPr="008D1DBB">
        <w:rPr>
          <w:b/>
          <w:noProof/>
        </w:rPr>
        <w:t>Die in diesem ersten Jahr erhobenen Daten weisen eine Reihe von Einschränkungen in Bezug auf Erfassung, Repräsentativität und Qualität auf.</w:t>
      </w:r>
      <w:r w:rsidRPr="008D1DBB">
        <w:rPr>
          <w:noProof/>
        </w:rPr>
        <w:t xml:space="preserve"> Definitionsgemäß wurden die im ersten Jahr gemeldeten Fahrzeuge seit weniger als einem Jahr im Straßenverkehr betrieben. Mit Ausnahme der Hersteller, die in großem Umfang OTA-Übertragungen nutzen, wurden daher nur Daten über die begrenzte Zahl von Fahrzeugen erhoben, bei denen eine Wartung oder Reparatur vorgenommen wurde. Bei Personenkraftwagen deckt der endgültige Datensatz 7,2 % der 2021 in der EU erstmals zugelassenen Neuwagen ab, ergibt sich jedoch hauptsächlich aus den Meldungen von nur vier Herstellern. Außerdem ist der Anteil von schwereren und Dieselfahrzeugen relativ höher. Für leichte Nutzfahrzeuge wurden 2021 nur sehr begrenzte Daten aus dem praktischen Fahrbetrieb gemeldet, da für die überwiegende Mehrheit dieser Fahrzeuge erst ab 2022 die Verpflichtung besteht, solche Daten zu erfassen. Daher war für dieses Jahr keine repräsentative Analyse für leichte Nutzfahrzeuge möglich.</w:t>
      </w:r>
    </w:p>
    <w:p w14:paraId="506F973A" w14:textId="1FB4392E" w:rsidR="003671C9" w:rsidRPr="008D1DBB" w:rsidRDefault="004524CE" w:rsidP="00CA0DFC">
      <w:pPr>
        <w:rPr>
          <w:noProof/>
        </w:rPr>
      </w:pPr>
      <w:r w:rsidRPr="008D1DBB">
        <w:rPr>
          <w:b/>
          <w:bCs/>
          <w:noProof/>
        </w:rPr>
        <w:t>Insgesamt blieb die Flottenerfassung bei den meisten Herstellern hinter den Erwartungen zurück, und es sollten weitere Schritte unternommen werden, um dies in den kommenden Jahren</w:t>
      </w:r>
      <w:r w:rsidRPr="008D1DBB">
        <w:rPr>
          <w:noProof/>
        </w:rPr>
        <w:t xml:space="preserve"> sowohl für Personenkraftwagen als auch für leichte Nutzfahrzeuge </w:t>
      </w:r>
      <w:r w:rsidRPr="008D1DBB">
        <w:rPr>
          <w:b/>
          <w:bCs/>
          <w:noProof/>
        </w:rPr>
        <w:t>deutlich zu verbessern</w:t>
      </w:r>
      <w:r w:rsidRPr="008D1DBB">
        <w:rPr>
          <w:noProof/>
        </w:rPr>
        <w:t>. Gemäß der Verordnung (EU) 2021/392 müssen die Hersteller im Rahmen ihrer Berichterstattung für die folgenden Jahre stichhaltige Gründe für fehlende Fahrzeugdaten vorlegen.</w:t>
      </w:r>
    </w:p>
    <w:p w14:paraId="5A78829A" w14:textId="70ECBD9C" w:rsidR="00E32171" w:rsidRPr="008D1DBB" w:rsidRDefault="006825CF" w:rsidP="00926F07">
      <w:pPr>
        <w:pStyle w:val="Text2"/>
        <w:ind w:left="0"/>
        <w:rPr>
          <w:noProof/>
          <w:color w:val="000000" w:themeColor="text1"/>
        </w:rPr>
      </w:pPr>
      <w:r w:rsidRPr="008D1DBB">
        <w:rPr>
          <w:b/>
          <w:noProof/>
        </w:rPr>
        <w:t>Die durchschnittliche Differenz zwischen den tatsächlichen und den WLTP-Werten von CO</w:t>
      </w:r>
      <w:r w:rsidRPr="008D1DBB">
        <w:rPr>
          <w:b/>
          <w:noProof/>
          <w:vertAlign w:val="subscript"/>
        </w:rPr>
        <w:t>2</w:t>
      </w:r>
      <w:r w:rsidRPr="008D1DBB">
        <w:rPr>
          <w:b/>
          <w:noProof/>
        </w:rPr>
        <w:t>-Emissionen und Kraftstoffverbrauch der im Jahr 2021 zugelassenen Neuwagen betrug 23,7 % (34,6 g CO</w:t>
      </w:r>
      <w:r w:rsidRPr="008D1DBB">
        <w:rPr>
          <w:b/>
          <w:noProof/>
          <w:vertAlign w:val="subscript"/>
        </w:rPr>
        <w:t>2</w:t>
      </w:r>
      <w:r w:rsidRPr="008D1DBB">
        <w:rPr>
          <w:b/>
          <w:noProof/>
        </w:rPr>
        <w:t>/km) bei benzinbetriebenen Personenkraftwagen und 18,1 % (27,8 g CO</w:t>
      </w:r>
      <w:r w:rsidRPr="008D1DBB">
        <w:rPr>
          <w:b/>
          <w:noProof/>
          <w:vertAlign w:val="subscript"/>
        </w:rPr>
        <w:t>2</w:t>
      </w:r>
      <w:r w:rsidRPr="008D1DBB">
        <w:rPr>
          <w:b/>
          <w:noProof/>
        </w:rPr>
        <w:t>/km) bei dieselbetriebenen Personenkraftwagen.</w:t>
      </w:r>
      <w:r w:rsidRPr="008D1DBB">
        <w:rPr>
          <w:noProof/>
        </w:rPr>
        <w:t xml:space="preserve"> </w:t>
      </w:r>
      <w:r w:rsidRPr="008D1DBB">
        <w:rPr>
          <w:noProof/>
          <w:color w:val="000000" w:themeColor="text1"/>
        </w:rPr>
        <w:t>Dies bestätigt, dass sich die Differenz zwischen Laborwerten und tatsächlichen Werten infolge der Umstellung vom NEFZ- auf das WLTP-Prüfverfahren zur Bestimmung der amtlichen CO</w:t>
      </w:r>
      <w:r w:rsidRPr="008D1DBB">
        <w:rPr>
          <w:noProof/>
          <w:color w:val="000000" w:themeColor="text1"/>
          <w:vertAlign w:val="subscript"/>
        </w:rPr>
        <w:t>2</w:t>
      </w:r>
      <w:r w:rsidRPr="008D1DBB">
        <w:rPr>
          <w:noProof/>
          <w:color w:val="000000" w:themeColor="text1"/>
        </w:rPr>
        <w:t>-Emissions- und Kraftstoffverbrauchswerte in etwa halbiert hat. Für das Jahr 2021 ist die festgestellte Differenz mit den Annahmen hinsichtlich der Differenz für das Jahr 2021 vereinbar, die in den Folgenabschätzungen zur Überarbeitung der CO</w:t>
      </w:r>
      <w:r w:rsidRPr="008D1DBB">
        <w:rPr>
          <w:noProof/>
          <w:color w:val="000000" w:themeColor="text1"/>
          <w:vertAlign w:val="subscript"/>
        </w:rPr>
        <w:t>2</w:t>
      </w:r>
      <w:r w:rsidRPr="008D1DBB">
        <w:rPr>
          <w:noProof/>
          <w:color w:val="000000" w:themeColor="text1"/>
        </w:rPr>
        <w:t>-Normen enthalten sind.</w:t>
      </w:r>
    </w:p>
    <w:p w14:paraId="2AFE6E1F" w14:textId="643220A4" w:rsidR="000F5965" w:rsidRPr="008D1DBB" w:rsidRDefault="00D17347" w:rsidP="00926F07">
      <w:pPr>
        <w:pStyle w:val="Text2"/>
        <w:ind w:left="0"/>
        <w:rPr>
          <w:noProof/>
          <w:color w:val="000000" w:themeColor="text1"/>
        </w:rPr>
      </w:pPr>
      <w:r w:rsidRPr="008D1DBB">
        <w:rPr>
          <w:b/>
          <w:bCs/>
          <w:noProof/>
          <w:color w:val="000000" w:themeColor="text1"/>
        </w:rPr>
        <w:t>Dennoch liegt der tatsächliche Kraftstoffverbrauch im Fahrbetrieb immer noch etwa ein Fünftel über den Angaben in den amtlichen Typgenehmigungsunterlagen</w:t>
      </w:r>
      <w:r w:rsidRPr="008D1DBB">
        <w:rPr>
          <w:noProof/>
          <w:color w:val="000000" w:themeColor="text1"/>
        </w:rPr>
        <w:t>, und es ist wichtig, dass die Öffentlichkeit darauf aufmerksam gemacht wird.</w:t>
      </w:r>
    </w:p>
    <w:p w14:paraId="1224F159" w14:textId="31D3B6D5" w:rsidR="004114E4" w:rsidRPr="008D1DBB" w:rsidRDefault="00095841" w:rsidP="00926F07">
      <w:pPr>
        <w:pStyle w:val="Text2"/>
        <w:ind w:left="0"/>
        <w:rPr>
          <w:noProof/>
          <w:color w:val="000000" w:themeColor="text1"/>
        </w:rPr>
      </w:pPr>
      <w:r w:rsidRPr="008D1DBB">
        <w:rPr>
          <w:b/>
          <w:noProof/>
          <w:color w:val="000000" w:themeColor="text1"/>
        </w:rPr>
        <w:t xml:space="preserve">Besonders groß scheint diese Differenz bei schwereren Fahrzeugen wie SUV und Luxusfahrzeugen zu sein, deren Emissionen ohnehin deutlich höher sind als die anderer Personenkraftwagen. </w:t>
      </w:r>
      <w:r w:rsidRPr="008D1DBB">
        <w:rPr>
          <w:noProof/>
          <w:color w:val="000000" w:themeColor="text1"/>
        </w:rPr>
        <w:t>Diese größere Differenz könnte die Auswirkungen umfassenderer beobachteter Flottentrends verschärfen, die zeigen, dass die durchschnittlichen Fahrzeuggrößen und -gewichte zugenommen haben, was den Effekt von Verbesserungen der Kraftstoffeffizienz schmälert.</w:t>
      </w:r>
      <w:r w:rsidRPr="008D1DBB">
        <w:rPr>
          <w:b/>
          <w:noProof/>
          <w:color w:val="000000" w:themeColor="text1"/>
        </w:rPr>
        <w:t xml:space="preserve"> </w:t>
      </w:r>
      <w:r w:rsidRPr="008D1DBB">
        <w:rPr>
          <w:noProof/>
          <w:color w:val="000000" w:themeColor="text1"/>
        </w:rPr>
        <w:t>Der Zusammenhang zwischen der Differenz und der Fahrzeugmasse muss in den kommenden Jahren genau überwacht werden.</w:t>
      </w:r>
    </w:p>
    <w:p w14:paraId="08AE5B72" w14:textId="77F79B82" w:rsidR="006A7331" w:rsidRPr="008D1DBB" w:rsidRDefault="000F5965" w:rsidP="00A06670">
      <w:pPr>
        <w:rPr>
          <w:noProof/>
        </w:rPr>
      </w:pPr>
      <w:r w:rsidRPr="008D1DBB">
        <w:rPr>
          <w:b/>
          <w:bCs/>
          <w:noProof/>
        </w:rPr>
        <w:t>Bei neuen im Jahr 2021 zugelassenen Plug-in-Hybridelektrofahrzeugen waren die CO</w:t>
      </w:r>
      <w:r w:rsidRPr="008D1DBB">
        <w:rPr>
          <w:b/>
          <w:bCs/>
          <w:noProof/>
          <w:vertAlign w:val="subscript"/>
        </w:rPr>
        <w:t>2</w:t>
      </w:r>
      <w:r w:rsidRPr="008D1DBB">
        <w:rPr>
          <w:b/>
          <w:bCs/>
          <w:noProof/>
        </w:rPr>
        <w:t>-Emissionen im praktischen Fahrbetrieb durchschnittlich 3,5</w:t>
      </w:r>
      <w:r w:rsidR="004F54CD" w:rsidRPr="008D1DBB">
        <w:rPr>
          <w:b/>
          <w:bCs/>
          <w:noProof/>
        </w:rPr>
        <w:t>-m</w:t>
      </w:r>
      <w:r w:rsidRPr="008D1DBB">
        <w:rPr>
          <w:b/>
          <w:bCs/>
          <w:noProof/>
        </w:rPr>
        <w:t>al höher (100 g CO</w:t>
      </w:r>
      <w:r w:rsidRPr="008D1DBB">
        <w:rPr>
          <w:b/>
          <w:bCs/>
          <w:noProof/>
          <w:vertAlign w:val="subscript"/>
        </w:rPr>
        <w:t>2</w:t>
      </w:r>
      <w:r w:rsidRPr="008D1DBB">
        <w:rPr>
          <w:b/>
          <w:bCs/>
          <w:noProof/>
        </w:rPr>
        <w:t>/km) als die WLTP-Werte</w:t>
      </w:r>
      <w:r w:rsidRPr="008D1DBB">
        <w:rPr>
          <w:noProof/>
        </w:rPr>
        <w:t>. Dies bestätigt, dass das Potenzial dieser Fahrzeuge derzeit nicht ausgeschöpft wird, zumal sie nicht so häufig wie angenommen geladen und vollständig elektrisch betrieben werden. Um den praktischen Fahrbetrieb besser widerzuspiegeln, hat die Kommission bereits Änderungen an der Berechnung des für das amtliche Prüfverfahren verwendeten Nutzfaktors vorgenommen, die ab 2025 gelten und möglicherweise auf der Grundlage der Daten aus dem praktischen Fahrbetrieb weiter angepasst werden müssen.</w:t>
      </w:r>
    </w:p>
    <w:p w14:paraId="0B256CDF" w14:textId="4B295AD0" w:rsidR="005155AC" w:rsidRPr="008D1DBB" w:rsidRDefault="00A06670" w:rsidP="00A06670">
      <w:pPr>
        <w:rPr>
          <w:noProof/>
        </w:rPr>
      </w:pPr>
      <w:r w:rsidRPr="008D1DBB">
        <w:rPr>
          <w:b/>
          <w:bCs/>
          <w:noProof/>
        </w:rPr>
        <w:t>Diese ersten Daten sind zwar noch nicht umfassend oder repräsentativ genug, um eindeutige Schlussfolgerungen zu ziehen, liefern jedoch wertvolle vorläufige Erkenntnisse über die Emissionen von Kraftfahrzeugen</w:t>
      </w:r>
      <w:r w:rsidRPr="008D1DBB">
        <w:rPr>
          <w:noProof/>
        </w:rPr>
        <w:t xml:space="preserve"> sowie die Unterschiede zwischen den amtlichen und den tatsächlichen CO</w:t>
      </w:r>
      <w:r w:rsidRPr="008D1DBB">
        <w:rPr>
          <w:noProof/>
          <w:vertAlign w:val="subscript"/>
        </w:rPr>
        <w:t>2</w:t>
      </w:r>
      <w:r w:rsidRPr="008D1DBB">
        <w:rPr>
          <w:noProof/>
        </w:rPr>
        <w:t xml:space="preserve">-Emissionen bei verschiedenen Fahrzeugtypen und Herstellern. </w:t>
      </w:r>
    </w:p>
    <w:sectPr w:rsidR="005155AC" w:rsidRPr="008D1DBB">
      <w:headerReference w:type="even" r:id="rId26"/>
      <w:headerReference w:type="default" r:id="rId27"/>
      <w:footerReference w:type="even" r:id="rId28"/>
      <w:footerReference w:type="default" r:id="rId29"/>
      <w:headerReference w:type="first" r:id="rId30"/>
      <w:footerReference w:type="firs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C8FF8" w14:textId="77777777" w:rsidR="004E7AB8" w:rsidRDefault="004E7AB8">
      <w:pPr>
        <w:spacing w:after="0"/>
      </w:pPr>
      <w:r>
        <w:separator/>
      </w:r>
    </w:p>
  </w:endnote>
  <w:endnote w:type="continuationSeparator" w:id="0">
    <w:p w14:paraId="7C466734" w14:textId="77777777" w:rsidR="004E7AB8" w:rsidRDefault="004E7AB8">
      <w:pPr>
        <w:spacing w:after="0"/>
      </w:pPr>
      <w:r>
        <w:continuationSeparator/>
      </w:r>
    </w:p>
  </w:endnote>
  <w:endnote w:type="continuationNotice" w:id="1">
    <w:p w14:paraId="6A9F9017" w14:textId="77777777" w:rsidR="004E7AB8" w:rsidRDefault="004E7A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4EB33" w14:textId="2B7F1316" w:rsidR="00802EF4" w:rsidRPr="00802EF4" w:rsidRDefault="00802EF4" w:rsidP="00802EF4">
    <w:pPr>
      <w:pStyle w:val="FooterCoverPage"/>
      <w:rPr>
        <w:rFonts w:ascii="Arial" w:hAnsi="Arial" w:cs="Arial"/>
        <w:b/>
        <w:sz w:val="48"/>
      </w:rPr>
    </w:pPr>
    <w:r w:rsidRPr="00802EF4">
      <w:rPr>
        <w:rFonts w:ascii="Arial" w:hAnsi="Arial" w:cs="Arial"/>
        <w:b/>
        <w:sz w:val="48"/>
      </w:rPr>
      <w:t>DE</w:t>
    </w:r>
    <w:r w:rsidRPr="00802EF4">
      <w:rPr>
        <w:rFonts w:ascii="Arial" w:hAnsi="Arial" w:cs="Arial"/>
        <w:b/>
        <w:sz w:val="48"/>
      </w:rPr>
      <w:tab/>
    </w:r>
    <w:r w:rsidRPr="00802EF4">
      <w:rPr>
        <w:rFonts w:ascii="Arial" w:hAnsi="Arial" w:cs="Arial"/>
        <w:b/>
        <w:sz w:val="48"/>
      </w:rPr>
      <w:tab/>
    </w:r>
    <w:r w:rsidRPr="00802EF4">
      <w:tab/>
    </w:r>
    <w:r w:rsidRPr="00802EF4">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F7CD" w14:textId="26A1C445" w:rsidR="00802EF4" w:rsidRPr="00802EF4" w:rsidRDefault="00802EF4" w:rsidP="00802EF4">
    <w:pPr>
      <w:pStyle w:val="FooterCoverPage"/>
      <w:rPr>
        <w:rFonts w:ascii="Arial" w:hAnsi="Arial" w:cs="Arial"/>
        <w:b/>
        <w:sz w:val="48"/>
      </w:rPr>
    </w:pPr>
    <w:r w:rsidRPr="00802EF4">
      <w:rPr>
        <w:rFonts w:ascii="Arial" w:hAnsi="Arial" w:cs="Arial"/>
        <w:b/>
        <w:sz w:val="48"/>
      </w:rPr>
      <w:t>DE</w:t>
    </w:r>
    <w:r w:rsidRPr="00802EF4">
      <w:rPr>
        <w:rFonts w:ascii="Arial" w:hAnsi="Arial" w:cs="Arial"/>
        <w:b/>
        <w:sz w:val="48"/>
      </w:rPr>
      <w:tab/>
    </w:r>
    <w:r w:rsidRPr="00802EF4">
      <w:rPr>
        <w:rFonts w:ascii="Arial" w:hAnsi="Arial" w:cs="Arial"/>
        <w:b/>
        <w:sz w:val="48"/>
      </w:rPr>
      <w:tab/>
    </w:r>
    <w:r w:rsidRPr="00802EF4">
      <w:tab/>
    </w:r>
    <w:r w:rsidRPr="00802EF4">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539F9" w14:textId="77777777" w:rsidR="00802EF4" w:rsidRPr="00802EF4" w:rsidRDefault="00802EF4" w:rsidP="00802EF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59EC5" w14:textId="77777777" w:rsidR="00620850" w:rsidRDefault="00061949">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7C69F" w14:textId="78173282" w:rsidR="00620850" w:rsidRDefault="00061949">
    <w:pPr>
      <w:pStyle w:val="FooterLine"/>
      <w:jc w:val="center"/>
    </w:pPr>
    <w:r>
      <w:fldChar w:fldCharType="begin"/>
    </w:r>
    <w:r>
      <w:instrText>PAGE   \* MERGEFORMAT</w:instrText>
    </w:r>
    <w:r>
      <w:fldChar w:fldCharType="separate"/>
    </w:r>
    <w:r w:rsidR="00802EF4">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D11F5" w14:textId="31E92FC8" w:rsidR="00620850" w:rsidRDefault="00F33611">
    <w:pPr>
      <w:pStyle w:val="Footer"/>
      <w:rPr>
        <w:sz w:val="24"/>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7D956" w14:textId="77777777" w:rsidR="004E7AB8" w:rsidRDefault="004E7AB8">
      <w:pPr>
        <w:spacing w:after="0"/>
      </w:pPr>
      <w:r>
        <w:separator/>
      </w:r>
    </w:p>
  </w:footnote>
  <w:footnote w:type="continuationSeparator" w:id="0">
    <w:p w14:paraId="538864CB" w14:textId="77777777" w:rsidR="004E7AB8" w:rsidRDefault="004E7AB8">
      <w:pPr>
        <w:spacing w:after="0"/>
      </w:pPr>
      <w:r>
        <w:continuationSeparator/>
      </w:r>
    </w:p>
  </w:footnote>
  <w:footnote w:type="continuationNotice" w:id="1">
    <w:p w14:paraId="49600889" w14:textId="77777777" w:rsidR="004E7AB8" w:rsidRDefault="004E7AB8">
      <w:pPr>
        <w:spacing w:after="0"/>
      </w:pPr>
    </w:p>
  </w:footnote>
  <w:footnote w:id="2">
    <w:p w14:paraId="6C767994" w14:textId="70AE698D" w:rsidR="002D4B2B" w:rsidRPr="00215622" w:rsidRDefault="00EC6E42">
      <w:pPr>
        <w:pStyle w:val="FootnoteText"/>
      </w:pPr>
      <w:r w:rsidRPr="00215622">
        <w:rPr>
          <w:rStyle w:val="FootnoteReference"/>
        </w:rPr>
        <w:footnoteRef/>
      </w:r>
      <w:r w:rsidRPr="00215622">
        <w:t xml:space="preserve"> </w:t>
      </w:r>
      <w:r w:rsidRPr="00215622">
        <w:tab/>
      </w:r>
      <w:hyperlink r:id="rId1" w:history="1">
        <w:r w:rsidRPr="00215622">
          <w:rPr>
            <w:rStyle w:val="Hyperlink"/>
          </w:rPr>
          <w:t>https://www.eea.europa.eu/data-and-maps/data/data-viewers/greenhouse-gases-viewer</w:t>
        </w:r>
      </w:hyperlink>
      <w:r w:rsidRPr="00215622">
        <w:t xml:space="preserve"> </w:t>
      </w:r>
    </w:p>
  </w:footnote>
  <w:footnote w:id="3">
    <w:p w14:paraId="309F0DF1" w14:textId="11548FFE" w:rsidR="00A03EA0" w:rsidRPr="00215622" w:rsidRDefault="00A03EA0">
      <w:pPr>
        <w:pStyle w:val="FootnoteText"/>
      </w:pPr>
      <w:r w:rsidRPr="00215622">
        <w:rPr>
          <w:rStyle w:val="FootnoteReference"/>
        </w:rPr>
        <w:footnoteRef/>
      </w:r>
      <w:r w:rsidRPr="00215622">
        <w:tab/>
        <w:t>COM(2019) 640 final vom 11.12.2019.</w:t>
      </w:r>
    </w:p>
  </w:footnote>
  <w:footnote w:id="4">
    <w:p w14:paraId="1EC2201F" w14:textId="4B1DEC70" w:rsidR="00570AAD" w:rsidRPr="00215622" w:rsidRDefault="00570AAD">
      <w:pPr>
        <w:pStyle w:val="FootnoteText"/>
      </w:pPr>
      <w:r w:rsidRPr="00215622">
        <w:rPr>
          <w:rStyle w:val="FootnoteReference"/>
        </w:rPr>
        <w:footnoteRef/>
      </w:r>
      <w:r w:rsidRPr="00215622">
        <w:tab/>
        <w:t>Verordnung (EU) 2019/631 des Europäischen Parlaments und des Rates vom 17. April 2019 zur Festsetzung von CO</w:t>
      </w:r>
      <w:r w:rsidRPr="00215622">
        <w:rPr>
          <w:vertAlign w:val="subscript"/>
        </w:rPr>
        <w:t>2</w:t>
      </w:r>
      <w:r w:rsidRPr="00215622">
        <w:t>-Emissionsnormen für neue Personenkraftwagen und für neue leichte Nutzfahrzeuge und zur Aufhebung der Verordnungen (EG) Nr. 443/2009 und (EU) Nr. 510/2011 (ABl. L 111 vom 25.4.2019, S. 13).</w:t>
      </w:r>
    </w:p>
  </w:footnote>
  <w:footnote w:id="5">
    <w:p w14:paraId="0C3E92DD" w14:textId="2082459C" w:rsidR="00F70271" w:rsidRPr="00215622" w:rsidRDefault="00F70271" w:rsidP="00F70271">
      <w:pPr>
        <w:pStyle w:val="FootnoteText"/>
      </w:pPr>
      <w:r w:rsidRPr="00215622">
        <w:rPr>
          <w:rStyle w:val="FootnoteReference"/>
        </w:rPr>
        <w:footnoteRef/>
      </w:r>
      <w:r w:rsidRPr="00215622">
        <w:t xml:space="preserve"> </w:t>
      </w:r>
      <w:r w:rsidRPr="00215622">
        <w:tab/>
        <w:t>Verordnung (EU) 2017/1151 der Kommission vom 1. Juni 2017 zur Ergänzung der Verordnung (EG) Nr. 715/2007 des Europäischen Parlaments und des Rates über die Typgenehmigung von Kraftfahrzeugen hinsichtlich der Emissionen von leichten Personenkraftwagen und Nutzfahrzeugen (Euro 5 und Euro 6) und über den Zugang zu Fahrzeugreparatur- und -wartungsinformationen, zur Änderung der Richtlinie 2007/46/EG des Europäischen Parlaments und des Rates, der Verordnung (EG) Nr. 692/2008 der Kommission sowie der Verordnung (EU) Nr. 1230/2012 der Kommission sowie zur Aufhebung der Verordnung (EG) Nr. 692/2008 der Kommission (ABl. L 175 vom 7.7.2017, S. 1).</w:t>
      </w:r>
    </w:p>
  </w:footnote>
  <w:footnote w:id="6">
    <w:p w14:paraId="7166144D" w14:textId="6B9F4E9A" w:rsidR="00873869" w:rsidRPr="00215622" w:rsidRDefault="00873869" w:rsidP="00873869">
      <w:pPr>
        <w:pStyle w:val="FootnoteText"/>
      </w:pPr>
      <w:r w:rsidRPr="00215622">
        <w:rPr>
          <w:vertAlign w:val="superscript"/>
        </w:rPr>
        <w:footnoteRef/>
      </w:r>
      <w:r w:rsidRPr="00215622">
        <w:t xml:space="preserve"> </w:t>
      </w:r>
      <w:r w:rsidRPr="00215622">
        <w:tab/>
        <w:t>Die Verfahren für die Erhebung und Meldung dieser Daten aus dem praktischen Fahrbetrieb und ihren Vergleich mit den entsprechenden WLTP-Daten sind in der Durchführungsverordnung (EU) 2021/392 der Kommission (ABl. L 77 vom 5.3.2021, S. 8) festgelegt.</w:t>
      </w:r>
    </w:p>
  </w:footnote>
  <w:footnote w:id="7">
    <w:p w14:paraId="1BBF317D" w14:textId="77777777" w:rsidR="00E62132" w:rsidRPr="00215622" w:rsidRDefault="00E62132" w:rsidP="00E62132">
      <w:pPr>
        <w:pStyle w:val="FootnoteText"/>
      </w:pPr>
      <w:r w:rsidRPr="00215622">
        <w:rPr>
          <w:rStyle w:val="FootnoteReference"/>
        </w:rPr>
        <w:footnoteRef/>
      </w:r>
      <w:r w:rsidRPr="00215622">
        <w:tab/>
        <w:t>Durchführungsbeschluss (EU) 2023/1623 der Kommission vom 3. August 2023 zur Festlegung der Werte für die Leistung von Herstellern und Emissionsgemeinschaften von Herstellern neuer Personenkraftwagen und neuer leichter Nutzfahrzeuge für das Kalenderjahr 2021 sowie der Werte, die gemäß der Verordnung (EU) 2019/631 des Europäischen Parlaments und des Rates für die Berechnung der Zielvorgaben für die spezifischen Emissionen ab 2025 zu verwenden sind, und zur Berichtigung des Durchführungsbeschlusses (EU) 2022/2087 (ABl. L 200 vom 10.8.2023, S. 5).</w:t>
      </w:r>
    </w:p>
  </w:footnote>
  <w:footnote w:id="8">
    <w:p w14:paraId="3A7EC929" w14:textId="02017CDA" w:rsidR="007A79D2" w:rsidRPr="00215622" w:rsidRDefault="007A79D2">
      <w:pPr>
        <w:pStyle w:val="FootnoteText"/>
      </w:pPr>
      <w:r w:rsidRPr="005F3980">
        <w:rPr>
          <w:rStyle w:val="FootnoteReference"/>
        </w:rPr>
        <w:footnoteRef/>
      </w:r>
      <w:r w:rsidRPr="005F3980">
        <w:tab/>
      </w:r>
      <w:r w:rsidR="005F3980">
        <w:t>SWD(2024) 59</w:t>
      </w:r>
    </w:p>
  </w:footnote>
  <w:footnote w:id="9">
    <w:p w14:paraId="17025053" w14:textId="743C2C1C" w:rsidR="000A5F62" w:rsidRPr="00215622" w:rsidRDefault="000A5F62">
      <w:pPr>
        <w:pStyle w:val="FootnoteText"/>
      </w:pPr>
      <w:r w:rsidRPr="00215622">
        <w:rPr>
          <w:rStyle w:val="FootnoteReference"/>
        </w:rPr>
        <w:footnoteRef/>
      </w:r>
      <w:r w:rsidRPr="00215622">
        <w:tab/>
        <w:t>Gemäß Artikel 12 der Durchführungsverordnung (EU) 2021/392.</w:t>
      </w:r>
    </w:p>
  </w:footnote>
  <w:footnote w:id="10">
    <w:p w14:paraId="2DE774EC" w14:textId="32D66772" w:rsidR="00343659" w:rsidRPr="00215622" w:rsidRDefault="00343659" w:rsidP="00343659">
      <w:pPr>
        <w:pStyle w:val="FootnoteText"/>
      </w:pPr>
      <w:r w:rsidRPr="00215622">
        <w:rPr>
          <w:rStyle w:val="FootnoteReference"/>
        </w:rPr>
        <w:footnoteRef/>
      </w:r>
      <w:r w:rsidRPr="00215622">
        <w:tab/>
        <w:t>Die Gesamtzahl der genannten neuen Personenkraftwagen und leichten Nutzfahrzeuge umfasst keine Fahrzeuge, die nicht von der OBFCM-Ausrüstungspflicht betroffen sind (Fahrzeuge mit reinem Elektroantrieb, Brennstoffzellen-Elektrofahrzeuge, Erdgasfahrzeuge), und keine mit E85 betriebenen Fahrzeuge.</w:t>
      </w:r>
    </w:p>
  </w:footnote>
  <w:footnote w:id="11">
    <w:p w14:paraId="08BD376C" w14:textId="528094D1" w:rsidR="00F8563A" w:rsidRPr="00215622" w:rsidRDefault="00C46F51" w:rsidP="00F8563A">
      <w:pPr>
        <w:pStyle w:val="FootnoteText"/>
      </w:pPr>
      <w:r w:rsidRPr="00215622">
        <w:rPr>
          <w:rStyle w:val="FootnoteReference"/>
        </w:rPr>
        <w:footnoteRef/>
      </w:r>
      <w:r w:rsidRPr="00215622">
        <w:tab/>
        <w:t>59 714 Fahrzeuge konnten nicht mit den WLTP-Daten für 2021 abgeglichen werden.</w:t>
      </w:r>
    </w:p>
  </w:footnote>
  <w:footnote w:id="12">
    <w:p w14:paraId="0BEAF0E0" w14:textId="27071219" w:rsidR="00576E85" w:rsidRPr="00215622" w:rsidRDefault="00782BF5" w:rsidP="00782BF5">
      <w:pPr>
        <w:pStyle w:val="FootnoteText"/>
      </w:pPr>
      <w:r w:rsidRPr="00215622">
        <w:rPr>
          <w:rStyle w:val="FootnoteReference"/>
        </w:rPr>
        <w:footnoteRef/>
      </w:r>
      <w:r w:rsidRPr="00215622">
        <w:t xml:space="preserve"> </w:t>
      </w:r>
      <w:bookmarkStart w:id="3" w:name="_Hlk157501661"/>
      <w:r w:rsidRPr="00215622">
        <w:tab/>
      </w:r>
      <w:bookmarkEnd w:id="3"/>
      <w:r w:rsidRPr="00215622">
        <w:t xml:space="preserve">Die Daten werden von den Herstellern entweder durch direkte OTA-Datenübertragung von den Fahrzeugen oder durch deren Vertragshändler oder Vertragswerkstätten im Zuge der Wartung oder Reparatur von Fahrzeugen erhoben, es sei denn, die Bereitstellung der Daten wird ausdrücklich vom Fahrzeughalter verweigert. Siehe auch Abschnitt 3.2.1. </w:t>
      </w:r>
    </w:p>
    <w:p w14:paraId="24A39F2F" w14:textId="05785E5C" w:rsidR="00782BF5" w:rsidRPr="00215622" w:rsidRDefault="00782BF5" w:rsidP="00782BF5">
      <w:pPr>
        <w:pStyle w:val="FootnoteText"/>
      </w:pPr>
    </w:p>
  </w:footnote>
  <w:footnote w:id="13">
    <w:p w14:paraId="67BE4346" w14:textId="13A7BB41" w:rsidR="00B508E2" w:rsidRPr="00215622" w:rsidRDefault="00B508E2" w:rsidP="00B508E2">
      <w:pPr>
        <w:pStyle w:val="FootnoteText"/>
      </w:pPr>
      <w:r w:rsidRPr="00215622">
        <w:rPr>
          <w:rStyle w:val="FootnoteReference"/>
        </w:rPr>
        <w:footnoteRef/>
      </w:r>
      <w:r w:rsidRPr="00215622">
        <w:tab/>
        <w:t>Siehe Fußnote 9 auf Seite 2.</w:t>
      </w:r>
    </w:p>
  </w:footnote>
  <w:footnote w:id="14">
    <w:p w14:paraId="7FD62F94" w14:textId="09B7D558" w:rsidR="007B2F27" w:rsidRPr="00215622" w:rsidRDefault="007B2F27">
      <w:pPr>
        <w:pStyle w:val="FootnoteText"/>
      </w:pPr>
      <w:r w:rsidRPr="00215622">
        <w:rPr>
          <w:rStyle w:val="FootnoteReference"/>
        </w:rPr>
        <w:footnoteRef/>
      </w:r>
      <w:r w:rsidRPr="00215622">
        <w:tab/>
        <w:t>Die Differenz wird hier als prozentuale Abweichung der tatsächlichen CO</w:t>
      </w:r>
      <w:r w:rsidRPr="00215622">
        <w:rPr>
          <w:vertAlign w:val="subscript"/>
        </w:rPr>
        <w:t>2</w:t>
      </w:r>
      <w:r w:rsidRPr="00215622">
        <w:t>-Emissionen vom WLTP-basierten CO</w:t>
      </w:r>
      <w:r w:rsidRPr="00215622">
        <w:rPr>
          <w:vertAlign w:val="subscript"/>
        </w:rPr>
        <w:t>2</w:t>
      </w:r>
      <w:r w:rsidRPr="00215622">
        <w:t>-Wert ausgedrückt, wobei eine positive Abweichung darauf hindeutet, dass erstere höher sind. Dies gilt sowohl für die CO</w:t>
      </w:r>
      <w:r w:rsidRPr="00215622">
        <w:rPr>
          <w:vertAlign w:val="subscript"/>
        </w:rPr>
        <w:t>2</w:t>
      </w:r>
      <w:r w:rsidRPr="00215622">
        <w:t>-Emissionen als auch für den Kraftstoffverbrauch, mit Ausnahme der Fälle, in denen Benzin- und Dieselwerte kombiniert werden und in denen die CO</w:t>
      </w:r>
      <w:r w:rsidRPr="00215622">
        <w:rPr>
          <w:vertAlign w:val="subscript"/>
        </w:rPr>
        <w:t>2</w:t>
      </w:r>
      <w:r w:rsidRPr="00215622">
        <w:t>-Differenz angegeben wird.</w:t>
      </w:r>
    </w:p>
  </w:footnote>
  <w:footnote w:id="15">
    <w:p w14:paraId="30437265" w14:textId="19E1F95C" w:rsidR="00EB1316" w:rsidRPr="00215622" w:rsidRDefault="00EB1316" w:rsidP="00EB1316">
      <w:pPr>
        <w:pStyle w:val="FootnoteText"/>
      </w:pPr>
      <w:r w:rsidRPr="00215622">
        <w:rPr>
          <w:rStyle w:val="FootnoteReference"/>
        </w:rPr>
        <w:footnoteRef/>
      </w:r>
      <w:r w:rsidRPr="00215622">
        <w:tab/>
        <w:t>Pavlovic, J., Clairotte, M., Anagnostopoulos, K., Arcidiacono, V., Fontaras, G. und Ciuffo, B.: Characterisation of real-world CO</w:t>
      </w:r>
      <w:r w:rsidRPr="00215622">
        <w:rPr>
          <w:vertAlign w:val="subscript"/>
        </w:rPr>
        <w:t>2</w:t>
      </w:r>
      <w:r w:rsidRPr="00215622">
        <w:t xml:space="preserve"> variability and implications for future policy instruments, EUR 28734 EN, Amt für Veröffentlichungen der Europäischen Union, Luxemburg, 2017, ISBN 978-92-79-72096-3, doi:10.2760/839690, JRC107796.</w:t>
      </w:r>
    </w:p>
  </w:footnote>
  <w:footnote w:id="16">
    <w:p w14:paraId="26885872" w14:textId="2264DBF1" w:rsidR="00EB1316" w:rsidRPr="00215622" w:rsidRDefault="00EB1316" w:rsidP="00EB1316">
      <w:pPr>
        <w:pStyle w:val="FootnoteText"/>
      </w:pPr>
      <w:r w:rsidRPr="00215622">
        <w:rPr>
          <w:rStyle w:val="FootnoteReference"/>
        </w:rPr>
        <w:footnoteRef/>
      </w:r>
      <w:r w:rsidRPr="00215622">
        <w:tab/>
        <w:t>SWD(2017) 650 final und SWD(2021) 613 final.</w:t>
      </w:r>
    </w:p>
  </w:footnote>
  <w:footnote w:id="17">
    <w:p w14:paraId="57B5D964" w14:textId="7E11F459" w:rsidR="00EB1316" w:rsidRPr="00215622" w:rsidRDefault="00EB1316" w:rsidP="00EB1316">
      <w:pPr>
        <w:pStyle w:val="FootnoteText"/>
      </w:pPr>
      <w:r w:rsidRPr="00215622">
        <w:rPr>
          <w:vertAlign w:val="superscript"/>
        </w:rPr>
        <w:footnoteRef/>
      </w:r>
      <w:r w:rsidR="0094330B" w:rsidRPr="00215622">
        <w:t xml:space="preserve"> </w:t>
      </w:r>
      <w:r w:rsidR="0094330B" w:rsidRPr="00215622">
        <w:tab/>
      </w:r>
      <w:r w:rsidRPr="00215622">
        <w:t>Chatzipanagi, A., Pavlovic, J., Ktistakis, M., Komnos, D. und Fontaras, G., Evolution of European Light-duty vehicle CO</w:t>
      </w:r>
      <w:r w:rsidRPr="00215622">
        <w:rPr>
          <w:vertAlign w:val="subscript"/>
        </w:rPr>
        <w:t>2</w:t>
      </w:r>
      <w:r w:rsidRPr="00215622">
        <w:t xml:space="preserve"> emissions based on recent certification datasets, Transportation Research Part D-Transport and Environment, ISSN 1361-9209, 107, 2022, S. 103287, JRC127295.</w:t>
      </w:r>
    </w:p>
  </w:footnote>
  <w:footnote w:id="18">
    <w:p w14:paraId="5ACF80E9" w14:textId="37B0D820" w:rsidR="000D7109" w:rsidRPr="00215622" w:rsidRDefault="000D7109" w:rsidP="000D7109">
      <w:pPr>
        <w:pStyle w:val="FootnoteText"/>
      </w:pPr>
      <w:r w:rsidRPr="00215622">
        <w:rPr>
          <w:rStyle w:val="FootnoteReference"/>
        </w:rPr>
        <w:footnoteRef/>
      </w:r>
      <w:r w:rsidRPr="00215622">
        <w:tab/>
        <w:t>In allen Abbildungen innerhalb des Abschnitts </w:t>
      </w:r>
      <w:r w:rsidRPr="00215622">
        <w:fldChar w:fldCharType="begin"/>
      </w:r>
      <w:r w:rsidRPr="00215622">
        <w:instrText xml:space="preserve"> REF _Ref146029387 \r \h </w:instrText>
      </w:r>
      <w:r w:rsidRPr="00215622">
        <w:fldChar w:fldCharType="separate"/>
      </w:r>
      <w:r w:rsidRPr="00215622">
        <w:t>3.2</w:t>
      </w:r>
      <w:r w:rsidRPr="00215622">
        <w:fldChar w:fldCharType="end"/>
      </w:r>
      <w:r w:rsidRPr="00215622">
        <w:t xml:space="preserve"> werden die Hersteller in absteigender Reihenfolge ihrer Fahrzeuganzahl im endgültigen Datensatz dargestellt.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44C1D" w14:textId="77777777" w:rsidR="00802EF4" w:rsidRPr="00802EF4" w:rsidRDefault="00802EF4" w:rsidP="00802EF4">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5B6A" w14:textId="77777777" w:rsidR="00802EF4" w:rsidRPr="00802EF4" w:rsidRDefault="00802EF4" w:rsidP="00802EF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1391" w14:textId="77777777" w:rsidR="00802EF4" w:rsidRPr="00802EF4" w:rsidRDefault="00802EF4" w:rsidP="00802EF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8A666" w14:textId="77777777" w:rsidR="00620850" w:rsidRDefault="006208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11012" w14:textId="77777777" w:rsidR="00620850" w:rsidRDefault="006208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E89B6" w14:textId="77777777" w:rsidR="00620850" w:rsidRDefault="00620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144E51D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8959D3"/>
    <w:multiLevelType w:val="multilevel"/>
    <w:tmpl w:val="541C482A"/>
    <w:lvl w:ilvl="0">
      <w:start w:val="54"/>
      <w:numFmt w:val="decimal"/>
      <w:lvlText w:val="%1"/>
      <w:lvlJc w:val="left"/>
      <w:pPr>
        <w:ind w:left="420" w:hanging="420"/>
      </w:pPr>
      <w:rPr>
        <w:rFonts w:hint="default"/>
        <w:b/>
        <w:i/>
      </w:rPr>
    </w:lvl>
    <w:lvl w:ilvl="1">
      <w:start w:val="2"/>
      <w:numFmt w:val="decimal"/>
      <w:lvlText w:val="%1.%2"/>
      <w:lvlJc w:val="left"/>
      <w:pPr>
        <w:ind w:left="420" w:hanging="4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 w15:restartNumberingAfterBreak="0">
    <w:nsid w:val="0EFB7115"/>
    <w:multiLevelType w:val="multilevel"/>
    <w:tmpl w:val="14427EFE"/>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0D8AC35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439E765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AF8187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5D98E7D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9E0E4A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0D3ABAE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497151"/>
    <w:multiLevelType w:val="hybridMultilevel"/>
    <w:tmpl w:val="967EF310"/>
    <w:lvl w:ilvl="0" w:tplc="5AEEB738">
      <w:start w:val="7"/>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8DFDF8"/>
    <w:multiLevelType w:val="multilevel"/>
    <w:tmpl w:val="16BA26C2"/>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D73EEF5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BCE2C50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51F813A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0568CEB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90C0898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29E662A"/>
    <w:multiLevelType w:val="multilevel"/>
    <w:tmpl w:val="705CDEB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63DF"/>
    <w:multiLevelType w:val="multilevel"/>
    <w:tmpl w:val="E05481C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2C"/>
    <w:multiLevelType w:val="multilevel"/>
    <w:tmpl w:val="4AAE8C0C"/>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D52456E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9B52"/>
    <w:multiLevelType w:val="multilevel"/>
    <w:tmpl w:val="5A7EEED4"/>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1B26124"/>
    <w:multiLevelType w:val="hybridMultilevel"/>
    <w:tmpl w:val="6E1C90AA"/>
    <w:lvl w:ilvl="0" w:tplc="CF4E838E">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BB480F"/>
    <w:multiLevelType w:val="multilevel"/>
    <w:tmpl w:val="7A66F7B0"/>
    <w:lvl w:ilvl="0">
      <w:numFmt w:val="decimal"/>
      <w:lvlText w:val="%1"/>
      <w:lvlJc w:val="left"/>
      <w:pPr>
        <w:ind w:left="360" w:hanging="360"/>
      </w:pPr>
      <w:rPr>
        <w:rFonts w:hint="default"/>
        <w:b/>
        <w:i/>
      </w:rPr>
    </w:lvl>
    <w:lvl w:ilvl="1">
      <w:start w:val="6"/>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3" w15:restartNumberingAfterBreak="0">
    <w:nsid w:val="6977472E"/>
    <w:multiLevelType w:val="multilevel"/>
    <w:tmpl w:val="2446FF78"/>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C1FC5A7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3"/>
  </w:num>
  <w:num w:numId="3">
    <w:abstractNumId w:val="8"/>
  </w:num>
  <w:num w:numId="4">
    <w:abstractNumId w:val="14"/>
  </w:num>
  <w:num w:numId="5">
    <w:abstractNumId w:val="19"/>
  </w:num>
  <w:num w:numId="6">
    <w:abstractNumId w:val="23"/>
  </w:num>
  <w:num w:numId="7">
    <w:abstractNumId w:val="2"/>
  </w:num>
  <w:num w:numId="8">
    <w:abstractNumId w:val="7"/>
  </w:num>
  <w:num w:numId="9">
    <w:abstractNumId w:val="16"/>
  </w:num>
  <w:num w:numId="10">
    <w:abstractNumId w:val="3"/>
  </w:num>
  <w:num w:numId="11">
    <w:abstractNumId w:val="5"/>
  </w:num>
  <w:num w:numId="12">
    <w:abstractNumId w:val="6"/>
  </w:num>
  <w:num w:numId="13">
    <w:abstractNumId w:val="10"/>
  </w:num>
  <w:num w:numId="14">
    <w:abstractNumId w:val="15"/>
  </w:num>
  <w:num w:numId="15">
    <w:abstractNumId w:val="18"/>
  </w:num>
  <w:num w:numId="16">
    <w:abstractNumId w:val="24"/>
  </w:num>
  <w:num w:numId="17">
    <w:abstractNumId w:val="11"/>
  </w:num>
  <w:num w:numId="18">
    <w:abstractNumId w:val="12"/>
  </w:num>
  <w:num w:numId="19">
    <w:abstractNumId w:val="25"/>
  </w:num>
  <w:num w:numId="20">
    <w:abstractNumId w:val="17"/>
  </w:num>
  <w:num w:numId="21">
    <w:abstractNumId w:val="20"/>
  </w:num>
  <w:num w:numId="22">
    <w:abstractNumId w:val="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abstractNumId w:val="9"/>
  </w:num>
  <w:num w:numId="25">
    <w:abstractNumId w:val="21"/>
  </w:num>
  <w:num w:numId="26">
    <w:abstractNumId w:val="2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4817"/>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06BBC625-E420-4BA7-B9C1-104920AD45FF"/>
    <w:docVar w:name="LW_COVERPAGE_TYPE" w:val="1"/>
    <w:docVar w:name="LW_CROSSREFERENCE" w:val="{SWD(2024) 59 final}"/>
    <w:docVar w:name="LW_DocType" w:val="EUROLOOK"/>
    <w:docVar w:name="LW_EMISSION" w:val="18.3.2024"/>
    <w:docVar w:name="LW_EMISSION_ISODATE" w:val="2024-03-18"/>
    <w:docVar w:name="LW_EMISSION_LOCATION" w:val="BRX"/>
    <w:docVar w:name="LW_EMISSION_PREFIX" w:val="Brüssel, den "/>
    <w:docVar w:name="LW_EMISSION_SUFFIX" w:val=" "/>
    <w:docVar w:name="LW_ID_DOCTYPE_NONLW" w:val="CP-003"/>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4) 12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Bericht der Kommission gemäß Artikel 12 Absatz 3 der Verordnung (EU) 2019/631 zur Entwicklung der Differenz zwischen Laborwerten und CO&lt;FMT:Subscript&gt;2&lt;/FMT&gt;-Emissionen im Fahrbetrieb bei Personenkraftwagen und leichten Nutzfahrzeugen, einschließlich der anonymisierten aggregierten Datensätze aus dem praktischen Fahrbetrieb gemäß der Durchführungsverordnung (EU) 2021/392"/>
    <w:docVar w:name="LW_TYPE.DOC.CP" w:val="BERICHT DER KOMMISSION"/>
    <w:docVar w:name="LwApiVersions" w:val="LW4CoDe 1.24.5.0; LW 9.0, Build 20240221"/>
  </w:docVars>
  <w:rsids>
    <w:rsidRoot w:val="002D4B2B"/>
    <w:rsid w:val="0000064F"/>
    <w:rsid w:val="000006DB"/>
    <w:rsid w:val="000018FE"/>
    <w:rsid w:val="000020FD"/>
    <w:rsid w:val="00002733"/>
    <w:rsid w:val="00002EB0"/>
    <w:rsid w:val="000031B7"/>
    <w:rsid w:val="00003560"/>
    <w:rsid w:val="000052C7"/>
    <w:rsid w:val="000054F7"/>
    <w:rsid w:val="0000592D"/>
    <w:rsid w:val="00005DB6"/>
    <w:rsid w:val="00005E1A"/>
    <w:rsid w:val="00006E5D"/>
    <w:rsid w:val="00007563"/>
    <w:rsid w:val="0000784F"/>
    <w:rsid w:val="00010984"/>
    <w:rsid w:val="000114E6"/>
    <w:rsid w:val="00011750"/>
    <w:rsid w:val="00012188"/>
    <w:rsid w:val="0001220A"/>
    <w:rsid w:val="000127EB"/>
    <w:rsid w:val="00013A12"/>
    <w:rsid w:val="000144E6"/>
    <w:rsid w:val="000153B7"/>
    <w:rsid w:val="000157A0"/>
    <w:rsid w:val="00016295"/>
    <w:rsid w:val="00016D4E"/>
    <w:rsid w:val="000170DE"/>
    <w:rsid w:val="00017FBB"/>
    <w:rsid w:val="00017FC3"/>
    <w:rsid w:val="00020EB4"/>
    <w:rsid w:val="00020F1A"/>
    <w:rsid w:val="00021171"/>
    <w:rsid w:val="00021712"/>
    <w:rsid w:val="0002237E"/>
    <w:rsid w:val="00022483"/>
    <w:rsid w:val="00022C8C"/>
    <w:rsid w:val="00022E25"/>
    <w:rsid w:val="000236B8"/>
    <w:rsid w:val="00023D3D"/>
    <w:rsid w:val="00023F7B"/>
    <w:rsid w:val="00024554"/>
    <w:rsid w:val="000248F8"/>
    <w:rsid w:val="0002500E"/>
    <w:rsid w:val="000252F9"/>
    <w:rsid w:val="00025431"/>
    <w:rsid w:val="000255A5"/>
    <w:rsid w:val="000255A8"/>
    <w:rsid w:val="00026255"/>
    <w:rsid w:val="000265B5"/>
    <w:rsid w:val="000265DA"/>
    <w:rsid w:val="000268E3"/>
    <w:rsid w:val="00027ACE"/>
    <w:rsid w:val="00027C7D"/>
    <w:rsid w:val="0003074C"/>
    <w:rsid w:val="00031E59"/>
    <w:rsid w:val="00031F51"/>
    <w:rsid w:val="000326AD"/>
    <w:rsid w:val="00032843"/>
    <w:rsid w:val="00032B1B"/>
    <w:rsid w:val="000330D7"/>
    <w:rsid w:val="00033A60"/>
    <w:rsid w:val="00033CDA"/>
    <w:rsid w:val="00034B75"/>
    <w:rsid w:val="00034F61"/>
    <w:rsid w:val="000350EA"/>
    <w:rsid w:val="00035662"/>
    <w:rsid w:val="00036722"/>
    <w:rsid w:val="00037047"/>
    <w:rsid w:val="0003767B"/>
    <w:rsid w:val="0004007A"/>
    <w:rsid w:val="00040275"/>
    <w:rsid w:val="000409DD"/>
    <w:rsid w:val="00040C32"/>
    <w:rsid w:val="000418C6"/>
    <w:rsid w:val="00041965"/>
    <w:rsid w:val="00043428"/>
    <w:rsid w:val="000434DF"/>
    <w:rsid w:val="00043C5A"/>
    <w:rsid w:val="00043F9D"/>
    <w:rsid w:val="00045AFD"/>
    <w:rsid w:val="000464E2"/>
    <w:rsid w:val="00047177"/>
    <w:rsid w:val="000471D8"/>
    <w:rsid w:val="000473A6"/>
    <w:rsid w:val="00047495"/>
    <w:rsid w:val="000476FD"/>
    <w:rsid w:val="00047B35"/>
    <w:rsid w:val="00047D34"/>
    <w:rsid w:val="0005056E"/>
    <w:rsid w:val="00050DD8"/>
    <w:rsid w:val="00050FA0"/>
    <w:rsid w:val="0005190E"/>
    <w:rsid w:val="00051F38"/>
    <w:rsid w:val="00051FE7"/>
    <w:rsid w:val="0005219D"/>
    <w:rsid w:val="0005280B"/>
    <w:rsid w:val="00052F9E"/>
    <w:rsid w:val="000538BB"/>
    <w:rsid w:val="000542E9"/>
    <w:rsid w:val="00054A6D"/>
    <w:rsid w:val="00055857"/>
    <w:rsid w:val="0005585B"/>
    <w:rsid w:val="00055B10"/>
    <w:rsid w:val="00055DE2"/>
    <w:rsid w:val="00056DB6"/>
    <w:rsid w:val="00056F0A"/>
    <w:rsid w:val="00056FE6"/>
    <w:rsid w:val="000570F0"/>
    <w:rsid w:val="0005713D"/>
    <w:rsid w:val="000572B5"/>
    <w:rsid w:val="0005785A"/>
    <w:rsid w:val="00057A70"/>
    <w:rsid w:val="00061016"/>
    <w:rsid w:val="0006101E"/>
    <w:rsid w:val="00061949"/>
    <w:rsid w:val="00061D48"/>
    <w:rsid w:val="00061E06"/>
    <w:rsid w:val="00062265"/>
    <w:rsid w:val="000628B7"/>
    <w:rsid w:val="00062A30"/>
    <w:rsid w:val="00062C9D"/>
    <w:rsid w:val="00063363"/>
    <w:rsid w:val="00064077"/>
    <w:rsid w:val="00064E1A"/>
    <w:rsid w:val="00064F89"/>
    <w:rsid w:val="000653D4"/>
    <w:rsid w:val="0006579E"/>
    <w:rsid w:val="000659C2"/>
    <w:rsid w:val="00065B19"/>
    <w:rsid w:val="00065BB3"/>
    <w:rsid w:val="000671BF"/>
    <w:rsid w:val="000677A4"/>
    <w:rsid w:val="00067B3D"/>
    <w:rsid w:val="00067B55"/>
    <w:rsid w:val="000708AE"/>
    <w:rsid w:val="00070C0F"/>
    <w:rsid w:val="0007189C"/>
    <w:rsid w:val="00071D6D"/>
    <w:rsid w:val="000720C3"/>
    <w:rsid w:val="00073B9C"/>
    <w:rsid w:val="00073BD1"/>
    <w:rsid w:val="00073E6B"/>
    <w:rsid w:val="00073FB8"/>
    <w:rsid w:val="000743BB"/>
    <w:rsid w:val="00074598"/>
    <w:rsid w:val="000747C2"/>
    <w:rsid w:val="00074FBA"/>
    <w:rsid w:val="000754E6"/>
    <w:rsid w:val="000758A4"/>
    <w:rsid w:val="0007598A"/>
    <w:rsid w:val="00076333"/>
    <w:rsid w:val="0007679B"/>
    <w:rsid w:val="00076D23"/>
    <w:rsid w:val="00077DEE"/>
    <w:rsid w:val="00077DF7"/>
    <w:rsid w:val="000800A2"/>
    <w:rsid w:val="00080B1F"/>
    <w:rsid w:val="0008128A"/>
    <w:rsid w:val="0008143A"/>
    <w:rsid w:val="0008149F"/>
    <w:rsid w:val="000818F1"/>
    <w:rsid w:val="00081EF4"/>
    <w:rsid w:val="00082FF0"/>
    <w:rsid w:val="00084BA7"/>
    <w:rsid w:val="00084C8F"/>
    <w:rsid w:val="00084F34"/>
    <w:rsid w:val="00084F79"/>
    <w:rsid w:val="00085E91"/>
    <w:rsid w:val="00085FF6"/>
    <w:rsid w:val="0008613F"/>
    <w:rsid w:val="000864EF"/>
    <w:rsid w:val="00086FAE"/>
    <w:rsid w:val="00087080"/>
    <w:rsid w:val="000874FC"/>
    <w:rsid w:val="00087C07"/>
    <w:rsid w:val="000900B5"/>
    <w:rsid w:val="00090853"/>
    <w:rsid w:val="00091211"/>
    <w:rsid w:val="000939F8"/>
    <w:rsid w:val="000943C1"/>
    <w:rsid w:val="000944EE"/>
    <w:rsid w:val="00094B0F"/>
    <w:rsid w:val="00095102"/>
    <w:rsid w:val="00095841"/>
    <w:rsid w:val="00095BEB"/>
    <w:rsid w:val="00096987"/>
    <w:rsid w:val="000A015A"/>
    <w:rsid w:val="000A038F"/>
    <w:rsid w:val="000A0954"/>
    <w:rsid w:val="000A0A6D"/>
    <w:rsid w:val="000A116F"/>
    <w:rsid w:val="000A16B7"/>
    <w:rsid w:val="000A1837"/>
    <w:rsid w:val="000A1B78"/>
    <w:rsid w:val="000A2EF4"/>
    <w:rsid w:val="000A3289"/>
    <w:rsid w:val="000A3695"/>
    <w:rsid w:val="000A440D"/>
    <w:rsid w:val="000A4BC5"/>
    <w:rsid w:val="000A4FE6"/>
    <w:rsid w:val="000A591F"/>
    <w:rsid w:val="000A5F62"/>
    <w:rsid w:val="000A6511"/>
    <w:rsid w:val="000A7097"/>
    <w:rsid w:val="000B02F7"/>
    <w:rsid w:val="000B05EB"/>
    <w:rsid w:val="000B1033"/>
    <w:rsid w:val="000B1103"/>
    <w:rsid w:val="000B1B03"/>
    <w:rsid w:val="000B225D"/>
    <w:rsid w:val="000B2405"/>
    <w:rsid w:val="000B277A"/>
    <w:rsid w:val="000B2CE7"/>
    <w:rsid w:val="000B2E80"/>
    <w:rsid w:val="000B425F"/>
    <w:rsid w:val="000B43DB"/>
    <w:rsid w:val="000B4949"/>
    <w:rsid w:val="000B530B"/>
    <w:rsid w:val="000B5955"/>
    <w:rsid w:val="000B608C"/>
    <w:rsid w:val="000B649D"/>
    <w:rsid w:val="000B6784"/>
    <w:rsid w:val="000B68CE"/>
    <w:rsid w:val="000B70EE"/>
    <w:rsid w:val="000B7C09"/>
    <w:rsid w:val="000C0147"/>
    <w:rsid w:val="000C0531"/>
    <w:rsid w:val="000C06F2"/>
    <w:rsid w:val="000C22AA"/>
    <w:rsid w:val="000C30DC"/>
    <w:rsid w:val="000C32FF"/>
    <w:rsid w:val="000C43A7"/>
    <w:rsid w:val="000C4477"/>
    <w:rsid w:val="000C4670"/>
    <w:rsid w:val="000C49CE"/>
    <w:rsid w:val="000C51C1"/>
    <w:rsid w:val="000C5BF0"/>
    <w:rsid w:val="000C7A74"/>
    <w:rsid w:val="000C7BBD"/>
    <w:rsid w:val="000C7E28"/>
    <w:rsid w:val="000D00AA"/>
    <w:rsid w:val="000D0FB9"/>
    <w:rsid w:val="000D1054"/>
    <w:rsid w:val="000D13E8"/>
    <w:rsid w:val="000D173F"/>
    <w:rsid w:val="000D1B1D"/>
    <w:rsid w:val="000D1C87"/>
    <w:rsid w:val="000D38AC"/>
    <w:rsid w:val="000D3AAB"/>
    <w:rsid w:val="000D3DA8"/>
    <w:rsid w:val="000D3F51"/>
    <w:rsid w:val="000D5B34"/>
    <w:rsid w:val="000D5E6B"/>
    <w:rsid w:val="000D6205"/>
    <w:rsid w:val="000D6383"/>
    <w:rsid w:val="000D65A0"/>
    <w:rsid w:val="000D7109"/>
    <w:rsid w:val="000D733D"/>
    <w:rsid w:val="000E0683"/>
    <w:rsid w:val="000E102E"/>
    <w:rsid w:val="000E1113"/>
    <w:rsid w:val="000E1824"/>
    <w:rsid w:val="000E207C"/>
    <w:rsid w:val="000E383B"/>
    <w:rsid w:val="000E3ADE"/>
    <w:rsid w:val="000E3E2B"/>
    <w:rsid w:val="000E4A8C"/>
    <w:rsid w:val="000E4AC8"/>
    <w:rsid w:val="000E54AA"/>
    <w:rsid w:val="000E5D49"/>
    <w:rsid w:val="000E5EBE"/>
    <w:rsid w:val="000E70DC"/>
    <w:rsid w:val="000E71BE"/>
    <w:rsid w:val="000E72BA"/>
    <w:rsid w:val="000E77F5"/>
    <w:rsid w:val="000E7895"/>
    <w:rsid w:val="000F030E"/>
    <w:rsid w:val="000F17BE"/>
    <w:rsid w:val="000F187B"/>
    <w:rsid w:val="000F188D"/>
    <w:rsid w:val="000F1C5A"/>
    <w:rsid w:val="000F2BA5"/>
    <w:rsid w:val="000F34E4"/>
    <w:rsid w:val="000F3FAF"/>
    <w:rsid w:val="000F4912"/>
    <w:rsid w:val="000F4E9F"/>
    <w:rsid w:val="000F5820"/>
    <w:rsid w:val="000F5965"/>
    <w:rsid w:val="000F60AF"/>
    <w:rsid w:val="000F6EDD"/>
    <w:rsid w:val="000F7E25"/>
    <w:rsid w:val="000F7FCB"/>
    <w:rsid w:val="00100043"/>
    <w:rsid w:val="00100BE2"/>
    <w:rsid w:val="0010175F"/>
    <w:rsid w:val="00101E20"/>
    <w:rsid w:val="00101EA7"/>
    <w:rsid w:val="00103531"/>
    <w:rsid w:val="001035F2"/>
    <w:rsid w:val="001036D3"/>
    <w:rsid w:val="00103E75"/>
    <w:rsid w:val="00103EA0"/>
    <w:rsid w:val="001040B2"/>
    <w:rsid w:val="001047E0"/>
    <w:rsid w:val="00104821"/>
    <w:rsid w:val="001048E4"/>
    <w:rsid w:val="0010495F"/>
    <w:rsid w:val="00104A1F"/>
    <w:rsid w:val="00105E92"/>
    <w:rsid w:val="00106044"/>
    <w:rsid w:val="00106738"/>
    <w:rsid w:val="00106FF7"/>
    <w:rsid w:val="00107090"/>
    <w:rsid w:val="001073A4"/>
    <w:rsid w:val="00107CBF"/>
    <w:rsid w:val="00107D6E"/>
    <w:rsid w:val="00107EF0"/>
    <w:rsid w:val="0011112F"/>
    <w:rsid w:val="001113F6"/>
    <w:rsid w:val="00111AC4"/>
    <w:rsid w:val="00112A21"/>
    <w:rsid w:val="00112CE0"/>
    <w:rsid w:val="001136DE"/>
    <w:rsid w:val="00114760"/>
    <w:rsid w:val="001158FA"/>
    <w:rsid w:val="00115E0A"/>
    <w:rsid w:val="00115FDC"/>
    <w:rsid w:val="00116479"/>
    <w:rsid w:val="0011688A"/>
    <w:rsid w:val="00116F85"/>
    <w:rsid w:val="00117376"/>
    <w:rsid w:val="001179BA"/>
    <w:rsid w:val="00117C1E"/>
    <w:rsid w:val="00121104"/>
    <w:rsid w:val="00121173"/>
    <w:rsid w:val="0012183A"/>
    <w:rsid w:val="001223D8"/>
    <w:rsid w:val="001224A8"/>
    <w:rsid w:val="0012267B"/>
    <w:rsid w:val="0012295A"/>
    <w:rsid w:val="00123A66"/>
    <w:rsid w:val="00123E29"/>
    <w:rsid w:val="001243E1"/>
    <w:rsid w:val="00124694"/>
    <w:rsid w:val="00124733"/>
    <w:rsid w:val="0012474F"/>
    <w:rsid w:val="00124825"/>
    <w:rsid w:val="00124B24"/>
    <w:rsid w:val="00124D79"/>
    <w:rsid w:val="00124EA8"/>
    <w:rsid w:val="00125C52"/>
    <w:rsid w:val="0012607F"/>
    <w:rsid w:val="00126265"/>
    <w:rsid w:val="0012697D"/>
    <w:rsid w:val="00126C93"/>
    <w:rsid w:val="00127425"/>
    <w:rsid w:val="00127B7D"/>
    <w:rsid w:val="001305A4"/>
    <w:rsid w:val="00130726"/>
    <w:rsid w:val="00131BE3"/>
    <w:rsid w:val="001327F7"/>
    <w:rsid w:val="00133C51"/>
    <w:rsid w:val="00133E1C"/>
    <w:rsid w:val="001342A1"/>
    <w:rsid w:val="001345D4"/>
    <w:rsid w:val="00134744"/>
    <w:rsid w:val="00134D7E"/>
    <w:rsid w:val="00134F95"/>
    <w:rsid w:val="00135928"/>
    <w:rsid w:val="001360CB"/>
    <w:rsid w:val="001368B6"/>
    <w:rsid w:val="00136964"/>
    <w:rsid w:val="00136E0B"/>
    <w:rsid w:val="00136EA7"/>
    <w:rsid w:val="001370FF"/>
    <w:rsid w:val="001378A5"/>
    <w:rsid w:val="00137EA3"/>
    <w:rsid w:val="00140461"/>
    <w:rsid w:val="00140B3E"/>
    <w:rsid w:val="00141E1B"/>
    <w:rsid w:val="001431D7"/>
    <w:rsid w:val="0014337E"/>
    <w:rsid w:val="001439B4"/>
    <w:rsid w:val="00143A1E"/>
    <w:rsid w:val="00143F6C"/>
    <w:rsid w:val="00144898"/>
    <w:rsid w:val="00144931"/>
    <w:rsid w:val="00144B8A"/>
    <w:rsid w:val="0014519B"/>
    <w:rsid w:val="0014551A"/>
    <w:rsid w:val="00145AEF"/>
    <w:rsid w:val="001466C3"/>
    <w:rsid w:val="00146C0E"/>
    <w:rsid w:val="001476C7"/>
    <w:rsid w:val="00147E7F"/>
    <w:rsid w:val="00150D36"/>
    <w:rsid w:val="00150E7C"/>
    <w:rsid w:val="00150FF5"/>
    <w:rsid w:val="001511F2"/>
    <w:rsid w:val="001514A8"/>
    <w:rsid w:val="001518A2"/>
    <w:rsid w:val="00151AD0"/>
    <w:rsid w:val="00152461"/>
    <w:rsid w:val="00152623"/>
    <w:rsid w:val="0015278E"/>
    <w:rsid w:val="0015290B"/>
    <w:rsid w:val="0015293B"/>
    <w:rsid w:val="001529F1"/>
    <w:rsid w:val="00152CC1"/>
    <w:rsid w:val="00152EC4"/>
    <w:rsid w:val="00152EC5"/>
    <w:rsid w:val="00154D27"/>
    <w:rsid w:val="001551B9"/>
    <w:rsid w:val="0015579B"/>
    <w:rsid w:val="001558E8"/>
    <w:rsid w:val="00156356"/>
    <w:rsid w:val="00156867"/>
    <w:rsid w:val="001575F6"/>
    <w:rsid w:val="00160612"/>
    <w:rsid w:val="00160F7B"/>
    <w:rsid w:val="001611A6"/>
    <w:rsid w:val="001616D7"/>
    <w:rsid w:val="00161917"/>
    <w:rsid w:val="00161F90"/>
    <w:rsid w:val="0016364A"/>
    <w:rsid w:val="00163675"/>
    <w:rsid w:val="00164279"/>
    <w:rsid w:val="00164446"/>
    <w:rsid w:val="00164A1D"/>
    <w:rsid w:val="001657A3"/>
    <w:rsid w:val="00165832"/>
    <w:rsid w:val="00165927"/>
    <w:rsid w:val="00165D63"/>
    <w:rsid w:val="00165EA4"/>
    <w:rsid w:val="001702EC"/>
    <w:rsid w:val="00170FBC"/>
    <w:rsid w:val="001710DC"/>
    <w:rsid w:val="00171913"/>
    <w:rsid w:val="00171A4E"/>
    <w:rsid w:val="00171A8E"/>
    <w:rsid w:val="00171B89"/>
    <w:rsid w:val="00171BAD"/>
    <w:rsid w:val="00171E9A"/>
    <w:rsid w:val="0017252E"/>
    <w:rsid w:val="00172771"/>
    <w:rsid w:val="00172BE5"/>
    <w:rsid w:val="001738F1"/>
    <w:rsid w:val="00174F6E"/>
    <w:rsid w:val="0017522A"/>
    <w:rsid w:val="00175246"/>
    <w:rsid w:val="00176A0E"/>
    <w:rsid w:val="00176AE0"/>
    <w:rsid w:val="00176B0F"/>
    <w:rsid w:val="00176BCF"/>
    <w:rsid w:val="00176CD1"/>
    <w:rsid w:val="00176F99"/>
    <w:rsid w:val="001770CC"/>
    <w:rsid w:val="00177765"/>
    <w:rsid w:val="001800D9"/>
    <w:rsid w:val="001800E4"/>
    <w:rsid w:val="0018014C"/>
    <w:rsid w:val="001805B3"/>
    <w:rsid w:val="00180662"/>
    <w:rsid w:val="00180D5A"/>
    <w:rsid w:val="00182197"/>
    <w:rsid w:val="0018293F"/>
    <w:rsid w:val="00182A8C"/>
    <w:rsid w:val="00182E0B"/>
    <w:rsid w:val="00182E37"/>
    <w:rsid w:val="00183CF3"/>
    <w:rsid w:val="001849FD"/>
    <w:rsid w:val="00184C1B"/>
    <w:rsid w:val="0018530B"/>
    <w:rsid w:val="00185648"/>
    <w:rsid w:val="00185842"/>
    <w:rsid w:val="00185CCC"/>
    <w:rsid w:val="00185F0A"/>
    <w:rsid w:val="0018673A"/>
    <w:rsid w:val="0018691D"/>
    <w:rsid w:val="00186F3B"/>
    <w:rsid w:val="001875DC"/>
    <w:rsid w:val="00187AFD"/>
    <w:rsid w:val="00187BE6"/>
    <w:rsid w:val="00187D1F"/>
    <w:rsid w:val="00190A99"/>
    <w:rsid w:val="00190CA1"/>
    <w:rsid w:val="0019155C"/>
    <w:rsid w:val="00192117"/>
    <w:rsid w:val="00193202"/>
    <w:rsid w:val="00193249"/>
    <w:rsid w:val="00193B90"/>
    <w:rsid w:val="00193D26"/>
    <w:rsid w:val="00194DFE"/>
    <w:rsid w:val="00195901"/>
    <w:rsid w:val="00195FA0"/>
    <w:rsid w:val="00196236"/>
    <w:rsid w:val="001963E9"/>
    <w:rsid w:val="0019670F"/>
    <w:rsid w:val="00197209"/>
    <w:rsid w:val="001976E7"/>
    <w:rsid w:val="001978B9"/>
    <w:rsid w:val="00197BB9"/>
    <w:rsid w:val="001A0424"/>
    <w:rsid w:val="001A0D56"/>
    <w:rsid w:val="001A1C93"/>
    <w:rsid w:val="001A24C2"/>
    <w:rsid w:val="001A256F"/>
    <w:rsid w:val="001A2DB5"/>
    <w:rsid w:val="001A3500"/>
    <w:rsid w:val="001A3E77"/>
    <w:rsid w:val="001A46B9"/>
    <w:rsid w:val="001A5049"/>
    <w:rsid w:val="001A58E4"/>
    <w:rsid w:val="001A5D2B"/>
    <w:rsid w:val="001A6003"/>
    <w:rsid w:val="001A6357"/>
    <w:rsid w:val="001A6701"/>
    <w:rsid w:val="001A690E"/>
    <w:rsid w:val="001A698E"/>
    <w:rsid w:val="001A74C9"/>
    <w:rsid w:val="001A752D"/>
    <w:rsid w:val="001A760A"/>
    <w:rsid w:val="001B152C"/>
    <w:rsid w:val="001B1A98"/>
    <w:rsid w:val="001B2045"/>
    <w:rsid w:val="001B2788"/>
    <w:rsid w:val="001B2AFF"/>
    <w:rsid w:val="001B483F"/>
    <w:rsid w:val="001B5BAD"/>
    <w:rsid w:val="001B5C1F"/>
    <w:rsid w:val="001B60FF"/>
    <w:rsid w:val="001B614C"/>
    <w:rsid w:val="001B61C9"/>
    <w:rsid w:val="001B62DF"/>
    <w:rsid w:val="001B64A6"/>
    <w:rsid w:val="001B799F"/>
    <w:rsid w:val="001C0159"/>
    <w:rsid w:val="001C064F"/>
    <w:rsid w:val="001C06CF"/>
    <w:rsid w:val="001C0727"/>
    <w:rsid w:val="001C1483"/>
    <w:rsid w:val="001C156A"/>
    <w:rsid w:val="001C1938"/>
    <w:rsid w:val="001C19B0"/>
    <w:rsid w:val="001C209E"/>
    <w:rsid w:val="001C2414"/>
    <w:rsid w:val="001C2522"/>
    <w:rsid w:val="001C25D3"/>
    <w:rsid w:val="001C2D59"/>
    <w:rsid w:val="001C304C"/>
    <w:rsid w:val="001C32DB"/>
    <w:rsid w:val="001C46C8"/>
    <w:rsid w:val="001C4E9F"/>
    <w:rsid w:val="001C6532"/>
    <w:rsid w:val="001C744F"/>
    <w:rsid w:val="001D02F7"/>
    <w:rsid w:val="001D1C46"/>
    <w:rsid w:val="001D1CBB"/>
    <w:rsid w:val="001D2521"/>
    <w:rsid w:val="001D2773"/>
    <w:rsid w:val="001D30E6"/>
    <w:rsid w:val="001D3302"/>
    <w:rsid w:val="001D3B04"/>
    <w:rsid w:val="001D3EFA"/>
    <w:rsid w:val="001D4320"/>
    <w:rsid w:val="001D4618"/>
    <w:rsid w:val="001D4932"/>
    <w:rsid w:val="001D4B40"/>
    <w:rsid w:val="001D4B66"/>
    <w:rsid w:val="001D4C8C"/>
    <w:rsid w:val="001D4E78"/>
    <w:rsid w:val="001D50CF"/>
    <w:rsid w:val="001D5A74"/>
    <w:rsid w:val="001D613C"/>
    <w:rsid w:val="001D6BA9"/>
    <w:rsid w:val="001D6C50"/>
    <w:rsid w:val="001D7456"/>
    <w:rsid w:val="001D7881"/>
    <w:rsid w:val="001D7C23"/>
    <w:rsid w:val="001E057B"/>
    <w:rsid w:val="001E0A33"/>
    <w:rsid w:val="001E0AB6"/>
    <w:rsid w:val="001E0F58"/>
    <w:rsid w:val="001E0F62"/>
    <w:rsid w:val="001E27EA"/>
    <w:rsid w:val="001E28E3"/>
    <w:rsid w:val="001E371F"/>
    <w:rsid w:val="001E3720"/>
    <w:rsid w:val="001E3A8C"/>
    <w:rsid w:val="001E3E51"/>
    <w:rsid w:val="001E4B5D"/>
    <w:rsid w:val="001E4BA9"/>
    <w:rsid w:val="001E5C56"/>
    <w:rsid w:val="001E6940"/>
    <w:rsid w:val="001E74A0"/>
    <w:rsid w:val="001E79FC"/>
    <w:rsid w:val="001F0333"/>
    <w:rsid w:val="001F063A"/>
    <w:rsid w:val="001F067F"/>
    <w:rsid w:val="001F0F33"/>
    <w:rsid w:val="001F148E"/>
    <w:rsid w:val="001F1B5C"/>
    <w:rsid w:val="001F1E96"/>
    <w:rsid w:val="001F203E"/>
    <w:rsid w:val="001F2323"/>
    <w:rsid w:val="001F23AE"/>
    <w:rsid w:val="001F2620"/>
    <w:rsid w:val="001F2EBD"/>
    <w:rsid w:val="001F31D6"/>
    <w:rsid w:val="001F3D1A"/>
    <w:rsid w:val="001F5798"/>
    <w:rsid w:val="001F58D1"/>
    <w:rsid w:val="002003AE"/>
    <w:rsid w:val="0020101A"/>
    <w:rsid w:val="0020197F"/>
    <w:rsid w:val="00201E85"/>
    <w:rsid w:val="00202A1F"/>
    <w:rsid w:val="0020350F"/>
    <w:rsid w:val="0020356C"/>
    <w:rsid w:val="00203678"/>
    <w:rsid w:val="00203AE3"/>
    <w:rsid w:val="00203C7E"/>
    <w:rsid w:val="00204090"/>
    <w:rsid w:val="002040C8"/>
    <w:rsid w:val="00204B40"/>
    <w:rsid w:val="00204D3E"/>
    <w:rsid w:val="00206F43"/>
    <w:rsid w:val="00207842"/>
    <w:rsid w:val="002078DE"/>
    <w:rsid w:val="0021003F"/>
    <w:rsid w:val="00210318"/>
    <w:rsid w:val="00210329"/>
    <w:rsid w:val="0021053E"/>
    <w:rsid w:val="00210C98"/>
    <w:rsid w:val="002110BB"/>
    <w:rsid w:val="002113D2"/>
    <w:rsid w:val="00211EE0"/>
    <w:rsid w:val="00211EF0"/>
    <w:rsid w:val="0021229C"/>
    <w:rsid w:val="002127F6"/>
    <w:rsid w:val="0021348A"/>
    <w:rsid w:val="00214393"/>
    <w:rsid w:val="00214596"/>
    <w:rsid w:val="002146D2"/>
    <w:rsid w:val="00215622"/>
    <w:rsid w:val="00215D97"/>
    <w:rsid w:val="00215D9C"/>
    <w:rsid w:val="002169AD"/>
    <w:rsid w:val="002178BE"/>
    <w:rsid w:val="00217AFA"/>
    <w:rsid w:val="002202FD"/>
    <w:rsid w:val="00220C18"/>
    <w:rsid w:val="002213A0"/>
    <w:rsid w:val="00221E68"/>
    <w:rsid w:val="00222547"/>
    <w:rsid w:val="002227BA"/>
    <w:rsid w:val="00222C12"/>
    <w:rsid w:val="00222E14"/>
    <w:rsid w:val="002231F2"/>
    <w:rsid w:val="002238C4"/>
    <w:rsid w:val="00223936"/>
    <w:rsid w:val="0022478A"/>
    <w:rsid w:val="00224C29"/>
    <w:rsid w:val="00224ECC"/>
    <w:rsid w:val="002254BE"/>
    <w:rsid w:val="0022570E"/>
    <w:rsid w:val="002265D0"/>
    <w:rsid w:val="0022663E"/>
    <w:rsid w:val="00227173"/>
    <w:rsid w:val="002307B4"/>
    <w:rsid w:val="002311C9"/>
    <w:rsid w:val="002322F0"/>
    <w:rsid w:val="00232EED"/>
    <w:rsid w:val="00232FB7"/>
    <w:rsid w:val="00233315"/>
    <w:rsid w:val="0023360E"/>
    <w:rsid w:val="002339F6"/>
    <w:rsid w:val="00233A89"/>
    <w:rsid w:val="00234401"/>
    <w:rsid w:val="002345E7"/>
    <w:rsid w:val="00234A7D"/>
    <w:rsid w:val="00234E54"/>
    <w:rsid w:val="002353AE"/>
    <w:rsid w:val="002353EE"/>
    <w:rsid w:val="00235EEC"/>
    <w:rsid w:val="00237394"/>
    <w:rsid w:val="0023771E"/>
    <w:rsid w:val="0024051B"/>
    <w:rsid w:val="00240AB1"/>
    <w:rsid w:val="00240E24"/>
    <w:rsid w:val="002413A8"/>
    <w:rsid w:val="002414E2"/>
    <w:rsid w:val="00241905"/>
    <w:rsid w:val="00241FD2"/>
    <w:rsid w:val="00242031"/>
    <w:rsid w:val="002420DB"/>
    <w:rsid w:val="00242379"/>
    <w:rsid w:val="00242B0C"/>
    <w:rsid w:val="00242C1D"/>
    <w:rsid w:val="00242DB3"/>
    <w:rsid w:val="00242E72"/>
    <w:rsid w:val="002436E6"/>
    <w:rsid w:val="00243CFE"/>
    <w:rsid w:val="00243D72"/>
    <w:rsid w:val="00243F01"/>
    <w:rsid w:val="0024423A"/>
    <w:rsid w:val="00244260"/>
    <w:rsid w:val="00245EB1"/>
    <w:rsid w:val="00246246"/>
    <w:rsid w:val="00246366"/>
    <w:rsid w:val="00246369"/>
    <w:rsid w:val="00246996"/>
    <w:rsid w:val="002509B2"/>
    <w:rsid w:val="00250D7A"/>
    <w:rsid w:val="00251F41"/>
    <w:rsid w:val="00252017"/>
    <w:rsid w:val="0025268A"/>
    <w:rsid w:val="002539DC"/>
    <w:rsid w:val="00253BE6"/>
    <w:rsid w:val="00253D78"/>
    <w:rsid w:val="0025423B"/>
    <w:rsid w:val="002544BC"/>
    <w:rsid w:val="002545DE"/>
    <w:rsid w:val="0025482D"/>
    <w:rsid w:val="00254951"/>
    <w:rsid w:val="00254EBB"/>
    <w:rsid w:val="0025599A"/>
    <w:rsid w:val="002559D6"/>
    <w:rsid w:val="00255B89"/>
    <w:rsid w:val="002565D9"/>
    <w:rsid w:val="002569C2"/>
    <w:rsid w:val="002573B3"/>
    <w:rsid w:val="00257AD4"/>
    <w:rsid w:val="00257EEA"/>
    <w:rsid w:val="00257F67"/>
    <w:rsid w:val="0026036E"/>
    <w:rsid w:val="00260698"/>
    <w:rsid w:val="00261119"/>
    <w:rsid w:val="002618DC"/>
    <w:rsid w:val="00262147"/>
    <w:rsid w:val="00262151"/>
    <w:rsid w:val="002630D4"/>
    <w:rsid w:val="00263464"/>
    <w:rsid w:val="002639DB"/>
    <w:rsid w:val="00263A3A"/>
    <w:rsid w:val="00263F02"/>
    <w:rsid w:val="002640B6"/>
    <w:rsid w:val="0026423F"/>
    <w:rsid w:val="00265221"/>
    <w:rsid w:val="00265C98"/>
    <w:rsid w:val="00265CE0"/>
    <w:rsid w:val="00265D42"/>
    <w:rsid w:val="00265F7B"/>
    <w:rsid w:val="002676C1"/>
    <w:rsid w:val="00267C70"/>
    <w:rsid w:val="00270C8D"/>
    <w:rsid w:val="002715C0"/>
    <w:rsid w:val="00271DEE"/>
    <w:rsid w:val="0027219E"/>
    <w:rsid w:val="002736B6"/>
    <w:rsid w:val="00273B9D"/>
    <w:rsid w:val="00274701"/>
    <w:rsid w:val="002747AF"/>
    <w:rsid w:val="002754F5"/>
    <w:rsid w:val="0027576F"/>
    <w:rsid w:val="00275F61"/>
    <w:rsid w:val="002760A8"/>
    <w:rsid w:val="002762BC"/>
    <w:rsid w:val="00276445"/>
    <w:rsid w:val="00276475"/>
    <w:rsid w:val="00276F8D"/>
    <w:rsid w:val="002773B2"/>
    <w:rsid w:val="002778D9"/>
    <w:rsid w:val="00277BD6"/>
    <w:rsid w:val="00277F13"/>
    <w:rsid w:val="002809DF"/>
    <w:rsid w:val="002811B3"/>
    <w:rsid w:val="002815F1"/>
    <w:rsid w:val="00282966"/>
    <w:rsid w:val="00282D0D"/>
    <w:rsid w:val="00282F3E"/>
    <w:rsid w:val="00282F65"/>
    <w:rsid w:val="0028376F"/>
    <w:rsid w:val="0028384B"/>
    <w:rsid w:val="00283DD2"/>
    <w:rsid w:val="00283E7E"/>
    <w:rsid w:val="00284F76"/>
    <w:rsid w:val="002852BA"/>
    <w:rsid w:val="0028607B"/>
    <w:rsid w:val="00286153"/>
    <w:rsid w:val="00286E48"/>
    <w:rsid w:val="00287085"/>
    <w:rsid w:val="002873F4"/>
    <w:rsid w:val="0028791A"/>
    <w:rsid w:val="00290019"/>
    <w:rsid w:val="0029007A"/>
    <w:rsid w:val="002900B4"/>
    <w:rsid w:val="00290205"/>
    <w:rsid w:val="0029058E"/>
    <w:rsid w:val="00290C18"/>
    <w:rsid w:val="00291378"/>
    <w:rsid w:val="002915A2"/>
    <w:rsid w:val="002916A1"/>
    <w:rsid w:val="0029244A"/>
    <w:rsid w:val="0029255D"/>
    <w:rsid w:val="00293095"/>
    <w:rsid w:val="00293830"/>
    <w:rsid w:val="00294107"/>
    <w:rsid w:val="00294322"/>
    <w:rsid w:val="0029442D"/>
    <w:rsid w:val="0029608D"/>
    <w:rsid w:val="00296319"/>
    <w:rsid w:val="002969B8"/>
    <w:rsid w:val="002979EF"/>
    <w:rsid w:val="00297A10"/>
    <w:rsid w:val="00297B27"/>
    <w:rsid w:val="002A0179"/>
    <w:rsid w:val="002A03B6"/>
    <w:rsid w:val="002A04C7"/>
    <w:rsid w:val="002A080E"/>
    <w:rsid w:val="002A1E98"/>
    <w:rsid w:val="002A1F46"/>
    <w:rsid w:val="002A2145"/>
    <w:rsid w:val="002A2635"/>
    <w:rsid w:val="002A29EF"/>
    <w:rsid w:val="002A2AAF"/>
    <w:rsid w:val="002A393B"/>
    <w:rsid w:val="002A3BFC"/>
    <w:rsid w:val="002A4226"/>
    <w:rsid w:val="002A4967"/>
    <w:rsid w:val="002A53A7"/>
    <w:rsid w:val="002A7217"/>
    <w:rsid w:val="002A74EB"/>
    <w:rsid w:val="002A7A64"/>
    <w:rsid w:val="002A7E0F"/>
    <w:rsid w:val="002A7ED9"/>
    <w:rsid w:val="002A7F73"/>
    <w:rsid w:val="002B0201"/>
    <w:rsid w:val="002B0876"/>
    <w:rsid w:val="002B0C15"/>
    <w:rsid w:val="002B102B"/>
    <w:rsid w:val="002B107D"/>
    <w:rsid w:val="002B18E2"/>
    <w:rsid w:val="002B1CAE"/>
    <w:rsid w:val="002B29F1"/>
    <w:rsid w:val="002B2DFC"/>
    <w:rsid w:val="002B3065"/>
    <w:rsid w:val="002B3136"/>
    <w:rsid w:val="002B36BF"/>
    <w:rsid w:val="002B385C"/>
    <w:rsid w:val="002B434D"/>
    <w:rsid w:val="002B551C"/>
    <w:rsid w:val="002B7C7E"/>
    <w:rsid w:val="002C0560"/>
    <w:rsid w:val="002C06EB"/>
    <w:rsid w:val="002C1972"/>
    <w:rsid w:val="002C1B99"/>
    <w:rsid w:val="002C2DA5"/>
    <w:rsid w:val="002C30CC"/>
    <w:rsid w:val="002C3459"/>
    <w:rsid w:val="002C3924"/>
    <w:rsid w:val="002C4277"/>
    <w:rsid w:val="002C4853"/>
    <w:rsid w:val="002C4E5E"/>
    <w:rsid w:val="002C5070"/>
    <w:rsid w:val="002C5112"/>
    <w:rsid w:val="002C7058"/>
    <w:rsid w:val="002D0D61"/>
    <w:rsid w:val="002D121F"/>
    <w:rsid w:val="002D1254"/>
    <w:rsid w:val="002D1AE1"/>
    <w:rsid w:val="002D1CCA"/>
    <w:rsid w:val="002D1FDB"/>
    <w:rsid w:val="002D2980"/>
    <w:rsid w:val="002D2AEF"/>
    <w:rsid w:val="002D2D9E"/>
    <w:rsid w:val="002D43BC"/>
    <w:rsid w:val="002D4862"/>
    <w:rsid w:val="002D4B2B"/>
    <w:rsid w:val="002D5400"/>
    <w:rsid w:val="002D54AE"/>
    <w:rsid w:val="002D5BA8"/>
    <w:rsid w:val="002D6F70"/>
    <w:rsid w:val="002D6FCB"/>
    <w:rsid w:val="002D78F1"/>
    <w:rsid w:val="002D7BFD"/>
    <w:rsid w:val="002D7F9C"/>
    <w:rsid w:val="002E143B"/>
    <w:rsid w:val="002E14F2"/>
    <w:rsid w:val="002E15EB"/>
    <w:rsid w:val="002E1B29"/>
    <w:rsid w:val="002E25F9"/>
    <w:rsid w:val="002E2771"/>
    <w:rsid w:val="002E4323"/>
    <w:rsid w:val="002E441D"/>
    <w:rsid w:val="002E5082"/>
    <w:rsid w:val="002E5DFA"/>
    <w:rsid w:val="002E6177"/>
    <w:rsid w:val="002E63D7"/>
    <w:rsid w:val="002E653F"/>
    <w:rsid w:val="002E6B1A"/>
    <w:rsid w:val="002E6CF9"/>
    <w:rsid w:val="002E6D57"/>
    <w:rsid w:val="002E6DDD"/>
    <w:rsid w:val="002E7075"/>
    <w:rsid w:val="002E74E8"/>
    <w:rsid w:val="002E7588"/>
    <w:rsid w:val="002E7CA7"/>
    <w:rsid w:val="002F024F"/>
    <w:rsid w:val="002F0349"/>
    <w:rsid w:val="002F0614"/>
    <w:rsid w:val="002F0DEE"/>
    <w:rsid w:val="002F0EBA"/>
    <w:rsid w:val="002F1A4E"/>
    <w:rsid w:val="002F1B59"/>
    <w:rsid w:val="002F1CFF"/>
    <w:rsid w:val="002F1E9E"/>
    <w:rsid w:val="002F32E1"/>
    <w:rsid w:val="002F334A"/>
    <w:rsid w:val="002F3414"/>
    <w:rsid w:val="002F3F20"/>
    <w:rsid w:val="002F40FD"/>
    <w:rsid w:val="002F4250"/>
    <w:rsid w:val="002F4A0D"/>
    <w:rsid w:val="002F4E4A"/>
    <w:rsid w:val="002F4E59"/>
    <w:rsid w:val="002F52D2"/>
    <w:rsid w:val="002F5604"/>
    <w:rsid w:val="002F6047"/>
    <w:rsid w:val="002F60A3"/>
    <w:rsid w:val="002F709F"/>
    <w:rsid w:val="002F7425"/>
    <w:rsid w:val="00300065"/>
    <w:rsid w:val="00302124"/>
    <w:rsid w:val="00303699"/>
    <w:rsid w:val="003037FD"/>
    <w:rsid w:val="003048DF"/>
    <w:rsid w:val="00304FEE"/>
    <w:rsid w:val="00305A8B"/>
    <w:rsid w:val="0030677C"/>
    <w:rsid w:val="00306C40"/>
    <w:rsid w:val="00307F46"/>
    <w:rsid w:val="003103E0"/>
    <w:rsid w:val="003106A5"/>
    <w:rsid w:val="00310EC0"/>
    <w:rsid w:val="00312560"/>
    <w:rsid w:val="003148B4"/>
    <w:rsid w:val="00314A4F"/>
    <w:rsid w:val="0031500C"/>
    <w:rsid w:val="00315B00"/>
    <w:rsid w:val="00315FB0"/>
    <w:rsid w:val="00317F98"/>
    <w:rsid w:val="00320A0C"/>
    <w:rsid w:val="00321388"/>
    <w:rsid w:val="00321669"/>
    <w:rsid w:val="003217F9"/>
    <w:rsid w:val="00321944"/>
    <w:rsid w:val="003219C1"/>
    <w:rsid w:val="00321B94"/>
    <w:rsid w:val="00321F01"/>
    <w:rsid w:val="003220D9"/>
    <w:rsid w:val="00322EDA"/>
    <w:rsid w:val="00322EFB"/>
    <w:rsid w:val="003233E6"/>
    <w:rsid w:val="00323B60"/>
    <w:rsid w:val="003253B7"/>
    <w:rsid w:val="00325AC0"/>
    <w:rsid w:val="00326328"/>
    <w:rsid w:val="00326337"/>
    <w:rsid w:val="0032656C"/>
    <w:rsid w:val="003266B7"/>
    <w:rsid w:val="003267DC"/>
    <w:rsid w:val="00327CC8"/>
    <w:rsid w:val="00327F19"/>
    <w:rsid w:val="003303F1"/>
    <w:rsid w:val="00330E40"/>
    <w:rsid w:val="0033100E"/>
    <w:rsid w:val="003314B0"/>
    <w:rsid w:val="00331CCE"/>
    <w:rsid w:val="00331FB1"/>
    <w:rsid w:val="00332081"/>
    <w:rsid w:val="00332E1A"/>
    <w:rsid w:val="003332D1"/>
    <w:rsid w:val="00333830"/>
    <w:rsid w:val="00333917"/>
    <w:rsid w:val="00333F3E"/>
    <w:rsid w:val="0033552C"/>
    <w:rsid w:val="00335798"/>
    <w:rsid w:val="00335A21"/>
    <w:rsid w:val="00335D6C"/>
    <w:rsid w:val="003373FE"/>
    <w:rsid w:val="003375DA"/>
    <w:rsid w:val="00337853"/>
    <w:rsid w:val="00337D03"/>
    <w:rsid w:val="00337E5B"/>
    <w:rsid w:val="00340F0B"/>
    <w:rsid w:val="0034146D"/>
    <w:rsid w:val="0034172A"/>
    <w:rsid w:val="00341800"/>
    <w:rsid w:val="00342F76"/>
    <w:rsid w:val="00343504"/>
    <w:rsid w:val="00343659"/>
    <w:rsid w:val="0034374A"/>
    <w:rsid w:val="00344215"/>
    <w:rsid w:val="00344704"/>
    <w:rsid w:val="00345020"/>
    <w:rsid w:val="003450AA"/>
    <w:rsid w:val="003455B7"/>
    <w:rsid w:val="00345775"/>
    <w:rsid w:val="00346615"/>
    <w:rsid w:val="00347020"/>
    <w:rsid w:val="0034753D"/>
    <w:rsid w:val="00350853"/>
    <w:rsid w:val="00350956"/>
    <w:rsid w:val="00350AC9"/>
    <w:rsid w:val="00350C2F"/>
    <w:rsid w:val="00350E95"/>
    <w:rsid w:val="0035108C"/>
    <w:rsid w:val="00351B47"/>
    <w:rsid w:val="00351D5A"/>
    <w:rsid w:val="00351E1B"/>
    <w:rsid w:val="003526D0"/>
    <w:rsid w:val="00352984"/>
    <w:rsid w:val="003530F1"/>
    <w:rsid w:val="00354BB7"/>
    <w:rsid w:val="00355412"/>
    <w:rsid w:val="00355558"/>
    <w:rsid w:val="0035599E"/>
    <w:rsid w:val="00356093"/>
    <w:rsid w:val="003567C0"/>
    <w:rsid w:val="00356A9C"/>
    <w:rsid w:val="00356E51"/>
    <w:rsid w:val="0036029F"/>
    <w:rsid w:val="003603B3"/>
    <w:rsid w:val="003607C6"/>
    <w:rsid w:val="003607E4"/>
    <w:rsid w:val="003608DB"/>
    <w:rsid w:val="00360EC7"/>
    <w:rsid w:val="00361082"/>
    <w:rsid w:val="00362016"/>
    <w:rsid w:val="003634F3"/>
    <w:rsid w:val="0036390C"/>
    <w:rsid w:val="0036437D"/>
    <w:rsid w:val="00364F29"/>
    <w:rsid w:val="003653B4"/>
    <w:rsid w:val="003657FA"/>
    <w:rsid w:val="00365A66"/>
    <w:rsid w:val="00365BEC"/>
    <w:rsid w:val="0036605D"/>
    <w:rsid w:val="00366178"/>
    <w:rsid w:val="0036622B"/>
    <w:rsid w:val="00366DBD"/>
    <w:rsid w:val="00367112"/>
    <w:rsid w:val="003671C9"/>
    <w:rsid w:val="00367549"/>
    <w:rsid w:val="0036764C"/>
    <w:rsid w:val="00367811"/>
    <w:rsid w:val="00370113"/>
    <w:rsid w:val="00370DC3"/>
    <w:rsid w:val="00370DCD"/>
    <w:rsid w:val="00370E1C"/>
    <w:rsid w:val="0037190A"/>
    <w:rsid w:val="003721C5"/>
    <w:rsid w:val="00372E1C"/>
    <w:rsid w:val="0037361E"/>
    <w:rsid w:val="00373624"/>
    <w:rsid w:val="00374614"/>
    <w:rsid w:val="003749B3"/>
    <w:rsid w:val="003750B8"/>
    <w:rsid w:val="00375B5A"/>
    <w:rsid w:val="00375D4D"/>
    <w:rsid w:val="003768F7"/>
    <w:rsid w:val="00376F15"/>
    <w:rsid w:val="003802B2"/>
    <w:rsid w:val="0038134F"/>
    <w:rsid w:val="00382EB4"/>
    <w:rsid w:val="00383905"/>
    <w:rsid w:val="00384210"/>
    <w:rsid w:val="003849F2"/>
    <w:rsid w:val="00384C76"/>
    <w:rsid w:val="00385068"/>
    <w:rsid w:val="00386247"/>
    <w:rsid w:val="003862D1"/>
    <w:rsid w:val="00386D13"/>
    <w:rsid w:val="00386DD6"/>
    <w:rsid w:val="00387025"/>
    <w:rsid w:val="003909DD"/>
    <w:rsid w:val="003914E2"/>
    <w:rsid w:val="00391677"/>
    <w:rsid w:val="0039252F"/>
    <w:rsid w:val="003928F1"/>
    <w:rsid w:val="0039307F"/>
    <w:rsid w:val="003931DC"/>
    <w:rsid w:val="00393F07"/>
    <w:rsid w:val="00394A09"/>
    <w:rsid w:val="003956D0"/>
    <w:rsid w:val="003957C4"/>
    <w:rsid w:val="00395D67"/>
    <w:rsid w:val="00395F12"/>
    <w:rsid w:val="003960DB"/>
    <w:rsid w:val="003969A5"/>
    <w:rsid w:val="00396FF9"/>
    <w:rsid w:val="00397161"/>
    <w:rsid w:val="003974D2"/>
    <w:rsid w:val="003974DC"/>
    <w:rsid w:val="00397971"/>
    <w:rsid w:val="00397F9E"/>
    <w:rsid w:val="003A0BB9"/>
    <w:rsid w:val="003A1281"/>
    <w:rsid w:val="003A1D0A"/>
    <w:rsid w:val="003A202E"/>
    <w:rsid w:val="003A2C44"/>
    <w:rsid w:val="003A333F"/>
    <w:rsid w:val="003A3666"/>
    <w:rsid w:val="003A3865"/>
    <w:rsid w:val="003A3CA5"/>
    <w:rsid w:val="003A3D98"/>
    <w:rsid w:val="003A49C6"/>
    <w:rsid w:val="003A49E6"/>
    <w:rsid w:val="003A4C04"/>
    <w:rsid w:val="003A4C0A"/>
    <w:rsid w:val="003A4DD8"/>
    <w:rsid w:val="003A560B"/>
    <w:rsid w:val="003A71F7"/>
    <w:rsid w:val="003A7DC0"/>
    <w:rsid w:val="003B07A1"/>
    <w:rsid w:val="003B0FDC"/>
    <w:rsid w:val="003B1570"/>
    <w:rsid w:val="003B1FE9"/>
    <w:rsid w:val="003B2693"/>
    <w:rsid w:val="003B344C"/>
    <w:rsid w:val="003B3AC7"/>
    <w:rsid w:val="003B4530"/>
    <w:rsid w:val="003B458E"/>
    <w:rsid w:val="003B4767"/>
    <w:rsid w:val="003B48E3"/>
    <w:rsid w:val="003B4AE1"/>
    <w:rsid w:val="003B4F89"/>
    <w:rsid w:val="003B607A"/>
    <w:rsid w:val="003B607E"/>
    <w:rsid w:val="003B7273"/>
    <w:rsid w:val="003B7405"/>
    <w:rsid w:val="003B76BF"/>
    <w:rsid w:val="003B78A3"/>
    <w:rsid w:val="003B7C17"/>
    <w:rsid w:val="003C0129"/>
    <w:rsid w:val="003C0BF7"/>
    <w:rsid w:val="003C1456"/>
    <w:rsid w:val="003C145B"/>
    <w:rsid w:val="003C1549"/>
    <w:rsid w:val="003C1DFD"/>
    <w:rsid w:val="003C2277"/>
    <w:rsid w:val="003C27AE"/>
    <w:rsid w:val="003C2B03"/>
    <w:rsid w:val="003C2EDA"/>
    <w:rsid w:val="003C352C"/>
    <w:rsid w:val="003C3AFC"/>
    <w:rsid w:val="003C3E1E"/>
    <w:rsid w:val="003C4A13"/>
    <w:rsid w:val="003C4ABD"/>
    <w:rsid w:val="003C52CC"/>
    <w:rsid w:val="003C5711"/>
    <w:rsid w:val="003C7234"/>
    <w:rsid w:val="003C73D8"/>
    <w:rsid w:val="003D0197"/>
    <w:rsid w:val="003D03C1"/>
    <w:rsid w:val="003D09F6"/>
    <w:rsid w:val="003D42D3"/>
    <w:rsid w:val="003D432B"/>
    <w:rsid w:val="003D48FD"/>
    <w:rsid w:val="003D4B51"/>
    <w:rsid w:val="003D4E1C"/>
    <w:rsid w:val="003D5698"/>
    <w:rsid w:val="003D5AE0"/>
    <w:rsid w:val="003D5BCA"/>
    <w:rsid w:val="003D5C25"/>
    <w:rsid w:val="003D5FB4"/>
    <w:rsid w:val="003D708F"/>
    <w:rsid w:val="003D71D1"/>
    <w:rsid w:val="003D76DA"/>
    <w:rsid w:val="003D7DE9"/>
    <w:rsid w:val="003E0239"/>
    <w:rsid w:val="003E03C8"/>
    <w:rsid w:val="003E0AA3"/>
    <w:rsid w:val="003E0F08"/>
    <w:rsid w:val="003E154E"/>
    <w:rsid w:val="003E1AB2"/>
    <w:rsid w:val="003E1B93"/>
    <w:rsid w:val="003E24F1"/>
    <w:rsid w:val="003E31D0"/>
    <w:rsid w:val="003E3288"/>
    <w:rsid w:val="003E3C6D"/>
    <w:rsid w:val="003E3D16"/>
    <w:rsid w:val="003E466A"/>
    <w:rsid w:val="003E5FB1"/>
    <w:rsid w:val="003E6B3C"/>
    <w:rsid w:val="003E6B9B"/>
    <w:rsid w:val="003E6E0B"/>
    <w:rsid w:val="003E7500"/>
    <w:rsid w:val="003E7FBE"/>
    <w:rsid w:val="003F00F2"/>
    <w:rsid w:val="003F0F72"/>
    <w:rsid w:val="003F15ED"/>
    <w:rsid w:val="003F176B"/>
    <w:rsid w:val="003F193B"/>
    <w:rsid w:val="003F1A4F"/>
    <w:rsid w:val="003F1A71"/>
    <w:rsid w:val="003F25A4"/>
    <w:rsid w:val="003F365D"/>
    <w:rsid w:val="003F3BE6"/>
    <w:rsid w:val="003F3CC7"/>
    <w:rsid w:val="003F5576"/>
    <w:rsid w:val="003F57AF"/>
    <w:rsid w:val="003F5A6A"/>
    <w:rsid w:val="003F6061"/>
    <w:rsid w:val="003F6A0A"/>
    <w:rsid w:val="003F6D29"/>
    <w:rsid w:val="003F7C40"/>
    <w:rsid w:val="003F7D8E"/>
    <w:rsid w:val="004004EC"/>
    <w:rsid w:val="00400567"/>
    <w:rsid w:val="00400958"/>
    <w:rsid w:val="00400E6E"/>
    <w:rsid w:val="004027C0"/>
    <w:rsid w:val="00403211"/>
    <w:rsid w:val="004032A3"/>
    <w:rsid w:val="004034A8"/>
    <w:rsid w:val="004034CA"/>
    <w:rsid w:val="004036CB"/>
    <w:rsid w:val="00404FC7"/>
    <w:rsid w:val="00405676"/>
    <w:rsid w:val="0040574D"/>
    <w:rsid w:val="00405D0D"/>
    <w:rsid w:val="0040699C"/>
    <w:rsid w:val="00407AA2"/>
    <w:rsid w:val="00407BCE"/>
    <w:rsid w:val="004114E4"/>
    <w:rsid w:val="00412351"/>
    <w:rsid w:val="00413757"/>
    <w:rsid w:val="0041414C"/>
    <w:rsid w:val="004151CA"/>
    <w:rsid w:val="00415368"/>
    <w:rsid w:val="004159AB"/>
    <w:rsid w:val="00415A62"/>
    <w:rsid w:val="00416DA5"/>
    <w:rsid w:val="00417E47"/>
    <w:rsid w:val="004204C0"/>
    <w:rsid w:val="004215A6"/>
    <w:rsid w:val="00421606"/>
    <w:rsid w:val="0042210D"/>
    <w:rsid w:val="00422181"/>
    <w:rsid w:val="00422700"/>
    <w:rsid w:val="00422A3F"/>
    <w:rsid w:val="00422D0E"/>
    <w:rsid w:val="004237C3"/>
    <w:rsid w:val="00423885"/>
    <w:rsid w:val="004239C3"/>
    <w:rsid w:val="00423BF4"/>
    <w:rsid w:val="00424C71"/>
    <w:rsid w:val="00424DAF"/>
    <w:rsid w:val="00425300"/>
    <w:rsid w:val="00425363"/>
    <w:rsid w:val="0042587A"/>
    <w:rsid w:val="00425AE1"/>
    <w:rsid w:val="00427103"/>
    <w:rsid w:val="00427696"/>
    <w:rsid w:val="004278DA"/>
    <w:rsid w:val="00427BAE"/>
    <w:rsid w:val="0043034C"/>
    <w:rsid w:val="004306C4"/>
    <w:rsid w:val="004308EE"/>
    <w:rsid w:val="00430C8E"/>
    <w:rsid w:val="00430E2F"/>
    <w:rsid w:val="00431C8A"/>
    <w:rsid w:val="00431DF7"/>
    <w:rsid w:val="00431E9A"/>
    <w:rsid w:val="00432014"/>
    <w:rsid w:val="004325D4"/>
    <w:rsid w:val="004326AF"/>
    <w:rsid w:val="00433350"/>
    <w:rsid w:val="00433754"/>
    <w:rsid w:val="00433965"/>
    <w:rsid w:val="00433E90"/>
    <w:rsid w:val="00435852"/>
    <w:rsid w:val="0043585C"/>
    <w:rsid w:val="00435C66"/>
    <w:rsid w:val="00435FAC"/>
    <w:rsid w:val="00436591"/>
    <w:rsid w:val="0043703C"/>
    <w:rsid w:val="00437177"/>
    <w:rsid w:val="00437198"/>
    <w:rsid w:val="004376D7"/>
    <w:rsid w:val="004376DE"/>
    <w:rsid w:val="00437D06"/>
    <w:rsid w:val="00440792"/>
    <w:rsid w:val="0044103B"/>
    <w:rsid w:val="004410FA"/>
    <w:rsid w:val="004412C7"/>
    <w:rsid w:val="00441D8B"/>
    <w:rsid w:val="00441EA8"/>
    <w:rsid w:val="004432A1"/>
    <w:rsid w:val="004432A5"/>
    <w:rsid w:val="00443370"/>
    <w:rsid w:val="00443E06"/>
    <w:rsid w:val="00443E2A"/>
    <w:rsid w:val="0044429E"/>
    <w:rsid w:val="0044455E"/>
    <w:rsid w:val="00444B3B"/>
    <w:rsid w:val="00444C12"/>
    <w:rsid w:val="00444C72"/>
    <w:rsid w:val="00445534"/>
    <w:rsid w:val="0044584A"/>
    <w:rsid w:val="00445BF1"/>
    <w:rsid w:val="00447723"/>
    <w:rsid w:val="00447B53"/>
    <w:rsid w:val="004509A3"/>
    <w:rsid w:val="00450A2D"/>
    <w:rsid w:val="004518CA"/>
    <w:rsid w:val="00451F54"/>
    <w:rsid w:val="004524CE"/>
    <w:rsid w:val="004536AA"/>
    <w:rsid w:val="00453EBB"/>
    <w:rsid w:val="00454187"/>
    <w:rsid w:val="00454281"/>
    <w:rsid w:val="00454541"/>
    <w:rsid w:val="00455978"/>
    <w:rsid w:val="00455C01"/>
    <w:rsid w:val="00455ED0"/>
    <w:rsid w:val="00457975"/>
    <w:rsid w:val="00457F44"/>
    <w:rsid w:val="004603F8"/>
    <w:rsid w:val="00460F74"/>
    <w:rsid w:val="00461268"/>
    <w:rsid w:val="00461346"/>
    <w:rsid w:val="00461C8E"/>
    <w:rsid w:val="004622DB"/>
    <w:rsid w:val="00462D9A"/>
    <w:rsid w:val="004635BC"/>
    <w:rsid w:val="00463769"/>
    <w:rsid w:val="00463D03"/>
    <w:rsid w:val="00465572"/>
    <w:rsid w:val="00465726"/>
    <w:rsid w:val="0046584D"/>
    <w:rsid w:val="004667DE"/>
    <w:rsid w:val="00466D62"/>
    <w:rsid w:val="004675EC"/>
    <w:rsid w:val="00467965"/>
    <w:rsid w:val="00467CB9"/>
    <w:rsid w:val="00467FEC"/>
    <w:rsid w:val="004705B3"/>
    <w:rsid w:val="0047089A"/>
    <w:rsid w:val="00470967"/>
    <w:rsid w:val="00470C12"/>
    <w:rsid w:val="00470C9A"/>
    <w:rsid w:val="0047150F"/>
    <w:rsid w:val="00471CFC"/>
    <w:rsid w:val="004720F3"/>
    <w:rsid w:val="0047256C"/>
    <w:rsid w:val="004725F0"/>
    <w:rsid w:val="0047300F"/>
    <w:rsid w:val="0047348B"/>
    <w:rsid w:val="00473716"/>
    <w:rsid w:val="00473E08"/>
    <w:rsid w:val="0047442E"/>
    <w:rsid w:val="00474535"/>
    <w:rsid w:val="00474E8B"/>
    <w:rsid w:val="0047538F"/>
    <w:rsid w:val="00476A7C"/>
    <w:rsid w:val="00476DED"/>
    <w:rsid w:val="0047736A"/>
    <w:rsid w:val="004774EA"/>
    <w:rsid w:val="00477597"/>
    <w:rsid w:val="00477DFB"/>
    <w:rsid w:val="004805A1"/>
    <w:rsid w:val="00480CD0"/>
    <w:rsid w:val="00481104"/>
    <w:rsid w:val="00481536"/>
    <w:rsid w:val="0048195D"/>
    <w:rsid w:val="00481A17"/>
    <w:rsid w:val="00481E6D"/>
    <w:rsid w:val="00481FF5"/>
    <w:rsid w:val="00483184"/>
    <w:rsid w:val="0048336C"/>
    <w:rsid w:val="00483A40"/>
    <w:rsid w:val="00484123"/>
    <w:rsid w:val="0048436F"/>
    <w:rsid w:val="004848AF"/>
    <w:rsid w:val="00484AB8"/>
    <w:rsid w:val="00484BF1"/>
    <w:rsid w:val="004858BB"/>
    <w:rsid w:val="00485901"/>
    <w:rsid w:val="00485CC5"/>
    <w:rsid w:val="00485FCA"/>
    <w:rsid w:val="004868E0"/>
    <w:rsid w:val="00486978"/>
    <w:rsid w:val="00487B70"/>
    <w:rsid w:val="004903CD"/>
    <w:rsid w:val="00490882"/>
    <w:rsid w:val="00491C39"/>
    <w:rsid w:val="0049234D"/>
    <w:rsid w:val="004933FE"/>
    <w:rsid w:val="00494D46"/>
    <w:rsid w:val="00495311"/>
    <w:rsid w:val="00495541"/>
    <w:rsid w:val="0049558F"/>
    <w:rsid w:val="00495DD0"/>
    <w:rsid w:val="0049639E"/>
    <w:rsid w:val="004969DC"/>
    <w:rsid w:val="00496B89"/>
    <w:rsid w:val="00496D5D"/>
    <w:rsid w:val="00496F42"/>
    <w:rsid w:val="0049727C"/>
    <w:rsid w:val="0049735E"/>
    <w:rsid w:val="004A0FF8"/>
    <w:rsid w:val="004A16CF"/>
    <w:rsid w:val="004A2034"/>
    <w:rsid w:val="004A3073"/>
    <w:rsid w:val="004A33BB"/>
    <w:rsid w:val="004A4213"/>
    <w:rsid w:val="004A4508"/>
    <w:rsid w:val="004A471C"/>
    <w:rsid w:val="004A4C0C"/>
    <w:rsid w:val="004A4D68"/>
    <w:rsid w:val="004A56FA"/>
    <w:rsid w:val="004A66EE"/>
    <w:rsid w:val="004A7DEB"/>
    <w:rsid w:val="004A7E8C"/>
    <w:rsid w:val="004B00E5"/>
    <w:rsid w:val="004B1B4D"/>
    <w:rsid w:val="004B26B1"/>
    <w:rsid w:val="004B2F11"/>
    <w:rsid w:val="004B327C"/>
    <w:rsid w:val="004B3BC2"/>
    <w:rsid w:val="004B3CE0"/>
    <w:rsid w:val="004B423A"/>
    <w:rsid w:val="004B478D"/>
    <w:rsid w:val="004B4D48"/>
    <w:rsid w:val="004B53E1"/>
    <w:rsid w:val="004B5565"/>
    <w:rsid w:val="004B5CEA"/>
    <w:rsid w:val="004B610F"/>
    <w:rsid w:val="004B660D"/>
    <w:rsid w:val="004B6C0F"/>
    <w:rsid w:val="004B725C"/>
    <w:rsid w:val="004B73C1"/>
    <w:rsid w:val="004B749B"/>
    <w:rsid w:val="004B7B6F"/>
    <w:rsid w:val="004C0A38"/>
    <w:rsid w:val="004C0BC3"/>
    <w:rsid w:val="004C0E06"/>
    <w:rsid w:val="004C2C0C"/>
    <w:rsid w:val="004C320B"/>
    <w:rsid w:val="004C321C"/>
    <w:rsid w:val="004C3302"/>
    <w:rsid w:val="004C352A"/>
    <w:rsid w:val="004C4DB9"/>
    <w:rsid w:val="004C52FE"/>
    <w:rsid w:val="004C600E"/>
    <w:rsid w:val="004C6E83"/>
    <w:rsid w:val="004C6F1D"/>
    <w:rsid w:val="004C70A4"/>
    <w:rsid w:val="004C70D2"/>
    <w:rsid w:val="004C7113"/>
    <w:rsid w:val="004C74B7"/>
    <w:rsid w:val="004C78A9"/>
    <w:rsid w:val="004C7B08"/>
    <w:rsid w:val="004D0C25"/>
    <w:rsid w:val="004D0C8C"/>
    <w:rsid w:val="004D0CDF"/>
    <w:rsid w:val="004D0DE0"/>
    <w:rsid w:val="004D0E0D"/>
    <w:rsid w:val="004D0FA1"/>
    <w:rsid w:val="004D127C"/>
    <w:rsid w:val="004D1281"/>
    <w:rsid w:val="004D1609"/>
    <w:rsid w:val="004D1DE4"/>
    <w:rsid w:val="004D1F20"/>
    <w:rsid w:val="004D21F6"/>
    <w:rsid w:val="004D2AD4"/>
    <w:rsid w:val="004D2FDC"/>
    <w:rsid w:val="004D3367"/>
    <w:rsid w:val="004D341F"/>
    <w:rsid w:val="004D4D88"/>
    <w:rsid w:val="004D5814"/>
    <w:rsid w:val="004D585F"/>
    <w:rsid w:val="004D5B81"/>
    <w:rsid w:val="004D5E89"/>
    <w:rsid w:val="004D6591"/>
    <w:rsid w:val="004D77FB"/>
    <w:rsid w:val="004D7864"/>
    <w:rsid w:val="004D7A14"/>
    <w:rsid w:val="004D7AAD"/>
    <w:rsid w:val="004D7DD9"/>
    <w:rsid w:val="004D7E2B"/>
    <w:rsid w:val="004E0145"/>
    <w:rsid w:val="004E2911"/>
    <w:rsid w:val="004E306E"/>
    <w:rsid w:val="004E357D"/>
    <w:rsid w:val="004E40B4"/>
    <w:rsid w:val="004E42FB"/>
    <w:rsid w:val="004E46A4"/>
    <w:rsid w:val="004E556A"/>
    <w:rsid w:val="004E5F81"/>
    <w:rsid w:val="004E6D02"/>
    <w:rsid w:val="004E6FCB"/>
    <w:rsid w:val="004E725F"/>
    <w:rsid w:val="004E75D6"/>
    <w:rsid w:val="004E776A"/>
    <w:rsid w:val="004E78CD"/>
    <w:rsid w:val="004E7AB8"/>
    <w:rsid w:val="004F01B0"/>
    <w:rsid w:val="004F0F7E"/>
    <w:rsid w:val="004F117D"/>
    <w:rsid w:val="004F12D7"/>
    <w:rsid w:val="004F14C6"/>
    <w:rsid w:val="004F1EF2"/>
    <w:rsid w:val="004F25F8"/>
    <w:rsid w:val="004F2686"/>
    <w:rsid w:val="004F2D56"/>
    <w:rsid w:val="004F2D6D"/>
    <w:rsid w:val="004F32CD"/>
    <w:rsid w:val="004F33D0"/>
    <w:rsid w:val="004F3A61"/>
    <w:rsid w:val="004F3B8A"/>
    <w:rsid w:val="004F4263"/>
    <w:rsid w:val="004F4B18"/>
    <w:rsid w:val="004F4D2B"/>
    <w:rsid w:val="004F5441"/>
    <w:rsid w:val="004F54CD"/>
    <w:rsid w:val="004F559B"/>
    <w:rsid w:val="004F55F8"/>
    <w:rsid w:val="004F5C3C"/>
    <w:rsid w:val="004F667E"/>
    <w:rsid w:val="004F6B8C"/>
    <w:rsid w:val="004F7015"/>
    <w:rsid w:val="004F71D3"/>
    <w:rsid w:val="004F72B8"/>
    <w:rsid w:val="004F7445"/>
    <w:rsid w:val="004F7818"/>
    <w:rsid w:val="004F7910"/>
    <w:rsid w:val="005003BA"/>
    <w:rsid w:val="00500568"/>
    <w:rsid w:val="00500BB9"/>
    <w:rsid w:val="00501338"/>
    <w:rsid w:val="00501370"/>
    <w:rsid w:val="00501B30"/>
    <w:rsid w:val="00501D94"/>
    <w:rsid w:val="00502576"/>
    <w:rsid w:val="00502885"/>
    <w:rsid w:val="00502EF0"/>
    <w:rsid w:val="0050306D"/>
    <w:rsid w:val="00503648"/>
    <w:rsid w:val="005036C8"/>
    <w:rsid w:val="00503711"/>
    <w:rsid w:val="005039FD"/>
    <w:rsid w:val="00503A1B"/>
    <w:rsid w:val="00503A25"/>
    <w:rsid w:val="00503E7B"/>
    <w:rsid w:val="005040DB"/>
    <w:rsid w:val="0050426C"/>
    <w:rsid w:val="0050505E"/>
    <w:rsid w:val="00505083"/>
    <w:rsid w:val="005055F7"/>
    <w:rsid w:val="00506B96"/>
    <w:rsid w:val="00507259"/>
    <w:rsid w:val="005074B1"/>
    <w:rsid w:val="00507A56"/>
    <w:rsid w:val="00507EC9"/>
    <w:rsid w:val="005105B6"/>
    <w:rsid w:val="005117A1"/>
    <w:rsid w:val="00511B9F"/>
    <w:rsid w:val="00513099"/>
    <w:rsid w:val="00513A35"/>
    <w:rsid w:val="00513ADF"/>
    <w:rsid w:val="00513F73"/>
    <w:rsid w:val="005146D8"/>
    <w:rsid w:val="00514E7B"/>
    <w:rsid w:val="005155AC"/>
    <w:rsid w:val="0051572F"/>
    <w:rsid w:val="00515898"/>
    <w:rsid w:val="00517137"/>
    <w:rsid w:val="00517287"/>
    <w:rsid w:val="005179DC"/>
    <w:rsid w:val="005179F1"/>
    <w:rsid w:val="00517AF5"/>
    <w:rsid w:val="00517CA8"/>
    <w:rsid w:val="005201B3"/>
    <w:rsid w:val="005201E3"/>
    <w:rsid w:val="005205A7"/>
    <w:rsid w:val="005210A9"/>
    <w:rsid w:val="00521266"/>
    <w:rsid w:val="00521ADB"/>
    <w:rsid w:val="00521CF5"/>
    <w:rsid w:val="00522D80"/>
    <w:rsid w:val="00522EEC"/>
    <w:rsid w:val="00523236"/>
    <w:rsid w:val="00524434"/>
    <w:rsid w:val="0052484F"/>
    <w:rsid w:val="00524CFF"/>
    <w:rsid w:val="00524D25"/>
    <w:rsid w:val="005252FD"/>
    <w:rsid w:val="0052539E"/>
    <w:rsid w:val="005253BF"/>
    <w:rsid w:val="00525771"/>
    <w:rsid w:val="00530AC4"/>
    <w:rsid w:val="00530BBF"/>
    <w:rsid w:val="0053111D"/>
    <w:rsid w:val="00531168"/>
    <w:rsid w:val="0053215B"/>
    <w:rsid w:val="00532302"/>
    <w:rsid w:val="0053271C"/>
    <w:rsid w:val="005328C6"/>
    <w:rsid w:val="00532A5B"/>
    <w:rsid w:val="0053352F"/>
    <w:rsid w:val="005335FD"/>
    <w:rsid w:val="00533751"/>
    <w:rsid w:val="00535620"/>
    <w:rsid w:val="00535823"/>
    <w:rsid w:val="00536B17"/>
    <w:rsid w:val="00536E1E"/>
    <w:rsid w:val="00536FCF"/>
    <w:rsid w:val="00537285"/>
    <w:rsid w:val="00537459"/>
    <w:rsid w:val="005379C4"/>
    <w:rsid w:val="0054021B"/>
    <w:rsid w:val="00540496"/>
    <w:rsid w:val="00540883"/>
    <w:rsid w:val="005408D8"/>
    <w:rsid w:val="00540D00"/>
    <w:rsid w:val="00541033"/>
    <w:rsid w:val="00541987"/>
    <w:rsid w:val="005422DD"/>
    <w:rsid w:val="00542364"/>
    <w:rsid w:val="00542892"/>
    <w:rsid w:val="00543167"/>
    <w:rsid w:val="0054364A"/>
    <w:rsid w:val="005439EB"/>
    <w:rsid w:val="00543EDE"/>
    <w:rsid w:val="00543FAD"/>
    <w:rsid w:val="0054443E"/>
    <w:rsid w:val="00544A34"/>
    <w:rsid w:val="00544D3D"/>
    <w:rsid w:val="005457C0"/>
    <w:rsid w:val="00545FB4"/>
    <w:rsid w:val="0054619C"/>
    <w:rsid w:val="005467FF"/>
    <w:rsid w:val="00546C79"/>
    <w:rsid w:val="00546D85"/>
    <w:rsid w:val="00547553"/>
    <w:rsid w:val="00547897"/>
    <w:rsid w:val="005479FE"/>
    <w:rsid w:val="00547C56"/>
    <w:rsid w:val="00547EC9"/>
    <w:rsid w:val="00550504"/>
    <w:rsid w:val="005506B2"/>
    <w:rsid w:val="00550AED"/>
    <w:rsid w:val="00551A1F"/>
    <w:rsid w:val="00551F09"/>
    <w:rsid w:val="0055281E"/>
    <w:rsid w:val="00552975"/>
    <w:rsid w:val="005535C0"/>
    <w:rsid w:val="00553901"/>
    <w:rsid w:val="00553D49"/>
    <w:rsid w:val="00553E9B"/>
    <w:rsid w:val="005543EA"/>
    <w:rsid w:val="00554F12"/>
    <w:rsid w:val="00555005"/>
    <w:rsid w:val="00555577"/>
    <w:rsid w:val="00556303"/>
    <w:rsid w:val="005565D0"/>
    <w:rsid w:val="00556CAA"/>
    <w:rsid w:val="005575A1"/>
    <w:rsid w:val="0056013F"/>
    <w:rsid w:val="00560314"/>
    <w:rsid w:val="005607AD"/>
    <w:rsid w:val="00560D6D"/>
    <w:rsid w:val="00561576"/>
    <w:rsid w:val="00561587"/>
    <w:rsid w:val="00561D85"/>
    <w:rsid w:val="00562409"/>
    <w:rsid w:val="0056305E"/>
    <w:rsid w:val="0056311B"/>
    <w:rsid w:val="0056311E"/>
    <w:rsid w:val="005632AA"/>
    <w:rsid w:val="005635C8"/>
    <w:rsid w:val="005641BA"/>
    <w:rsid w:val="005644D8"/>
    <w:rsid w:val="0056476C"/>
    <w:rsid w:val="00564A6F"/>
    <w:rsid w:val="00564DCB"/>
    <w:rsid w:val="00564E07"/>
    <w:rsid w:val="00565090"/>
    <w:rsid w:val="005657DF"/>
    <w:rsid w:val="00565D17"/>
    <w:rsid w:val="0056691B"/>
    <w:rsid w:val="00566B25"/>
    <w:rsid w:val="00566CB6"/>
    <w:rsid w:val="00567289"/>
    <w:rsid w:val="00567B24"/>
    <w:rsid w:val="00570AAD"/>
    <w:rsid w:val="00570AD1"/>
    <w:rsid w:val="00571524"/>
    <w:rsid w:val="0057154D"/>
    <w:rsid w:val="00571FEB"/>
    <w:rsid w:val="00572CF6"/>
    <w:rsid w:val="0057410B"/>
    <w:rsid w:val="00574773"/>
    <w:rsid w:val="00574A71"/>
    <w:rsid w:val="005751DA"/>
    <w:rsid w:val="005753DD"/>
    <w:rsid w:val="00575403"/>
    <w:rsid w:val="00575411"/>
    <w:rsid w:val="00575E59"/>
    <w:rsid w:val="00575E9B"/>
    <w:rsid w:val="00576638"/>
    <w:rsid w:val="00576D3E"/>
    <w:rsid w:val="00576E85"/>
    <w:rsid w:val="0057722F"/>
    <w:rsid w:val="00577499"/>
    <w:rsid w:val="00577A40"/>
    <w:rsid w:val="00580275"/>
    <w:rsid w:val="005802E4"/>
    <w:rsid w:val="005804CD"/>
    <w:rsid w:val="00580529"/>
    <w:rsid w:val="00580D4F"/>
    <w:rsid w:val="00581445"/>
    <w:rsid w:val="005816F8"/>
    <w:rsid w:val="00582A32"/>
    <w:rsid w:val="00582C4F"/>
    <w:rsid w:val="00582E0E"/>
    <w:rsid w:val="00584000"/>
    <w:rsid w:val="00584CBD"/>
    <w:rsid w:val="005852F0"/>
    <w:rsid w:val="0058532F"/>
    <w:rsid w:val="005864C3"/>
    <w:rsid w:val="00586DDA"/>
    <w:rsid w:val="005902FC"/>
    <w:rsid w:val="00590484"/>
    <w:rsid w:val="00591777"/>
    <w:rsid w:val="00592489"/>
    <w:rsid w:val="00592A5F"/>
    <w:rsid w:val="00592F82"/>
    <w:rsid w:val="00593E23"/>
    <w:rsid w:val="005946BE"/>
    <w:rsid w:val="00594BD6"/>
    <w:rsid w:val="00595B1E"/>
    <w:rsid w:val="00596446"/>
    <w:rsid w:val="005964DC"/>
    <w:rsid w:val="00596B92"/>
    <w:rsid w:val="00597D14"/>
    <w:rsid w:val="005A1B96"/>
    <w:rsid w:val="005A1D8D"/>
    <w:rsid w:val="005A2448"/>
    <w:rsid w:val="005A29DD"/>
    <w:rsid w:val="005A32EE"/>
    <w:rsid w:val="005A3879"/>
    <w:rsid w:val="005A44BE"/>
    <w:rsid w:val="005A57FE"/>
    <w:rsid w:val="005A6D48"/>
    <w:rsid w:val="005A78CB"/>
    <w:rsid w:val="005B0187"/>
    <w:rsid w:val="005B02AE"/>
    <w:rsid w:val="005B0934"/>
    <w:rsid w:val="005B284E"/>
    <w:rsid w:val="005B3133"/>
    <w:rsid w:val="005B3383"/>
    <w:rsid w:val="005B41EB"/>
    <w:rsid w:val="005B4DB9"/>
    <w:rsid w:val="005B734C"/>
    <w:rsid w:val="005B7774"/>
    <w:rsid w:val="005B7EBA"/>
    <w:rsid w:val="005C007D"/>
    <w:rsid w:val="005C05A0"/>
    <w:rsid w:val="005C0607"/>
    <w:rsid w:val="005C0DB3"/>
    <w:rsid w:val="005C0DEF"/>
    <w:rsid w:val="005C0F87"/>
    <w:rsid w:val="005C1129"/>
    <w:rsid w:val="005C134B"/>
    <w:rsid w:val="005C1A49"/>
    <w:rsid w:val="005C1C2B"/>
    <w:rsid w:val="005C1C67"/>
    <w:rsid w:val="005C34D1"/>
    <w:rsid w:val="005C3F24"/>
    <w:rsid w:val="005C4001"/>
    <w:rsid w:val="005C43CE"/>
    <w:rsid w:val="005C4DA6"/>
    <w:rsid w:val="005C51D8"/>
    <w:rsid w:val="005C5CCD"/>
    <w:rsid w:val="005C63EB"/>
    <w:rsid w:val="005C6580"/>
    <w:rsid w:val="005C68B9"/>
    <w:rsid w:val="005C6BF5"/>
    <w:rsid w:val="005C7AB9"/>
    <w:rsid w:val="005D074E"/>
    <w:rsid w:val="005D16B3"/>
    <w:rsid w:val="005D2DAB"/>
    <w:rsid w:val="005D3010"/>
    <w:rsid w:val="005D3089"/>
    <w:rsid w:val="005D30A9"/>
    <w:rsid w:val="005D3140"/>
    <w:rsid w:val="005D3AC7"/>
    <w:rsid w:val="005D3B53"/>
    <w:rsid w:val="005D3E2D"/>
    <w:rsid w:val="005D47DF"/>
    <w:rsid w:val="005D5020"/>
    <w:rsid w:val="005D511F"/>
    <w:rsid w:val="005D5636"/>
    <w:rsid w:val="005D56F2"/>
    <w:rsid w:val="005D61AB"/>
    <w:rsid w:val="005D6825"/>
    <w:rsid w:val="005D697B"/>
    <w:rsid w:val="005D6983"/>
    <w:rsid w:val="005D6ED2"/>
    <w:rsid w:val="005E00A0"/>
    <w:rsid w:val="005E028B"/>
    <w:rsid w:val="005E31DE"/>
    <w:rsid w:val="005E3306"/>
    <w:rsid w:val="005E47BF"/>
    <w:rsid w:val="005E4E22"/>
    <w:rsid w:val="005E5992"/>
    <w:rsid w:val="005E5A64"/>
    <w:rsid w:val="005E5E7B"/>
    <w:rsid w:val="005E6231"/>
    <w:rsid w:val="005E6A9D"/>
    <w:rsid w:val="005E7846"/>
    <w:rsid w:val="005E7AC2"/>
    <w:rsid w:val="005F0381"/>
    <w:rsid w:val="005F0A11"/>
    <w:rsid w:val="005F0F48"/>
    <w:rsid w:val="005F177D"/>
    <w:rsid w:val="005F19F2"/>
    <w:rsid w:val="005F1CA5"/>
    <w:rsid w:val="005F24CC"/>
    <w:rsid w:val="005F2517"/>
    <w:rsid w:val="005F2ACE"/>
    <w:rsid w:val="005F2B1E"/>
    <w:rsid w:val="005F2D8C"/>
    <w:rsid w:val="005F2FBB"/>
    <w:rsid w:val="005F33B4"/>
    <w:rsid w:val="005F3980"/>
    <w:rsid w:val="005F46C3"/>
    <w:rsid w:val="005F473D"/>
    <w:rsid w:val="005F485A"/>
    <w:rsid w:val="005F495B"/>
    <w:rsid w:val="005F6D8D"/>
    <w:rsid w:val="005F6F20"/>
    <w:rsid w:val="005F7658"/>
    <w:rsid w:val="005F7DF1"/>
    <w:rsid w:val="006008F6"/>
    <w:rsid w:val="00600AF4"/>
    <w:rsid w:val="00600E78"/>
    <w:rsid w:val="00601661"/>
    <w:rsid w:val="00602850"/>
    <w:rsid w:val="00603450"/>
    <w:rsid w:val="006037C0"/>
    <w:rsid w:val="0060385E"/>
    <w:rsid w:val="0060387B"/>
    <w:rsid w:val="00603BD8"/>
    <w:rsid w:val="00603D4B"/>
    <w:rsid w:val="006045E4"/>
    <w:rsid w:val="00604CE1"/>
    <w:rsid w:val="00605410"/>
    <w:rsid w:val="00606638"/>
    <w:rsid w:val="00606872"/>
    <w:rsid w:val="00606C82"/>
    <w:rsid w:val="00607222"/>
    <w:rsid w:val="00607951"/>
    <w:rsid w:val="006105AD"/>
    <w:rsid w:val="006110AB"/>
    <w:rsid w:val="00611257"/>
    <w:rsid w:val="00612CF7"/>
    <w:rsid w:val="00612F1B"/>
    <w:rsid w:val="00613311"/>
    <w:rsid w:val="00613E18"/>
    <w:rsid w:val="00614890"/>
    <w:rsid w:val="00614F7F"/>
    <w:rsid w:val="00615941"/>
    <w:rsid w:val="006160B7"/>
    <w:rsid w:val="0061627A"/>
    <w:rsid w:val="0061699B"/>
    <w:rsid w:val="00617FA0"/>
    <w:rsid w:val="006200E9"/>
    <w:rsid w:val="00620102"/>
    <w:rsid w:val="0062018F"/>
    <w:rsid w:val="00620591"/>
    <w:rsid w:val="00620733"/>
    <w:rsid w:val="00620850"/>
    <w:rsid w:val="00621097"/>
    <w:rsid w:val="00621193"/>
    <w:rsid w:val="00621D63"/>
    <w:rsid w:val="0062235E"/>
    <w:rsid w:val="0062260B"/>
    <w:rsid w:val="006230FC"/>
    <w:rsid w:val="0062477A"/>
    <w:rsid w:val="00624812"/>
    <w:rsid w:val="006261C2"/>
    <w:rsid w:val="00626F5B"/>
    <w:rsid w:val="00626FC0"/>
    <w:rsid w:val="0062700E"/>
    <w:rsid w:val="006271BC"/>
    <w:rsid w:val="00627DA8"/>
    <w:rsid w:val="00627ECD"/>
    <w:rsid w:val="00630B22"/>
    <w:rsid w:val="00630E5B"/>
    <w:rsid w:val="00631277"/>
    <w:rsid w:val="0063190B"/>
    <w:rsid w:val="00631A89"/>
    <w:rsid w:val="006324AD"/>
    <w:rsid w:val="006327B1"/>
    <w:rsid w:val="006329A6"/>
    <w:rsid w:val="006336D2"/>
    <w:rsid w:val="00634B67"/>
    <w:rsid w:val="00634E6C"/>
    <w:rsid w:val="00635006"/>
    <w:rsid w:val="0063528F"/>
    <w:rsid w:val="0063532F"/>
    <w:rsid w:val="006353F6"/>
    <w:rsid w:val="00635DAE"/>
    <w:rsid w:val="00635EB2"/>
    <w:rsid w:val="0063657A"/>
    <w:rsid w:val="00636D1C"/>
    <w:rsid w:val="00636E08"/>
    <w:rsid w:val="0064004A"/>
    <w:rsid w:val="00640348"/>
    <w:rsid w:val="006405B6"/>
    <w:rsid w:val="0064068C"/>
    <w:rsid w:val="00641494"/>
    <w:rsid w:val="00641E07"/>
    <w:rsid w:val="0064421B"/>
    <w:rsid w:val="00644566"/>
    <w:rsid w:val="00644C68"/>
    <w:rsid w:val="00644EFD"/>
    <w:rsid w:val="00645848"/>
    <w:rsid w:val="00645FC5"/>
    <w:rsid w:val="006463E0"/>
    <w:rsid w:val="0064673A"/>
    <w:rsid w:val="00646E15"/>
    <w:rsid w:val="00647138"/>
    <w:rsid w:val="00647321"/>
    <w:rsid w:val="006476A2"/>
    <w:rsid w:val="00647AC7"/>
    <w:rsid w:val="006513BC"/>
    <w:rsid w:val="006515DA"/>
    <w:rsid w:val="006526E1"/>
    <w:rsid w:val="00652AA4"/>
    <w:rsid w:val="00652F98"/>
    <w:rsid w:val="0065312E"/>
    <w:rsid w:val="006531DF"/>
    <w:rsid w:val="0065327C"/>
    <w:rsid w:val="00653A22"/>
    <w:rsid w:val="0065413C"/>
    <w:rsid w:val="006543E2"/>
    <w:rsid w:val="00654A6D"/>
    <w:rsid w:val="00654E79"/>
    <w:rsid w:val="006555FD"/>
    <w:rsid w:val="0065570B"/>
    <w:rsid w:val="00655BC2"/>
    <w:rsid w:val="00656B3D"/>
    <w:rsid w:val="00656DF4"/>
    <w:rsid w:val="0065718B"/>
    <w:rsid w:val="0066014B"/>
    <w:rsid w:val="00660A95"/>
    <w:rsid w:val="00660E24"/>
    <w:rsid w:val="006614B7"/>
    <w:rsid w:val="006619FB"/>
    <w:rsid w:val="006623A9"/>
    <w:rsid w:val="00662E3D"/>
    <w:rsid w:val="006650F6"/>
    <w:rsid w:val="00665DB9"/>
    <w:rsid w:val="00665E8D"/>
    <w:rsid w:val="0066603A"/>
    <w:rsid w:val="00666491"/>
    <w:rsid w:val="00666B6E"/>
    <w:rsid w:val="00666E5E"/>
    <w:rsid w:val="00666F0B"/>
    <w:rsid w:val="00666FB7"/>
    <w:rsid w:val="00667418"/>
    <w:rsid w:val="00667E31"/>
    <w:rsid w:val="00671043"/>
    <w:rsid w:val="0067145E"/>
    <w:rsid w:val="006721FB"/>
    <w:rsid w:val="00672AD7"/>
    <w:rsid w:val="0067338C"/>
    <w:rsid w:val="006733A6"/>
    <w:rsid w:val="00673586"/>
    <w:rsid w:val="00674BF2"/>
    <w:rsid w:val="00675417"/>
    <w:rsid w:val="00675DCD"/>
    <w:rsid w:val="00676221"/>
    <w:rsid w:val="0067623A"/>
    <w:rsid w:val="00676A15"/>
    <w:rsid w:val="0067754E"/>
    <w:rsid w:val="006777B8"/>
    <w:rsid w:val="006800A8"/>
    <w:rsid w:val="006809AC"/>
    <w:rsid w:val="00680DA7"/>
    <w:rsid w:val="006814C1"/>
    <w:rsid w:val="00681611"/>
    <w:rsid w:val="006825CF"/>
    <w:rsid w:val="0068293E"/>
    <w:rsid w:val="006832D0"/>
    <w:rsid w:val="00683915"/>
    <w:rsid w:val="00683B0C"/>
    <w:rsid w:val="00684937"/>
    <w:rsid w:val="00684B39"/>
    <w:rsid w:val="00685256"/>
    <w:rsid w:val="00685333"/>
    <w:rsid w:val="00685400"/>
    <w:rsid w:val="0068541A"/>
    <w:rsid w:val="00685E29"/>
    <w:rsid w:val="006862B6"/>
    <w:rsid w:val="006867B6"/>
    <w:rsid w:val="00686C3A"/>
    <w:rsid w:val="00687398"/>
    <w:rsid w:val="00687ED0"/>
    <w:rsid w:val="00687FC3"/>
    <w:rsid w:val="006903D6"/>
    <w:rsid w:val="006908D2"/>
    <w:rsid w:val="006913AE"/>
    <w:rsid w:val="00691500"/>
    <w:rsid w:val="00691864"/>
    <w:rsid w:val="00691DE2"/>
    <w:rsid w:val="00692244"/>
    <w:rsid w:val="006922E8"/>
    <w:rsid w:val="00692876"/>
    <w:rsid w:val="0069460A"/>
    <w:rsid w:val="006947DB"/>
    <w:rsid w:val="00694D06"/>
    <w:rsid w:val="00694DB3"/>
    <w:rsid w:val="006954E7"/>
    <w:rsid w:val="00695D3D"/>
    <w:rsid w:val="00695E44"/>
    <w:rsid w:val="00696021"/>
    <w:rsid w:val="00696037"/>
    <w:rsid w:val="0069617B"/>
    <w:rsid w:val="006962EE"/>
    <w:rsid w:val="006967FC"/>
    <w:rsid w:val="00696803"/>
    <w:rsid w:val="00697AC3"/>
    <w:rsid w:val="00697AEC"/>
    <w:rsid w:val="00697DB0"/>
    <w:rsid w:val="00697F0F"/>
    <w:rsid w:val="006A1ED1"/>
    <w:rsid w:val="006A270C"/>
    <w:rsid w:val="006A2808"/>
    <w:rsid w:val="006A28D7"/>
    <w:rsid w:val="006A2D20"/>
    <w:rsid w:val="006A2F57"/>
    <w:rsid w:val="006A3025"/>
    <w:rsid w:val="006A38AE"/>
    <w:rsid w:val="006A3D47"/>
    <w:rsid w:val="006A3FDF"/>
    <w:rsid w:val="006A3FE6"/>
    <w:rsid w:val="006A41D1"/>
    <w:rsid w:val="006A45C2"/>
    <w:rsid w:val="006A4A83"/>
    <w:rsid w:val="006A4DCD"/>
    <w:rsid w:val="006A5141"/>
    <w:rsid w:val="006A51CA"/>
    <w:rsid w:val="006A5721"/>
    <w:rsid w:val="006A57DB"/>
    <w:rsid w:val="006A5AE0"/>
    <w:rsid w:val="006A615D"/>
    <w:rsid w:val="006A6307"/>
    <w:rsid w:val="006A6C3D"/>
    <w:rsid w:val="006A7297"/>
    <w:rsid w:val="006A7331"/>
    <w:rsid w:val="006A744A"/>
    <w:rsid w:val="006A7B28"/>
    <w:rsid w:val="006B023D"/>
    <w:rsid w:val="006B0686"/>
    <w:rsid w:val="006B09C9"/>
    <w:rsid w:val="006B1C6C"/>
    <w:rsid w:val="006B1D16"/>
    <w:rsid w:val="006B1DFF"/>
    <w:rsid w:val="006B25A2"/>
    <w:rsid w:val="006B2CCC"/>
    <w:rsid w:val="006B3859"/>
    <w:rsid w:val="006B3B96"/>
    <w:rsid w:val="006B4E9A"/>
    <w:rsid w:val="006B5C24"/>
    <w:rsid w:val="006B5CDF"/>
    <w:rsid w:val="006B5CE9"/>
    <w:rsid w:val="006B5FB4"/>
    <w:rsid w:val="006B60DE"/>
    <w:rsid w:val="006B6A18"/>
    <w:rsid w:val="006C01F8"/>
    <w:rsid w:val="006C0516"/>
    <w:rsid w:val="006C0A8F"/>
    <w:rsid w:val="006C12FE"/>
    <w:rsid w:val="006C1303"/>
    <w:rsid w:val="006C15D5"/>
    <w:rsid w:val="006C2669"/>
    <w:rsid w:val="006C27B6"/>
    <w:rsid w:val="006C2AA2"/>
    <w:rsid w:val="006C3ED7"/>
    <w:rsid w:val="006C4D77"/>
    <w:rsid w:val="006C51F4"/>
    <w:rsid w:val="006C550C"/>
    <w:rsid w:val="006C5778"/>
    <w:rsid w:val="006C59DF"/>
    <w:rsid w:val="006C5D4F"/>
    <w:rsid w:val="006C5DCC"/>
    <w:rsid w:val="006C71D4"/>
    <w:rsid w:val="006C71EC"/>
    <w:rsid w:val="006C7DA7"/>
    <w:rsid w:val="006D02BB"/>
    <w:rsid w:val="006D16CF"/>
    <w:rsid w:val="006D1809"/>
    <w:rsid w:val="006D2596"/>
    <w:rsid w:val="006D2BBD"/>
    <w:rsid w:val="006D300D"/>
    <w:rsid w:val="006D377C"/>
    <w:rsid w:val="006D3E3E"/>
    <w:rsid w:val="006D4450"/>
    <w:rsid w:val="006D47A8"/>
    <w:rsid w:val="006D4D63"/>
    <w:rsid w:val="006D4E32"/>
    <w:rsid w:val="006D51D5"/>
    <w:rsid w:val="006D5565"/>
    <w:rsid w:val="006D62AB"/>
    <w:rsid w:val="006D63DF"/>
    <w:rsid w:val="006D6596"/>
    <w:rsid w:val="006D6DA4"/>
    <w:rsid w:val="006D70DD"/>
    <w:rsid w:val="006E1189"/>
    <w:rsid w:val="006E2DD4"/>
    <w:rsid w:val="006E363D"/>
    <w:rsid w:val="006E3AEB"/>
    <w:rsid w:val="006E3D7C"/>
    <w:rsid w:val="006E4E99"/>
    <w:rsid w:val="006E5AFB"/>
    <w:rsid w:val="006E5B4F"/>
    <w:rsid w:val="006E5D43"/>
    <w:rsid w:val="006E6A05"/>
    <w:rsid w:val="006E6D09"/>
    <w:rsid w:val="006E796A"/>
    <w:rsid w:val="006E7B9E"/>
    <w:rsid w:val="006F0112"/>
    <w:rsid w:val="006F1CDA"/>
    <w:rsid w:val="006F2625"/>
    <w:rsid w:val="006F2697"/>
    <w:rsid w:val="006F2877"/>
    <w:rsid w:val="006F2C01"/>
    <w:rsid w:val="006F3518"/>
    <w:rsid w:val="006F405A"/>
    <w:rsid w:val="006F41ED"/>
    <w:rsid w:val="006F4D55"/>
    <w:rsid w:val="006F59E1"/>
    <w:rsid w:val="006F64B9"/>
    <w:rsid w:val="006F692E"/>
    <w:rsid w:val="006F6A17"/>
    <w:rsid w:val="006F6A61"/>
    <w:rsid w:val="006F7079"/>
    <w:rsid w:val="006F7388"/>
    <w:rsid w:val="006F747F"/>
    <w:rsid w:val="006F778E"/>
    <w:rsid w:val="006F7E7E"/>
    <w:rsid w:val="00700808"/>
    <w:rsid w:val="007009B9"/>
    <w:rsid w:val="0070121B"/>
    <w:rsid w:val="00702829"/>
    <w:rsid w:val="00704209"/>
    <w:rsid w:val="007042EF"/>
    <w:rsid w:val="00705C2D"/>
    <w:rsid w:val="00707399"/>
    <w:rsid w:val="00707702"/>
    <w:rsid w:val="00707882"/>
    <w:rsid w:val="00710A4D"/>
    <w:rsid w:val="00711051"/>
    <w:rsid w:val="00711765"/>
    <w:rsid w:val="00712860"/>
    <w:rsid w:val="007131BB"/>
    <w:rsid w:val="00713B10"/>
    <w:rsid w:val="00713F14"/>
    <w:rsid w:val="00714683"/>
    <w:rsid w:val="00714EB0"/>
    <w:rsid w:val="00715634"/>
    <w:rsid w:val="00715C52"/>
    <w:rsid w:val="00715E74"/>
    <w:rsid w:val="007161AE"/>
    <w:rsid w:val="00716CE3"/>
    <w:rsid w:val="00717446"/>
    <w:rsid w:val="00717529"/>
    <w:rsid w:val="00717729"/>
    <w:rsid w:val="00717D0B"/>
    <w:rsid w:val="007203A2"/>
    <w:rsid w:val="00720ADD"/>
    <w:rsid w:val="00720C9C"/>
    <w:rsid w:val="00720D61"/>
    <w:rsid w:val="0072122A"/>
    <w:rsid w:val="00721472"/>
    <w:rsid w:val="00721A8E"/>
    <w:rsid w:val="00721B21"/>
    <w:rsid w:val="00721BA9"/>
    <w:rsid w:val="00721D5D"/>
    <w:rsid w:val="00722A5B"/>
    <w:rsid w:val="00722CCB"/>
    <w:rsid w:val="007245AD"/>
    <w:rsid w:val="007249F0"/>
    <w:rsid w:val="007263C5"/>
    <w:rsid w:val="007265A8"/>
    <w:rsid w:val="007267F5"/>
    <w:rsid w:val="00726BE4"/>
    <w:rsid w:val="00727514"/>
    <w:rsid w:val="0073044C"/>
    <w:rsid w:val="0073048B"/>
    <w:rsid w:val="0073095D"/>
    <w:rsid w:val="00730C3C"/>
    <w:rsid w:val="00731C01"/>
    <w:rsid w:val="00731D2F"/>
    <w:rsid w:val="00731DD0"/>
    <w:rsid w:val="0073336F"/>
    <w:rsid w:val="00733663"/>
    <w:rsid w:val="00733B47"/>
    <w:rsid w:val="007347D4"/>
    <w:rsid w:val="00734940"/>
    <w:rsid w:val="00734A1F"/>
    <w:rsid w:val="00735D8C"/>
    <w:rsid w:val="00735F04"/>
    <w:rsid w:val="00735F72"/>
    <w:rsid w:val="00736007"/>
    <w:rsid w:val="007360C2"/>
    <w:rsid w:val="00737509"/>
    <w:rsid w:val="007379D9"/>
    <w:rsid w:val="00740100"/>
    <w:rsid w:val="007409F8"/>
    <w:rsid w:val="00740BDA"/>
    <w:rsid w:val="007410DC"/>
    <w:rsid w:val="00741119"/>
    <w:rsid w:val="007412CA"/>
    <w:rsid w:val="00741488"/>
    <w:rsid w:val="007414AC"/>
    <w:rsid w:val="00741C7D"/>
    <w:rsid w:val="00742958"/>
    <w:rsid w:val="00742A9C"/>
    <w:rsid w:val="00742CCC"/>
    <w:rsid w:val="007437B5"/>
    <w:rsid w:val="00743A80"/>
    <w:rsid w:val="007442E1"/>
    <w:rsid w:val="007446C2"/>
    <w:rsid w:val="007459C0"/>
    <w:rsid w:val="00745E76"/>
    <w:rsid w:val="00746483"/>
    <w:rsid w:val="00746AF6"/>
    <w:rsid w:val="00746D2B"/>
    <w:rsid w:val="00747EBF"/>
    <w:rsid w:val="00750115"/>
    <w:rsid w:val="0075104D"/>
    <w:rsid w:val="00751142"/>
    <w:rsid w:val="00751A5B"/>
    <w:rsid w:val="00751EC1"/>
    <w:rsid w:val="00754787"/>
    <w:rsid w:val="0075597E"/>
    <w:rsid w:val="007565D9"/>
    <w:rsid w:val="007567D8"/>
    <w:rsid w:val="00757053"/>
    <w:rsid w:val="00757479"/>
    <w:rsid w:val="007603BE"/>
    <w:rsid w:val="00760B5F"/>
    <w:rsid w:val="0076263D"/>
    <w:rsid w:val="00762C31"/>
    <w:rsid w:val="00763345"/>
    <w:rsid w:val="007637F0"/>
    <w:rsid w:val="00763D3B"/>
    <w:rsid w:val="00764AD5"/>
    <w:rsid w:val="00765BD9"/>
    <w:rsid w:val="00765D52"/>
    <w:rsid w:val="00767386"/>
    <w:rsid w:val="00767A59"/>
    <w:rsid w:val="00767E59"/>
    <w:rsid w:val="0077025F"/>
    <w:rsid w:val="0077050D"/>
    <w:rsid w:val="0077074B"/>
    <w:rsid w:val="00770B45"/>
    <w:rsid w:val="00771730"/>
    <w:rsid w:val="00771F9C"/>
    <w:rsid w:val="0077253A"/>
    <w:rsid w:val="007727F6"/>
    <w:rsid w:val="007731C7"/>
    <w:rsid w:val="007731E0"/>
    <w:rsid w:val="007732D9"/>
    <w:rsid w:val="00773903"/>
    <w:rsid w:val="00774422"/>
    <w:rsid w:val="00774445"/>
    <w:rsid w:val="007744BA"/>
    <w:rsid w:val="00774C5B"/>
    <w:rsid w:val="00775387"/>
    <w:rsid w:val="00775F09"/>
    <w:rsid w:val="00777CAC"/>
    <w:rsid w:val="00777CDA"/>
    <w:rsid w:val="007805E5"/>
    <w:rsid w:val="00780DC8"/>
    <w:rsid w:val="007814A6"/>
    <w:rsid w:val="007817F9"/>
    <w:rsid w:val="00781F5A"/>
    <w:rsid w:val="00782BF5"/>
    <w:rsid w:val="0078318D"/>
    <w:rsid w:val="007834B3"/>
    <w:rsid w:val="00783BC1"/>
    <w:rsid w:val="00784A90"/>
    <w:rsid w:val="00784E12"/>
    <w:rsid w:val="00785BFC"/>
    <w:rsid w:val="00785CA3"/>
    <w:rsid w:val="00785D32"/>
    <w:rsid w:val="00785F55"/>
    <w:rsid w:val="00786506"/>
    <w:rsid w:val="007866E7"/>
    <w:rsid w:val="007871D4"/>
    <w:rsid w:val="00787B11"/>
    <w:rsid w:val="00787E0E"/>
    <w:rsid w:val="0079077C"/>
    <w:rsid w:val="007913FA"/>
    <w:rsid w:val="0079187C"/>
    <w:rsid w:val="00791926"/>
    <w:rsid w:val="00791C66"/>
    <w:rsid w:val="00791FF2"/>
    <w:rsid w:val="007922C0"/>
    <w:rsid w:val="0079266B"/>
    <w:rsid w:val="00792B10"/>
    <w:rsid w:val="007933E5"/>
    <w:rsid w:val="00793961"/>
    <w:rsid w:val="00793CA8"/>
    <w:rsid w:val="007941ED"/>
    <w:rsid w:val="00794A1B"/>
    <w:rsid w:val="0079547D"/>
    <w:rsid w:val="00795B7D"/>
    <w:rsid w:val="00795E16"/>
    <w:rsid w:val="0079634B"/>
    <w:rsid w:val="0079653E"/>
    <w:rsid w:val="00796697"/>
    <w:rsid w:val="00796A3B"/>
    <w:rsid w:val="00796E5B"/>
    <w:rsid w:val="00797945"/>
    <w:rsid w:val="007A03D7"/>
    <w:rsid w:val="007A0968"/>
    <w:rsid w:val="007A1312"/>
    <w:rsid w:val="007A19AC"/>
    <w:rsid w:val="007A19AF"/>
    <w:rsid w:val="007A1A96"/>
    <w:rsid w:val="007A1CA2"/>
    <w:rsid w:val="007A1DA7"/>
    <w:rsid w:val="007A25E8"/>
    <w:rsid w:val="007A2DD2"/>
    <w:rsid w:val="007A31EC"/>
    <w:rsid w:val="007A3A62"/>
    <w:rsid w:val="007A4300"/>
    <w:rsid w:val="007A511A"/>
    <w:rsid w:val="007A57A7"/>
    <w:rsid w:val="007A58E2"/>
    <w:rsid w:val="007A5E9E"/>
    <w:rsid w:val="007A5F4B"/>
    <w:rsid w:val="007A6440"/>
    <w:rsid w:val="007A70F6"/>
    <w:rsid w:val="007A77A4"/>
    <w:rsid w:val="007A78B3"/>
    <w:rsid w:val="007A79D2"/>
    <w:rsid w:val="007A7A26"/>
    <w:rsid w:val="007B0A1E"/>
    <w:rsid w:val="007B151C"/>
    <w:rsid w:val="007B2440"/>
    <w:rsid w:val="007B2CC3"/>
    <w:rsid w:val="007B2E1A"/>
    <w:rsid w:val="007B2F27"/>
    <w:rsid w:val="007B35EF"/>
    <w:rsid w:val="007B3998"/>
    <w:rsid w:val="007B39DC"/>
    <w:rsid w:val="007B438E"/>
    <w:rsid w:val="007B4444"/>
    <w:rsid w:val="007B4537"/>
    <w:rsid w:val="007B558B"/>
    <w:rsid w:val="007B5690"/>
    <w:rsid w:val="007B58CC"/>
    <w:rsid w:val="007B5B79"/>
    <w:rsid w:val="007B6334"/>
    <w:rsid w:val="007B6BD3"/>
    <w:rsid w:val="007B6D88"/>
    <w:rsid w:val="007B76EB"/>
    <w:rsid w:val="007C00C4"/>
    <w:rsid w:val="007C00FE"/>
    <w:rsid w:val="007C0463"/>
    <w:rsid w:val="007C0A84"/>
    <w:rsid w:val="007C1734"/>
    <w:rsid w:val="007C1DA6"/>
    <w:rsid w:val="007C2CE4"/>
    <w:rsid w:val="007C369A"/>
    <w:rsid w:val="007C4753"/>
    <w:rsid w:val="007C5644"/>
    <w:rsid w:val="007C5863"/>
    <w:rsid w:val="007C6FD4"/>
    <w:rsid w:val="007D0154"/>
    <w:rsid w:val="007D0451"/>
    <w:rsid w:val="007D07C4"/>
    <w:rsid w:val="007D217E"/>
    <w:rsid w:val="007D27DB"/>
    <w:rsid w:val="007D2866"/>
    <w:rsid w:val="007D2D5F"/>
    <w:rsid w:val="007D2FD4"/>
    <w:rsid w:val="007D34E8"/>
    <w:rsid w:val="007D36CF"/>
    <w:rsid w:val="007D38CE"/>
    <w:rsid w:val="007D399F"/>
    <w:rsid w:val="007D47D1"/>
    <w:rsid w:val="007D558A"/>
    <w:rsid w:val="007D69CB"/>
    <w:rsid w:val="007D7501"/>
    <w:rsid w:val="007D7A75"/>
    <w:rsid w:val="007D7AAE"/>
    <w:rsid w:val="007D7D45"/>
    <w:rsid w:val="007E0523"/>
    <w:rsid w:val="007E06F8"/>
    <w:rsid w:val="007E0B8C"/>
    <w:rsid w:val="007E0E4C"/>
    <w:rsid w:val="007E1A04"/>
    <w:rsid w:val="007E1B2D"/>
    <w:rsid w:val="007E2059"/>
    <w:rsid w:val="007E2D4C"/>
    <w:rsid w:val="007E31AE"/>
    <w:rsid w:val="007E33B6"/>
    <w:rsid w:val="007E3961"/>
    <w:rsid w:val="007E3ED9"/>
    <w:rsid w:val="007E5C63"/>
    <w:rsid w:val="007E5E9B"/>
    <w:rsid w:val="007E5F18"/>
    <w:rsid w:val="007E65B7"/>
    <w:rsid w:val="007E6931"/>
    <w:rsid w:val="007F0FB1"/>
    <w:rsid w:val="007F159B"/>
    <w:rsid w:val="007F185B"/>
    <w:rsid w:val="007F1E04"/>
    <w:rsid w:val="007F2D6E"/>
    <w:rsid w:val="007F2D77"/>
    <w:rsid w:val="007F3B36"/>
    <w:rsid w:val="007F3D5C"/>
    <w:rsid w:val="007F4F37"/>
    <w:rsid w:val="007F4F58"/>
    <w:rsid w:val="007F5122"/>
    <w:rsid w:val="007F5640"/>
    <w:rsid w:val="007F570B"/>
    <w:rsid w:val="007F60FD"/>
    <w:rsid w:val="007F65E2"/>
    <w:rsid w:val="007F6922"/>
    <w:rsid w:val="007F7E19"/>
    <w:rsid w:val="007F7E75"/>
    <w:rsid w:val="007F7E8F"/>
    <w:rsid w:val="00800493"/>
    <w:rsid w:val="0080053E"/>
    <w:rsid w:val="00800657"/>
    <w:rsid w:val="00800834"/>
    <w:rsid w:val="008008FF"/>
    <w:rsid w:val="00801E66"/>
    <w:rsid w:val="00802EF4"/>
    <w:rsid w:val="00803711"/>
    <w:rsid w:val="00803733"/>
    <w:rsid w:val="0080414E"/>
    <w:rsid w:val="00804317"/>
    <w:rsid w:val="00804894"/>
    <w:rsid w:val="00804B4D"/>
    <w:rsid w:val="00805AAA"/>
    <w:rsid w:val="0080612A"/>
    <w:rsid w:val="00806D14"/>
    <w:rsid w:val="00807310"/>
    <w:rsid w:val="0080749F"/>
    <w:rsid w:val="008075BB"/>
    <w:rsid w:val="00807B2E"/>
    <w:rsid w:val="00810348"/>
    <w:rsid w:val="00811981"/>
    <w:rsid w:val="008141F8"/>
    <w:rsid w:val="00814478"/>
    <w:rsid w:val="00814631"/>
    <w:rsid w:val="00815ADE"/>
    <w:rsid w:val="00815B68"/>
    <w:rsid w:val="00815F61"/>
    <w:rsid w:val="008161D7"/>
    <w:rsid w:val="00816BC1"/>
    <w:rsid w:val="00816E64"/>
    <w:rsid w:val="008205AA"/>
    <w:rsid w:val="008206E2"/>
    <w:rsid w:val="0082089D"/>
    <w:rsid w:val="008210DE"/>
    <w:rsid w:val="0082158C"/>
    <w:rsid w:val="00821962"/>
    <w:rsid w:val="00821983"/>
    <w:rsid w:val="00821CE2"/>
    <w:rsid w:val="008222EF"/>
    <w:rsid w:val="008226E1"/>
    <w:rsid w:val="008235E4"/>
    <w:rsid w:val="0082478C"/>
    <w:rsid w:val="00824F11"/>
    <w:rsid w:val="00825536"/>
    <w:rsid w:val="008255A7"/>
    <w:rsid w:val="00826B24"/>
    <w:rsid w:val="0082700D"/>
    <w:rsid w:val="008275A7"/>
    <w:rsid w:val="00830051"/>
    <w:rsid w:val="00830193"/>
    <w:rsid w:val="0083114C"/>
    <w:rsid w:val="00831907"/>
    <w:rsid w:val="00831A04"/>
    <w:rsid w:val="00832C4D"/>
    <w:rsid w:val="00833A50"/>
    <w:rsid w:val="00833B89"/>
    <w:rsid w:val="008347AD"/>
    <w:rsid w:val="0083593B"/>
    <w:rsid w:val="00835F76"/>
    <w:rsid w:val="00836413"/>
    <w:rsid w:val="008367E5"/>
    <w:rsid w:val="00837066"/>
    <w:rsid w:val="00837DB5"/>
    <w:rsid w:val="00840081"/>
    <w:rsid w:val="008407CE"/>
    <w:rsid w:val="00840A2B"/>
    <w:rsid w:val="00840C40"/>
    <w:rsid w:val="00841F2F"/>
    <w:rsid w:val="0084219A"/>
    <w:rsid w:val="00843FA9"/>
    <w:rsid w:val="00844240"/>
    <w:rsid w:val="00844410"/>
    <w:rsid w:val="00844C43"/>
    <w:rsid w:val="00845321"/>
    <w:rsid w:val="008456EA"/>
    <w:rsid w:val="00845E7E"/>
    <w:rsid w:val="00845F46"/>
    <w:rsid w:val="0084624E"/>
    <w:rsid w:val="008464E7"/>
    <w:rsid w:val="00846A0A"/>
    <w:rsid w:val="008472DB"/>
    <w:rsid w:val="008474A7"/>
    <w:rsid w:val="008474A8"/>
    <w:rsid w:val="00847FDD"/>
    <w:rsid w:val="00850863"/>
    <w:rsid w:val="00850FD7"/>
    <w:rsid w:val="008511CD"/>
    <w:rsid w:val="00851C8E"/>
    <w:rsid w:val="008523A7"/>
    <w:rsid w:val="00852EC0"/>
    <w:rsid w:val="00853232"/>
    <w:rsid w:val="008532C5"/>
    <w:rsid w:val="008541BA"/>
    <w:rsid w:val="00854557"/>
    <w:rsid w:val="008546C8"/>
    <w:rsid w:val="00854D83"/>
    <w:rsid w:val="00856537"/>
    <w:rsid w:val="00856C33"/>
    <w:rsid w:val="00857474"/>
    <w:rsid w:val="00857E31"/>
    <w:rsid w:val="0086010F"/>
    <w:rsid w:val="008607AF"/>
    <w:rsid w:val="00860C83"/>
    <w:rsid w:val="008612B0"/>
    <w:rsid w:val="00861652"/>
    <w:rsid w:val="00861901"/>
    <w:rsid w:val="00862FCB"/>
    <w:rsid w:val="008634C0"/>
    <w:rsid w:val="00863515"/>
    <w:rsid w:val="00863616"/>
    <w:rsid w:val="00863ADB"/>
    <w:rsid w:val="00863D56"/>
    <w:rsid w:val="00863E6F"/>
    <w:rsid w:val="00864E27"/>
    <w:rsid w:val="00864F16"/>
    <w:rsid w:val="008656B3"/>
    <w:rsid w:val="00865C03"/>
    <w:rsid w:val="00865E88"/>
    <w:rsid w:val="00865F87"/>
    <w:rsid w:val="008665F6"/>
    <w:rsid w:val="00866DC8"/>
    <w:rsid w:val="008670FB"/>
    <w:rsid w:val="0086763A"/>
    <w:rsid w:val="0087006D"/>
    <w:rsid w:val="008713B1"/>
    <w:rsid w:val="00871461"/>
    <w:rsid w:val="008714A8"/>
    <w:rsid w:val="00871588"/>
    <w:rsid w:val="00872315"/>
    <w:rsid w:val="008724AF"/>
    <w:rsid w:val="00873518"/>
    <w:rsid w:val="00873869"/>
    <w:rsid w:val="00873D3F"/>
    <w:rsid w:val="00874715"/>
    <w:rsid w:val="00874859"/>
    <w:rsid w:val="00874967"/>
    <w:rsid w:val="00874D1D"/>
    <w:rsid w:val="00875152"/>
    <w:rsid w:val="008751B1"/>
    <w:rsid w:val="0087551A"/>
    <w:rsid w:val="00876561"/>
    <w:rsid w:val="008765C7"/>
    <w:rsid w:val="00877CB9"/>
    <w:rsid w:val="008804B9"/>
    <w:rsid w:val="00880D60"/>
    <w:rsid w:val="00880EC4"/>
    <w:rsid w:val="00880FD6"/>
    <w:rsid w:val="0088123E"/>
    <w:rsid w:val="00881EB3"/>
    <w:rsid w:val="00882C7D"/>
    <w:rsid w:val="00882DA9"/>
    <w:rsid w:val="008833C6"/>
    <w:rsid w:val="00883BA6"/>
    <w:rsid w:val="008845DF"/>
    <w:rsid w:val="00884888"/>
    <w:rsid w:val="00885726"/>
    <w:rsid w:val="0088584B"/>
    <w:rsid w:val="008858EF"/>
    <w:rsid w:val="008859B6"/>
    <w:rsid w:val="00885B6B"/>
    <w:rsid w:val="00886252"/>
    <w:rsid w:val="0088642E"/>
    <w:rsid w:val="00887154"/>
    <w:rsid w:val="008875FB"/>
    <w:rsid w:val="00890EF1"/>
    <w:rsid w:val="0089138C"/>
    <w:rsid w:val="008915D7"/>
    <w:rsid w:val="008916CA"/>
    <w:rsid w:val="00892A3D"/>
    <w:rsid w:val="0089357D"/>
    <w:rsid w:val="00893B8C"/>
    <w:rsid w:val="00893F14"/>
    <w:rsid w:val="008945C1"/>
    <w:rsid w:val="00894690"/>
    <w:rsid w:val="0089473B"/>
    <w:rsid w:val="00894A21"/>
    <w:rsid w:val="008954FD"/>
    <w:rsid w:val="00895798"/>
    <w:rsid w:val="008969A0"/>
    <w:rsid w:val="00897822"/>
    <w:rsid w:val="00897BF8"/>
    <w:rsid w:val="008A0136"/>
    <w:rsid w:val="008A0BF7"/>
    <w:rsid w:val="008A1860"/>
    <w:rsid w:val="008A186E"/>
    <w:rsid w:val="008A35B8"/>
    <w:rsid w:val="008A3A99"/>
    <w:rsid w:val="008A42AC"/>
    <w:rsid w:val="008A4541"/>
    <w:rsid w:val="008A4D77"/>
    <w:rsid w:val="008A5583"/>
    <w:rsid w:val="008A577C"/>
    <w:rsid w:val="008A5872"/>
    <w:rsid w:val="008A5D5A"/>
    <w:rsid w:val="008B0151"/>
    <w:rsid w:val="008B10B2"/>
    <w:rsid w:val="008B1540"/>
    <w:rsid w:val="008B1D0E"/>
    <w:rsid w:val="008B331A"/>
    <w:rsid w:val="008B3508"/>
    <w:rsid w:val="008B3A84"/>
    <w:rsid w:val="008B42E1"/>
    <w:rsid w:val="008B43D5"/>
    <w:rsid w:val="008B456F"/>
    <w:rsid w:val="008B4E53"/>
    <w:rsid w:val="008B67D3"/>
    <w:rsid w:val="008B682A"/>
    <w:rsid w:val="008B6A28"/>
    <w:rsid w:val="008B71E7"/>
    <w:rsid w:val="008B7461"/>
    <w:rsid w:val="008C0045"/>
    <w:rsid w:val="008C0B04"/>
    <w:rsid w:val="008C1092"/>
    <w:rsid w:val="008C13A6"/>
    <w:rsid w:val="008C14BA"/>
    <w:rsid w:val="008C1A82"/>
    <w:rsid w:val="008C1D5D"/>
    <w:rsid w:val="008C2348"/>
    <w:rsid w:val="008C23B8"/>
    <w:rsid w:val="008C2590"/>
    <w:rsid w:val="008C29B6"/>
    <w:rsid w:val="008C2B06"/>
    <w:rsid w:val="008C2EB2"/>
    <w:rsid w:val="008C314A"/>
    <w:rsid w:val="008C3401"/>
    <w:rsid w:val="008C3A89"/>
    <w:rsid w:val="008C3BF9"/>
    <w:rsid w:val="008C3CD6"/>
    <w:rsid w:val="008C404B"/>
    <w:rsid w:val="008C5A1A"/>
    <w:rsid w:val="008C662E"/>
    <w:rsid w:val="008C7D58"/>
    <w:rsid w:val="008C7E02"/>
    <w:rsid w:val="008C7E25"/>
    <w:rsid w:val="008C7F35"/>
    <w:rsid w:val="008D02F1"/>
    <w:rsid w:val="008D0839"/>
    <w:rsid w:val="008D0F11"/>
    <w:rsid w:val="008D1877"/>
    <w:rsid w:val="008D1DBB"/>
    <w:rsid w:val="008D2B71"/>
    <w:rsid w:val="008D2D01"/>
    <w:rsid w:val="008D3791"/>
    <w:rsid w:val="008D3A90"/>
    <w:rsid w:val="008D491F"/>
    <w:rsid w:val="008D62C8"/>
    <w:rsid w:val="008D65BF"/>
    <w:rsid w:val="008D67DE"/>
    <w:rsid w:val="008D6BD9"/>
    <w:rsid w:val="008D6E97"/>
    <w:rsid w:val="008D71A4"/>
    <w:rsid w:val="008D7280"/>
    <w:rsid w:val="008D77C2"/>
    <w:rsid w:val="008E05A0"/>
    <w:rsid w:val="008E07B5"/>
    <w:rsid w:val="008E0BFF"/>
    <w:rsid w:val="008E1484"/>
    <w:rsid w:val="008E16B6"/>
    <w:rsid w:val="008E1D5A"/>
    <w:rsid w:val="008E1E39"/>
    <w:rsid w:val="008E1E69"/>
    <w:rsid w:val="008E29B4"/>
    <w:rsid w:val="008E2FFA"/>
    <w:rsid w:val="008E3342"/>
    <w:rsid w:val="008E3732"/>
    <w:rsid w:val="008E3FA7"/>
    <w:rsid w:val="008E40E7"/>
    <w:rsid w:val="008E47DB"/>
    <w:rsid w:val="008E4A82"/>
    <w:rsid w:val="008E589B"/>
    <w:rsid w:val="008E5D28"/>
    <w:rsid w:val="008E6602"/>
    <w:rsid w:val="008E6D19"/>
    <w:rsid w:val="008E6E7F"/>
    <w:rsid w:val="008E73D3"/>
    <w:rsid w:val="008E7716"/>
    <w:rsid w:val="008F0323"/>
    <w:rsid w:val="008F0CFC"/>
    <w:rsid w:val="008F11B9"/>
    <w:rsid w:val="008F1F82"/>
    <w:rsid w:val="008F20C2"/>
    <w:rsid w:val="008F3F10"/>
    <w:rsid w:val="008F3F1E"/>
    <w:rsid w:val="008F4093"/>
    <w:rsid w:val="008F4243"/>
    <w:rsid w:val="008F435A"/>
    <w:rsid w:val="008F4413"/>
    <w:rsid w:val="008F460D"/>
    <w:rsid w:val="008F496F"/>
    <w:rsid w:val="008F4CE8"/>
    <w:rsid w:val="008F5D40"/>
    <w:rsid w:val="008F5FBB"/>
    <w:rsid w:val="008F6E66"/>
    <w:rsid w:val="008F71EA"/>
    <w:rsid w:val="008F72DC"/>
    <w:rsid w:val="008F732D"/>
    <w:rsid w:val="008F76D9"/>
    <w:rsid w:val="008F7BFE"/>
    <w:rsid w:val="008F7E4F"/>
    <w:rsid w:val="00900026"/>
    <w:rsid w:val="0090087F"/>
    <w:rsid w:val="0090097E"/>
    <w:rsid w:val="00900CC4"/>
    <w:rsid w:val="00902298"/>
    <w:rsid w:val="009025A5"/>
    <w:rsid w:val="00902911"/>
    <w:rsid w:val="00902DD8"/>
    <w:rsid w:val="00902FD6"/>
    <w:rsid w:val="00903A7C"/>
    <w:rsid w:val="00903F17"/>
    <w:rsid w:val="00903FB1"/>
    <w:rsid w:val="00904655"/>
    <w:rsid w:val="009046DD"/>
    <w:rsid w:val="00905723"/>
    <w:rsid w:val="00905E7F"/>
    <w:rsid w:val="00906864"/>
    <w:rsid w:val="009079FD"/>
    <w:rsid w:val="00907E89"/>
    <w:rsid w:val="00907F8D"/>
    <w:rsid w:val="00910094"/>
    <w:rsid w:val="0091109A"/>
    <w:rsid w:val="0091109C"/>
    <w:rsid w:val="0091198E"/>
    <w:rsid w:val="00911D45"/>
    <w:rsid w:val="00911EEE"/>
    <w:rsid w:val="009124FF"/>
    <w:rsid w:val="0091340B"/>
    <w:rsid w:val="009135E6"/>
    <w:rsid w:val="009137EB"/>
    <w:rsid w:val="00913CC5"/>
    <w:rsid w:val="00914826"/>
    <w:rsid w:val="00914BA1"/>
    <w:rsid w:val="00916AB2"/>
    <w:rsid w:val="00917A41"/>
    <w:rsid w:val="00917F76"/>
    <w:rsid w:val="00920AD5"/>
    <w:rsid w:val="0092162B"/>
    <w:rsid w:val="0092229A"/>
    <w:rsid w:val="009226CD"/>
    <w:rsid w:val="009231D7"/>
    <w:rsid w:val="0092359E"/>
    <w:rsid w:val="00923A84"/>
    <w:rsid w:val="00923C35"/>
    <w:rsid w:val="009245DD"/>
    <w:rsid w:val="00924FC1"/>
    <w:rsid w:val="0092515F"/>
    <w:rsid w:val="00925E45"/>
    <w:rsid w:val="0092611F"/>
    <w:rsid w:val="00926619"/>
    <w:rsid w:val="009269C4"/>
    <w:rsid w:val="00926A60"/>
    <w:rsid w:val="00926BA8"/>
    <w:rsid w:val="00926F07"/>
    <w:rsid w:val="0092761D"/>
    <w:rsid w:val="00927785"/>
    <w:rsid w:val="009315A2"/>
    <w:rsid w:val="00931C88"/>
    <w:rsid w:val="0093239B"/>
    <w:rsid w:val="00932B60"/>
    <w:rsid w:val="00933526"/>
    <w:rsid w:val="00933E2F"/>
    <w:rsid w:val="00933F3E"/>
    <w:rsid w:val="00933F4A"/>
    <w:rsid w:val="00934087"/>
    <w:rsid w:val="00934396"/>
    <w:rsid w:val="00935941"/>
    <w:rsid w:val="00935C3F"/>
    <w:rsid w:val="00935E82"/>
    <w:rsid w:val="009375A3"/>
    <w:rsid w:val="00937B06"/>
    <w:rsid w:val="00937F31"/>
    <w:rsid w:val="009401B5"/>
    <w:rsid w:val="00940CA8"/>
    <w:rsid w:val="00940D78"/>
    <w:rsid w:val="00941EE4"/>
    <w:rsid w:val="00942B55"/>
    <w:rsid w:val="00942E75"/>
    <w:rsid w:val="0094330B"/>
    <w:rsid w:val="009437C4"/>
    <w:rsid w:val="00943A96"/>
    <w:rsid w:val="00944014"/>
    <w:rsid w:val="00944C2C"/>
    <w:rsid w:val="0094571A"/>
    <w:rsid w:val="009459DC"/>
    <w:rsid w:val="00945E84"/>
    <w:rsid w:val="0094732B"/>
    <w:rsid w:val="0094740E"/>
    <w:rsid w:val="0094753E"/>
    <w:rsid w:val="00947860"/>
    <w:rsid w:val="00947E7E"/>
    <w:rsid w:val="00947FF1"/>
    <w:rsid w:val="009502C2"/>
    <w:rsid w:val="00950BE0"/>
    <w:rsid w:val="00950F35"/>
    <w:rsid w:val="00950F95"/>
    <w:rsid w:val="009519B3"/>
    <w:rsid w:val="009522C8"/>
    <w:rsid w:val="009532D8"/>
    <w:rsid w:val="00953AEB"/>
    <w:rsid w:val="00955BED"/>
    <w:rsid w:val="00955F3B"/>
    <w:rsid w:val="009565AA"/>
    <w:rsid w:val="009569E8"/>
    <w:rsid w:val="00956C3B"/>
    <w:rsid w:val="00956E17"/>
    <w:rsid w:val="00956F67"/>
    <w:rsid w:val="00957A40"/>
    <w:rsid w:val="00957CC5"/>
    <w:rsid w:val="00960143"/>
    <w:rsid w:val="009602FE"/>
    <w:rsid w:val="00960B5D"/>
    <w:rsid w:val="00961431"/>
    <w:rsid w:val="00961556"/>
    <w:rsid w:val="00961AAE"/>
    <w:rsid w:val="00962125"/>
    <w:rsid w:val="0096276F"/>
    <w:rsid w:val="0096290C"/>
    <w:rsid w:val="00962D5A"/>
    <w:rsid w:val="00964439"/>
    <w:rsid w:val="009645A8"/>
    <w:rsid w:val="00964707"/>
    <w:rsid w:val="009656C1"/>
    <w:rsid w:val="009656DC"/>
    <w:rsid w:val="00965A9C"/>
    <w:rsid w:val="009662AA"/>
    <w:rsid w:val="00966F6B"/>
    <w:rsid w:val="00967551"/>
    <w:rsid w:val="00967961"/>
    <w:rsid w:val="00970F6D"/>
    <w:rsid w:val="009712B6"/>
    <w:rsid w:val="009712D8"/>
    <w:rsid w:val="00971483"/>
    <w:rsid w:val="009718A0"/>
    <w:rsid w:val="00971DC6"/>
    <w:rsid w:val="009726C8"/>
    <w:rsid w:val="00972A19"/>
    <w:rsid w:val="00972F48"/>
    <w:rsid w:val="00972F79"/>
    <w:rsid w:val="009734D1"/>
    <w:rsid w:val="009734FC"/>
    <w:rsid w:val="009738CD"/>
    <w:rsid w:val="00973A73"/>
    <w:rsid w:val="009747CB"/>
    <w:rsid w:val="00974BB0"/>
    <w:rsid w:val="009751F8"/>
    <w:rsid w:val="00976030"/>
    <w:rsid w:val="00976049"/>
    <w:rsid w:val="0097615D"/>
    <w:rsid w:val="00976496"/>
    <w:rsid w:val="00976759"/>
    <w:rsid w:val="00976978"/>
    <w:rsid w:val="00977104"/>
    <w:rsid w:val="00977616"/>
    <w:rsid w:val="0097780E"/>
    <w:rsid w:val="00977F83"/>
    <w:rsid w:val="0098043A"/>
    <w:rsid w:val="009807E3"/>
    <w:rsid w:val="00981837"/>
    <w:rsid w:val="00981BF6"/>
    <w:rsid w:val="009834A6"/>
    <w:rsid w:val="0098434F"/>
    <w:rsid w:val="009845BA"/>
    <w:rsid w:val="00985821"/>
    <w:rsid w:val="00985EF7"/>
    <w:rsid w:val="00986938"/>
    <w:rsid w:val="00986FF9"/>
    <w:rsid w:val="009873D4"/>
    <w:rsid w:val="00987B63"/>
    <w:rsid w:val="00987C10"/>
    <w:rsid w:val="00990820"/>
    <w:rsid w:val="009909E4"/>
    <w:rsid w:val="00990DAE"/>
    <w:rsid w:val="00991A35"/>
    <w:rsid w:val="00993190"/>
    <w:rsid w:val="0099351B"/>
    <w:rsid w:val="00993811"/>
    <w:rsid w:val="009941DD"/>
    <w:rsid w:val="0099466F"/>
    <w:rsid w:val="0099478F"/>
    <w:rsid w:val="00994DF4"/>
    <w:rsid w:val="00994E59"/>
    <w:rsid w:val="009959A8"/>
    <w:rsid w:val="00995D70"/>
    <w:rsid w:val="00995F7D"/>
    <w:rsid w:val="0099656A"/>
    <w:rsid w:val="00996BA6"/>
    <w:rsid w:val="00997101"/>
    <w:rsid w:val="0099771D"/>
    <w:rsid w:val="009A0490"/>
    <w:rsid w:val="009A0EDB"/>
    <w:rsid w:val="009A1D04"/>
    <w:rsid w:val="009A2841"/>
    <w:rsid w:val="009A308A"/>
    <w:rsid w:val="009A3890"/>
    <w:rsid w:val="009A3D25"/>
    <w:rsid w:val="009A3E4E"/>
    <w:rsid w:val="009A4194"/>
    <w:rsid w:val="009A4202"/>
    <w:rsid w:val="009A4A11"/>
    <w:rsid w:val="009A5A8A"/>
    <w:rsid w:val="009A601E"/>
    <w:rsid w:val="009A620F"/>
    <w:rsid w:val="009A6F04"/>
    <w:rsid w:val="009A6FE3"/>
    <w:rsid w:val="009A7ADD"/>
    <w:rsid w:val="009B04A5"/>
    <w:rsid w:val="009B0631"/>
    <w:rsid w:val="009B16D8"/>
    <w:rsid w:val="009B1A2C"/>
    <w:rsid w:val="009B2431"/>
    <w:rsid w:val="009B28C2"/>
    <w:rsid w:val="009B3CE6"/>
    <w:rsid w:val="009B414D"/>
    <w:rsid w:val="009B4AA0"/>
    <w:rsid w:val="009B5189"/>
    <w:rsid w:val="009B5603"/>
    <w:rsid w:val="009B562C"/>
    <w:rsid w:val="009B5890"/>
    <w:rsid w:val="009B5AA6"/>
    <w:rsid w:val="009B5C83"/>
    <w:rsid w:val="009B67AC"/>
    <w:rsid w:val="009B6C92"/>
    <w:rsid w:val="009B76E3"/>
    <w:rsid w:val="009C063D"/>
    <w:rsid w:val="009C0A23"/>
    <w:rsid w:val="009C1E5D"/>
    <w:rsid w:val="009C1EA2"/>
    <w:rsid w:val="009C2099"/>
    <w:rsid w:val="009C2852"/>
    <w:rsid w:val="009C2C71"/>
    <w:rsid w:val="009C36D3"/>
    <w:rsid w:val="009C3AE3"/>
    <w:rsid w:val="009C3E90"/>
    <w:rsid w:val="009C4598"/>
    <w:rsid w:val="009C4D09"/>
    <w:rsid w:val="009C53C1"/>
    <w:rsid w:val="009C5688"/>
    <w:rsid w:val="009C5D9F"/>
    <w:rsid w:val="009C6016"/>
    <w:rsid w:val="009C60E4"/>
    <w:rsid w:val="009C659C"/>
    <w:rsid w:val="009C6AC5"/>
    <w:rsid w:val="009C73B8"/>
    <w:rsid w:val="009C73E5"/>
    <w:rsid w:val="009C7816"/>
    <w:rsid w:val="009C7FBE"/>
    <w:rsid w:val="009D02A0"/>
    <w:rsid w:val="009D071D"/>
    <w:rsid w:val="009D0CB4"/>
    <w:rsid w:val="009D0DF3"/>
    <w:rsid w:val="009D1907"/>
    <w:rsid w:val="009D1E08"/>
    <w:rsid w:val="009D216F"/>
    <w:rsid w:val="009D2E0E"/>
    <w:rsid w:val="009D34A7"/>
    <w:rsid w:val="009D39A2"/>
    <w:rsid w:val="009D42B9"/>
    <w:rsid w:val="009D4F42"/>
    <w:rsid w:val="009D4FFB"/>
    <w:rsid w:val="009D5238"/>
    <w:rsid w:val="009D5D46"/>
    <w:rsid w:val="009D6C9E"/>
    <w:rsid w:val="009D709B"/>
    <w:rsid w:val="009D7136"/>
    <w:rsid w:val="009D7564"/>
    <w:rsid w:val="009D7745"/>
    <w:rsid w:val="009E0807"/>
    <w:rsid w:val="009E0EB1"/>
    <w:rsid w:val="009E1433"/>
    <w:rsid w:val="009E1D60"/>
    <w:rsid w:val="009E267E"/>
    <w:rsid w:val="009E2C80"/>
    <w:rsid w:val="009E2E31"/>
    <w:rsid w:val="009E317A"/>
    <w:rsid w:val="009E396D"/>
    <w:rsid w:val="009E3984"/>
    <w:rsid w:val="009E4575"/>
    <w:rsid w:val="009E51D4"/>
    <w:rsid w:val="009E551A"/>
    <w:rsid w:val="009E5664"/>
    <w:rsid w:val="009E601D"/>
    <w:rsid w:val="009E62DC"/>
    <w:rsid w:val="009E6A49"/>
    <w:rsid w:val="009E7242"/>
    <w:rsid w:val="009E7569"/>
    <w:rsid w:val="009E756C"/>
    <w:rsid w:val="009E7AAA"/>
    <w:rsid w:val="009F03DD"/>
    <w:rsid w:val="009F04E4"/>
    <w:rsid w:val="009F0E26"/>
    <w:rsid w:val="009F13BD"/>
    <w:rsid w:val="009F17E1"/>
    <w:rsid w:val="009F1ACC"/>
    <w:rsid w:val="009F1CF7"/>
    <w:rsid w:val="009F2D06"/>
    <w:rsid w:val="009F3128"/>
    <w:rsid w:val="009F369E"/>
    <w:rsid w:val="009F4684"/>
    <w:rsid w:val="009F49B4"/>
    <w:rsid w:val="009F50E8"/>
    <w:rsid w:val="009F511D"/>
    <w:rsid w:val="009F5D4C"/>
    <w:rsid w:val="009F6C4A"/>
    <w:rsid w:val="009F7834"/>
    <w:rsid w:val="00A0099F"/>
    <w:rsid w:val="00A00E22"/>
    <w:rsid w:val="00A0162B"/>
    <w:rsid w:val="00A020CB"/>
    <w:rsid w:val="00A02260"/>
    <w:rsid w:val="00A023F3"/>
    <w:rsid w:val="00A03EA0"/>
    <w:rsid w:val="00A04A44"/>
    <w:rsid w:val="00A04F41"/>
    <w:rsid w:val="00A05413"/>
    <w:rsid w:val="00A05D56"/>
    <w:rsid w:val="00A05DE3"/>
    <w:rsid w:val="00A05EE9"/>
    <w:rsid w:val="00A06670"/>
    <w:rsid w:val="00A0674F"/>
    <w:rsid w:val="00A06B4C"/>
    <w:rsid w:val="00A079CC"/>
    <w:rsid w:val="00A07B95"/>
    <w:rsid w:val="00A104DD"/>
    <w:rsid w:val="00A10784"/>
    <w:rsid w:val="00A10A9C"/>
    <w:rsid w:val="00A10BCC"/>
    <w:rsid w:val="00A10F22"/>
    <w:rsid w:val="00A111B5"/>
    <w:rsid w:val="00A11517"/>
    <w:rsid w:val="00A117F0"/>
    <w:rsid w:val="00A11FC0"/>
    <w:rsid w:val="00A12FA7"/>
    <w:rsid w:val="00A13DC7"/>
    <w:rsid w:val="00A15829"/>
    <w:rsid w:val="00A15E5A"/>
    <w:rsid w:val="00A15E79"/>
    <w:rsid w:val="00A164EA"/>
    <w:rsid w:val="00A16535"/>
    <w:rsid w:val="00A1677E"/>
    <w:rsid w:val="00A16BA2"/>
    <w:rsid w:val="00A16C1B"/>
    <w:rsid w:val="00A2041A"/>
    <w:rsid w:val="00A218BC"/>
    <w:rsid w:val="00A21D49"/>
    <w:rsid w:val="00A21F05"/>
    <w:rsid w:val="00A2203F"/>
    <w:rsid w:val="00A223EB"/>
    <w:rsid w:val="00A228C0"/>
    <w:rsid w:val="00A22998"/>
    <w:rsid w:val="00A23C8B"/>
    <w:rsid w:val="00A23CC7"/>
    <w:rsid w:val="00A23E18"/>
    <w:rsid w:val="00A249D1"/>
    <w:rsid w:val="00A24D3A"/>
    <w:rsid w:val="00A250B3"/>
    <w:rsid w:val="00A25C00"/>
    <w:rsid w:val="00A260F7"/>
    <w:rsid w:val="00A26346"/>
    <w:rsid w:val="00A26A68"/>
    <w:rsid w:val="00A27A0E"/>
    <w:rsid w:val="00A3155E"/>
    <w:rsid w:val="00A31E52"/>
    <w:rsid w:val="00A31EBA"/>
    <w:rsid w:val="00A320B8"/>
    <w:rsid w:val="00A324C6"/>
    <w:rsid w:val="00A32F30"/>
    <w:rsid w:val="00A3304F"/>
    <w:rsid w:val="00A33140"/>
    <w:rsid w:val="00A33553"/>
    <w:rsid w:val="00A3391E"/>
    <w:rsid w:val="00A34382"/>
    <w:rsid w:val="00A351AB"/>
    <w:rsid w:val="00A35EB7"/>
    <w:rsid w:val="00A36531"/>
    <w:rsid w:val="00A3670D"/>
    <w:rsid w:val="00A37282"/>
    <w:rsid w:val="00A374AD"/>
    <w:rsid w:val="00A37632"/>
    <w:rsid w:val="00A40EA4"/>
    <w:rsid w:val="00A4160B"/>
    <w:rsid w:val="00A4197A"/>
    <w:rsid w:val="00A42A20"/>
    <w:rsid w:val="00A4359C"/>
    <w:rsid w:val="00A435C5"/>
    <w:rsid w:val="00A437A4"/>
    <w:rsid w:val="00A43999"/>
    <w:rsid w:val="00A43B6D"/>
    <w:rsid w:val="00A440F4"/>
    <w:rsid w:val="00A44593"/>
    <w:rsid w:val="00A4494B"/>
    <w:rsid w:val="00A44B95"/>
    <w:rsid w:val="00A44FFD"/>
    <w:rsid w:val="00A45235"/>
    <w:rsid w:val="00A454F9"/>
    <w:rsid w:val="00A455F3"/>
    <w:rsid w:val="00A45A4E"/>
    <w:rsid w:val="00A45A53"/>
    <w:rsid w:val="00A45C2B"/>
    <w:rsid w:val="00A45F2B"/>
    <w:rsid w:val="00A46171"/>
    <w:rsid w:val="00A4642C"/>
    <w:rsid w:val="00A4646F"/>
    <w:rsid w:val="00A4726A"/>
    <w:rsid w:val="00A4740A"/>
    <w:rsid w:val="00A47D4F"/>
    <w:rsid w:val="00A47D55"/>
    <w:rsid w:val="00A47F0F"/>
    <w:rsid w:val="00A47FA3"/>
    <w:rsid w:val="00A50006"/>
    <w:rsid w:val="00A50674"/>
    <w:rsid w:val="00A50860"/>
    <w:rsid w:val="00A5102A"/>
    <w:rsid w:val="00A514ED"/>
    <w:rsid w:val="00A51846"/>
    <w:rsid w:val="00A52328"/>
    <w:rsid w:val="00A526C4"/>
    <w:rsid w:val="00A52823"/>
    <w:rsid w:val="00A5436B"/>
    <w:rsid w:val="00A54582"/>
    <w:rsid w:val="00A5473E"/>
    <w:rsid w:val="00A54A0B"/>
    <w:rsid w:val="00A54E36"/>
    <w:rsid w:val="00A54F1A"/>
    <w:rsid w:val="00A55F1E"/>
    <w:rsid w:val="00A56289"/>
    <w:rsid w:val="00A5634C"/>
    <w:rsid w:val="00A5697E"/>
    <w:rsid w:val="00A56F34"/>
    <w:rsid w:val="00A56F7D"/>
    <w:rsid w:val="00A570D2"/>
    <w:rsid w:val="00A6012C"/>
    <w:rsid w:val="00A6041E"/>
    <w:rsid w:val="00A605A1"/>
    <w:rsid w:val="00A60A3C"/>
    <w:rsid w:val="00A611BC"/>
    <w:rsid w:val="00A61579"/>
    <w:rsid w:val="00A62370"/>
    <w:rsid w:val="00A632F8"/>
    <w:rsid w:val="00A63622"/>
    <w:rsid w:val="00A63623"/>
    <w:rsid w:val="00A640AC"/>
    <w:rsid w:val="00A64700"/>
    <w:rsid w:val="00A64FC9"/>
    <w:rsid w:val="00A65343"/>
    <w:rsid w:val="00A65EB4"/>
    <w:rsid w:val="00A6628B"/>
    <w:rsid w:val="00A67476"/>
    <w:rsid w:val="00A70B15"/>
    <w:rsid w:val="00A70B8B"/>
    <w:rsid w:val="00A70BC6"/>
    <w:rsid w:val="00A71223"/>
    <w:rsid w:val="00A7162C"/>
    <w:rsid w:val="00A7174B"/>
    <w:rsid w:val="00A72250"/>
    <w:rsid w:val="00A727D2"/>
    <w:rsid w:val="00A72A4E"/>
    <w:rsid w:val="00A72D6C"/>
    <w:rsid w:val="00A734B5"/>
    <w:rsid w:val="00A739B1"/>
    <w:rsid w:val="00A74841"/>
    <w:rsid w:val="00A75469"/>
    <w:rsid w:val="00A76B3E"/>
    <w:rsid w:val="00A76BA1"/>
    <w:rsid w:val="00A76ED4"/>
    <w:rsid w:val="00A76F0F"/>
    <w:rsid w:val="00A7789E"/>
    <w:rsid w:val="00A778B1"/>
    <w:rsid w:val="00A77A36"/>
    <w:rsid w:val="00A81D09"/>
    <w:rsid w:val="00A82004"/>
    <w:rsid w:val="00A8200C"/>
    <w:rsid w:val="00A82333"/>
    <w:rsid w:val="00A829AF"/>
    <w:rsid w:val="00A82C3C"/>
    <w:rsid w:val="00A82EC0"/>
    <w:rsid w:val="00A83F1E"/>
    <w:rsid w:val="00A847CC"/>
    <w:rsid w:val="00A84849"/>
    <w:rsid w:val="00A84E95"/>
    <w:rsid w:val="00A85792"/>
    <w:rsid w:val="00A86EEE"/>
    <w:rsid w:val="00A878C2"/>
    <w:rsid w:val="00A8791C"/>
    <w:rsid w:val="00A907A2"/>
    <w:rsid w:val="00A91B0D"/>
    <w:rsid w:val="00A9229E"/>
    <w:rsid w:val="00A9565D"/>
    <w:rsid w:val="00A9566E"/>
    <w:rsid w:val="00A95708"/>
    <w:rsid w:val="00A95B03"/>
    <w:rsid w:val="00A965B0"/>
    <w:rsid w:val="00A96BA1"/>
    <w:rsid w:val="00A97111"/>
    <w:rsid w:val="00A97759"/>
    <w:rsid w:val="00A97E19"/>
    <w:rsid w:val="00AA0069"/>
    <w:rsid w:val="00AA01AE"/>
    <w:rsid w:val="00AA099F"/>
    <w:rsid w:val="00AA0E82"/>
    <w:rsid w:val="00AA1489"/>
    <w:rsid w:val="00AA1837"/>
    <w:rsid w:val="00AA1C2E"/>
    <w:rsid w:val="00AA1D81"/>
    <w:rsid w:val="00AA2267"/>
    <w:rsid w:val="00AA28FA"/>
    <w:rsid w:val="00AA35A9"/>
    <w:rsid w:val="00AA4409"/>
    <w:rsid w:val="00AA4807"/>
    <w:rsid w:val="00AA5120"/>
    <w:rsid w:val="00AA5350"/>
    <w:rsid w:val="00AA5455"/>
    <w:rsid w:val="00AA5604"/>
    <w:rsid w:val="00AA5DFB"/>
    <w:rsid w:val="00AA5F1D"/>
    <w:rsid w:val="00AA63A9"/>
    <w:rsid w:val="00AA656E"/>
    <w:rsid w:val="00AA688D"/>
    <w:rsid w:val="00AA73C6"/>
    <w:rsid w:val="00AA7633"/>
    <w:rsid w:val="00AA7F8C"/>
    <w:rsid w:val="00AB0434"/>
    <w:rsid w:val="00AB0545"/>
    <w:rsid w:val="00AB05C0"/>
    <w:rsid w:val="00AB098B"/>
    <w:rsid w:val="00AB1105"/>
    <w:rsid w:val="00AB1109"/>
    <w:rsid w:val="00AB18C8"/>
    <w:rsid w:val="00AB3748"/>
    <w:rsid w:val="00AB374A"/>
    <w:rsid w:val="00AB386C"/>
    <w:rsid w:val="00AB3893"/>
    <w:rsid w:val="00AB38B8"/>
    <w:rsid w:val="00AB3DC8"/>
    <w:rsid w:val="00AB3DE6"/>
    <w:rsid w:val="00AB3F48"/>
    <w:rsid w:val="00AB477B"/>
    <w:rsid w:val="00AB49DB"/>
    <w:rsid w:val="00AB4E57"/>
    <w:rsid w:val="00AB5B19"/>
    <w:rsid w:val="00AB6ABA"/>
    <w:rsid w:val="00AB6DBD"/>
    <w:rsid w:val="00AB771E"/>
    <w:rsid w:val="00AC050B"/>
    <w:rsid w:val="00AC08A7"/>
    <w:rsid w:val="00AC09A8"/>
    <w:rsid w:val="00AC0C49"/>
    <w:rsid w:val="00AC0D07"/>
    <w:rsid w:val="00AC14E7"/>
    <w:rsid w:val="00AC1812"/>
    <w:rsid w:val="00AC1FD9"/>
    <w:rsid w:val="00AC22EC"/>
    <w:rsid w:val="00AC2584"/>
    <w:rsid w:val="00AC3804"/>
    <w:rsid w:val="00AC3868"/>
    <w:rsid w:val="00AC3A63"/>
    <w:rsid w:val="00AC3EA2"/>
    <w:rsid w:val="00AC4265"/>
    <w:rsid w:val="00AC48AF"/>
    <w:rsid w:val="00AC4E9C"/>
    <w:rsid w:val="00AC4EAF"/>
    <w:rsid w:val="00AC5B09"/>
    <w:rsid w:val="00AC60F1"/>
    <w:rsid w:val="00AC638E"/>
    <w:rsid w:val="00AC6C67"/>
    <w:rsid w:val="00AC7063"/>
    <w:rsid w:val="00AC7243"/>
    <w:rsid w:val="00AC7F43"/>
    <w:rsid w:val="00AD02A7"/>
    <w:rsid w:val="00AD059D"/>
    <w:rsid w:val="00AD0BF3"/>
    <w:rsid w:val="00AD1145"/>
    <w:rsid w:val="00AD2018"/>
    <w:rsid w:val="00AD23DB"/>
    <w:rsid w:val="00AD3D06"/>
    <w:rsid w:val="00AD3E45"/>
    <w:rsid w:val="00AD3EDE"/>
    <w:rsid w:val="00AD46A4"/>
    <w:rsid w:val="00AD4C23"/>
    <w:rsid w:val="00AD4D52"/>
    <w:rsid w:val="00AD5BBB"/>
    <w:rsid w:val="00AD5C1E"/>
    <w:rsid w:val="00AD5EC1"/>
    <w:rsid w:val="00AD60E1"/>
    <w:rsid w:val="00AD6168"/>
    <w:rsid w:val="00AD67A7"/>
    <w:rsid w:val="00AD703C"/>
    <w:rsid w:val="00AD7E55"/>
    <w:rsid w:val="00AE062B"/>
    <w:rsid w:val="00AE11D4"/>
    <w:rsid w:val="00AE1874"/>
    <w:rsid w:val="00AE1CE6"/>
    <w:rsid w:val="00AE235F"/>
    <w:rsid w:val="00AE2EAC"/>
    <w:rsid w:val="00AE3211"/>
    <w:rsid w:val="00AE346C"/>
    <w:rsid w:val="00AE3513"/>
    <w:rsid w:val="00AE44DC"/>
    <w:rsid w:val="00AE4627"/>
    <w:rsid w:val="00AE464E"/>
    <w:rsid w:val="00AE4C1E"/>
    <w:rsid w:val="00AE5606"/>
    <w:rsid w:val="00AE5E6C"/>
    <w:rsid w:val="00AE5E96"/>
    <w:rsid w:val="00AE67D5"/>
    <w:rsid w:val="00AE6829"/>
    <w:rsid w:val="00AE6D7D"/>
    <w:rsid w:val="00AE6DED"/>
    <w:rsid w:val="00AE7311"/>
    <w:rsid w:val="00AE7719"/>
    <w:rsid w:val="00AE779C"/>
    <w:rsid w:val="00AF022C"/>
    <w:rsid w:val="00AF0432"/>
    <w:rsid w:val="00AF1427"/>
    <w:rsid w:val="00AF19D8"/>
    <w:rsid w:val="00AF301F"/>
    <w:rsid w:val="00AF4BAA"/>
    <w:rsid w:val="00AF56F0"/>
    <w:rsid w:val="00AF580B"/>
    <w:rsid w:val="00AF5D41"/>
    <w:rsid w:val="00AF6047"/>
    <w:rsid w:val="00AF75FB"/>
    <w:rsid w:val="00AF7985"/>
    <w:rsid w:val="00B00155"/>
    <w:rsid w:val="00B00831"/>
    <w:rsid w:val="00B0090F"/>
    <w:rsid w:val="00B00CDC"/>
    <w:rsid w:val="00B00E09"/>
    <w:rsid w:val="00B00EBC"/>
    <w:rsid w:val="00B0163C"/>
    <w:rsid w:val="00B01C6F"/>
    <w:rsid w:val="00B01F6F"/>
    <w:rsid w:val="00B02C96"/>
    <w:rsid w:val="00B032E6"/>
    <w:rsid w:val="00B033A0"/>
    <w:rsid w:val="00B0387C"/>
    <w:rsid w:val="00B04702"/>
    <w:rsid w:val="00B05F64"/>
    <w:rsid w:val="00B0622E"/>
    <w:rsid w:val="00B06497"/>
    <w:rsid w:val="00B06EA3"/>
    <w:rsid w:val="00B06F8C"/>
    <w:rsid w:val="00B0722B"/>
    <w:rsid w:val="00B077DF"/>
    <w:rsid w:val="00B0792E"/>
    <w:rsid w:val="00B07EC6"/>
    <w:rsid w:val="00B104D8"/>
    <w:rsid w:val="00B1066A"/>
    <w:rsid w:val="00B11A15"/>
    <w:rsid w:val="00B12E1D"/>
    <w:rsid w:val="00B12FE9"/>
    <w:rsid w:val="00B130C7"/>
    <w:rsid w:val="00B14124"/>
    <w:rsid w:val="00B14559"/>
    <w:rsid w:val="00B14A3E"/>
    <w:rsid w:val="00B15342"/>
    <w:rsid w:val="00B15652"/>
    <w:rsid w:val="00B158E6"/>
    <w:rsid w:val="00B15FC5"/>
    <w:rsid w:val="00B15FE1"/>
    <w:rsid w:val="00B16148"/>
    <w:rsid w:val="00B1731C"/>
    <w:rsid w:val="00B1797D"/>
    <w:rsid w:val="00B205ED"/>
    <w:rsid w:val="00B20890"/>
    <w:rsid w:val="00B20B46"/>
    <w:rsid w:val="00B213DF"/>
    <w:rsid w:val="00B2153E"/>
    <w:rsid w:val="00B216CD"/>
    <w:rsid w:val="00B22573"/>
    <w:rsid w:val="00B22DDA"/>
    <w:rsid w:val="00B22F8E"/>
    <w:rsid w:val="00B23469"/>
    <w:rsid w:val="00B24709"/>
    <w:rsid w:val="00B25509"/>
    <w:rsid w:val="00B25B95"/>
    <w:rsid w:val="00B25BEF"/>
    <w:rsid w:val="00B27351"/>
    <w:rsid w:val="00B2794D"/>
    <w:rsid w:val="00B30972"/>
    <w:rsid w:val="00B31009"/>
    <w:rsid w:val="00B31311"/>
    <w:rsid w:val="00B32F05"/>
    <w:rsid w:val="00B33190"/>
    <w:rsid w:val="00B3351B"/>
    <w:rsid w:val="00B33702"/>
    <w:rsid w:val="00B3373C"/>
    <w:rsid w:val="00B33FA0"/>
    <w:rsid w:val="00B341B9"/>
    <w:rsid w:val="00B34B7C"/>
    <w:rsid w:val="00B34EC5"/>
    <w:rsid w:val="00B35576"/>
    <w:rsid w:val="00B3563B"/>
    <w:rsid w:val="00B3620D"/>
    <w:rsid w:val="00B3661E"/>
    <w:rsid w:val="00B36A1F"/>
    <w:rsid w:val="00B36FF6"/>
    <w:rsid w:val="00B37641"/>
    <w:rsid w:val="00B37AAB"/>
    <w:rsid w:val="00B401BC"/>
    <w:rsid w:val="00B40499"/>
    <w:rsid w:val="00B4073B"/>
    <w:rsid w:val="00B41229"/>
    <w:rsid w:val="00B43115"/>
    <w:rsid w:val="00B43789"/>
    <w:rsid w:val="00B43875"/>
    <w:rsid w:val="00B43A7D"/>
    <w:rsid w:val="00B44F73"/>
    <w:rsid w:val="00B44FDF"/>
    <w:rsid w:val="00B451E7"/>
    <w:rsid w:val="00B45A3A"/>
    <w:rsid w:val="00B46D36"/>
    <w:rsid w:val="00B46FC7"/>
    <w:rsid w:val="00B5030A"/>
    <w:rsid w:val="00B508E2"/>
    <w:rsid w:val="00B50A71"/>
    <w:rsid w:val="00B50C6A"/>
    <w:rsid w:val="00B510DD"/>
    <w:rsid w:val="00B519C3"/>
    <w:rsid w:val="00B51D45"/>
    <w:rsid w:val="00B523C6"/>
    <w:rsid w:val="00B527EC"/>
    <w:rsid w:val="00B52B14"/>
    <w:rsid w:val="00B52D6A"/>
    <w:rsid w:val="00B52FB3"/>
    <w:rsid w:val="00B53A36"/>
    <w:rsid w:val="00B54E26"/>
    <w:rsid w:val="00B56940"/>
    <w:rsid w:val="00B56A5B"/>
    <w:rsid w:val="00B57EC4"/>
    <w:rsid w:val="00B57FA1"/>
    <w:rsid w:val="00B60167"/>
    <w:rsid w:val="00B60385"/>
    <w:rsid w:val="00B60398"/>
    <w:rsid w:val="00B618FD"/>
    <w:rsid w:val="00B619A5"/>
    <w:rsid w:val="00B61CDF"/>
    <w:rsid w:val="00B63CB1"/>
    <w:rsid w:val="00B64520"/>
    <w:rsid w:val="00B64963"/>
    <w:rsid w:val="00B64ADC"/>
    <w:rsid w:val="00B651A6"/>
    <w:rsid w:val="00B651FA"/>
    <w:rsid w:val="00B65560"/>
    <w:rsid w:val="00B6648A"/>
    <w:rsid w:val="00B66A4A"/>
    <w:rsid w:val="00B66DC1"/>
    <w:rsid w:val="00B67379"/>
    <w:rsid w:val="00B677AC"/>
    <w:rsid w:val="00B677BC"/>
    <w:rsid w:val="00B67DE2"/>
    <w:rsid w:val="00B7018D"/>
    <w:rsid w:val="00B70431"/>
    <w:rsid w:val="00B70983"/>
    <w:rsid w:val="00B714D1"/>
    <w:rsid w:val="00B72667"/>
    <w:rsid w:val="00B73038"/>
    <w:rsid w:val="00B737AB"/>
    <w:rsid w:val="00B737D8"/>
    <w:rsid w:val="00B74233"/>
    <w:rsid w:val="00B74EF8"/>
    <w:rsid w:val="00B75640"/>
    <w:rsid w:val="00B75BB7"/>
    <w:rsid w:val="00B76096"/>
    <w:rsid w:val="00B76900"/>
    <w:rsid w:val="00B76ADE"/>
    <w:rsid w:val="00B8028C"/>
    <w:rsid w:val="00B806D5"/>
    <w:rsid w:val="00B807FD"/>
    <w:rsid w:val="00B80A00"/>
    <w:rsid w:val="00B80C78"/>
    <w:rsid w:val="00B80D2F"/>
    <w:rsid w:val="00B80E52"/>
    <w:rsid w:val="00B81123"/>
    <w:rsid w:val="00B81165"/>
    <w:rsid w:val="00B81493"/>
    <w:rsid w:val="00B81680"/>
    <w:rsid w:val="00B817E8"/>
    <w:rsid w:val="00B81C94"/>
    <w:rsid w:val="00B81D14"/>
    <w:rsid w:val="00B81F9D"/>
    <w:rsid w:val="00B82027"/>
    <w:rsid w:val="00B8214C"/>
    <w:rsid w:val="00B82AF3"/>
    <w:rsid w:val="00B82CA1"/>
    <w:rsid w:val="00B833F6"/>
    <w:rsid w:val="00B846E6"/>
    <w:rsid w:val="00B8499D"/>
    <w:rsid w:val="00B85062"/>
    <w:rsid w:val="00B8698A"/>
    <w:rsid w:val="00B86C8B"/>
    <w:rsid w:val="00B8712F"/>
    <w:rsid w:val="00B876E5"/>
    <w:rsid w:val="00B87E64"/>
    <w:rsid w:val="00B87F62"/>
    <w:rsid w:val="00B90281"/>
    <w:rsid w:val="00B902FF"/>
    <w:rsid w:val="00B906B0"/>
    <w:rsid w:val="00B90D77"/>
    <w:rsid w:val="00B913BA"/>
    <w:rsid w:val="00B92027"/>
    <w:rsid w:val="00B92180"/>
    <w:rsid w:val="00B92692"/>
    <w:rsid w:val="00B926CD"/>
    <w:rsid w:val="00B92C9D"/>
    <w:rsid w:val="00B942DE"/>
    <w:rsid w:val="00B94316"/>
    <w:rsid w:val="00B9503A"/>
    <w:rsid w:val="00B953BE"/>
    <w:rsid w:val="00B9571B"/>
    <w:rsid w:val="00B965A1"/>
    <w:rsid w:val="00B96AC0"/>
    <w:rsid w:val="00B97394"/>
    <w:rsid w:val="00B97CBE"/>
    <w:rsid w:val="00B97D7A"/>
    <w:rsid w:val="00BA04A8"/>
    <w:rsid w:val="00BA073F"/>
    <w:rsid w:val="00BA1025"/>
    <w:rsid w:val="00BA1377"/>
    <w:rsid w:val="00BA14C6"/>
    <w:rsid w:val="00BA15E1"/>
    <w:rsid w:val="00BA15E9"/>
    <w:rsid w:val="00BA1941"/>
    <w:rsid w:val="00BA1D26"/>
    <w:rsid w:val="00BA2268"/>
    <w:rsid w:val="00BA306B"/>
    <w:rsid w:val="00BA346B"/>
    <w:rsid w:val="00BA3C0A"/>
    <w:rsid w:val="00BA3D45"/>
    <w:rsid w:val="00BA43A7"/>
    <w:rsid w:val="00BA47BD"/>
    <w:rsid w:val="00BA48E3"/>
    <w:rsid w:val="00BA5F84"/>
    <w:rsid w:val="00BA5FAB"/>
    <w:rsid w:val="00BA77F4"/>
    <w:rsid w:val="00BA7C7E"/>
    <w:rsid w:val="00BB001C"/>
    <w:rsid w:val="00BB031F"/>
    <w:rsid w:val="00BB0451"/>
    <w:rsid w:val="00BB061F"/>
    <w:rsid w:val="00BB121B"/>
    <w:rsid w:val="00BB133C"/>
    <w:rsid w:val="00BB1744"/>
    <w:rsid w:val="00BB2611"/>
    <w:rsid w:val="00BB2829"/>
    <w:rsid w:val="00BB29B2"/>
    <w:rsid w:val="00BB3320"/>
    <w:rsid w:val="00BB373A"/>
    <w:rsid w:val="00BB4E13"/>
    <w:rsid w:val="00BB622D"/>
    <w:rsid w:val="00BB645B"/>
    <w:rsid w:val="00BB69DE"/>
    <w:rsid w:val="00BB6B05"/>
    <w:rsid w:val="00BC02FC"/>
    <w:rsid w:val="00BC041F"/>
    <w:rsid w:val="00BC08F3"/>
    <w:rsid w:val="00BC0DF1"/>
    <w:rsid w:val="00BC1CD7"/>
    <w:rsid w:val="00BC2537"/>
    <w:rsid w:val="00BC2A06"/>
    <w:rsid w:val="00BC3111"/>
    <w:rsid w:val="00BC5735"/>
    <w:rsid w:val="00BC5A0B"/>
    <w:rsid w:val="00BC65D6"/>
    <w:rsid w:val="00BC7811"/>
    <w:rsid w:val="00BC7B54"/>
    <w:rsid w:val="00BC7C9F"/>
    <w:rsid w:val="00BD01FB"/>
    <w:rsid w:val="00BD0CF9"/>
    <w:rsid w:val="00BD0D86"/>
    <w:rsid w:val="00BD1020"/>
    <w:rsid w:val="00BD15FA"/>
    <w:rsid w:val="00BD25C2"/>
    <w:rsid w:val="00BD261F"/>
    <w:rsid w:val="00BD28B0"/>
    <w:rsid w:val="00BD2CE5"/>
    <w:rsid w:val="00BD2D5A"/>
    <w:rsid w:val="00BD3119"/>
    <w:rsid w:val="00BD3845"/>
    <w:rsid w:val="00BD5072"/>
    <w:rsid w:val="00BD639D"/>
    <w:rsid w:val="00BD75A6"/>
    <w:rsid w:val="00BD75F7"/>
    <w:rsid w:val="00BD787A"/>
    <w:rsid w:val="00BD79C0"/>
    <w:rsid w:val="00BE02B4"/>
    <w:rsid w:val="00BE076A"/>
    <w:rsid w:val="00BE08DF"/>
    <w:rsid w:val="00BE0A17"/>
    <w:rsid w:val="00BE0A5E"/>
    <w:rsid w:val="00BE18AA"/>
    <w:rsid w:val="00BE1C42"/>
    <w:rsid w:val="00BE1EBF"/>
    <w:rsid w:val="00BE209B"/>
    <w:rsid w:val="00BE3048"/>
    <w:rsid w:val="00BE35F3"/>
    <w:rsid w:val="00BE3F93"/>
    <w:rsid w:val="00BE438D"/>
    <w:rsid w:val="00BE4AD0"/>
    <w:rsid w:val="00BE4B74"/>
    <w:rsid w:val="00BE4E64"/>
    <w:rsid w:val="00BE534D"/>
    <w:rsid w:val="00BE5779"/>
    <w:rsid w:val="00BE5B56"/>
    <w:rsid w:val="00BE61B9"/>
    <w:rsid w:val="00BE6617"/>
    <w:rsid w:val="00BE6ED7"/>
    <w:rsid w:val="00BE79D1"/>
    <w:rsid w:val="00BF0C72"/>
    <w:rsid w:val="00BF0D03"/>
    <w:rsid w:val="00BF130D"/>
    <w:rsid w:val="00BF137E"/>
    <w:rsid w:val="00BF16F2"/>
    <w:rsid w:val="00BF2003"/>
    <w:rsid w:val="00BF3C89"/>
    <w:rsid w:val="00BF422A"/>
    <w:rsid w:val="00BF4D0B"/>
    <w:rsid w:val="00BF5242"/>
    <w:rsid w:val="00BF585F"/>
    <w:rsid w:val="00BF666A"/>
    <w:rsid w:val="00BF6A75"/>
    <w:rsid w:val="00BF6A7A"/>
    <w:rsid w:val="00BF7058"/>
    <w:rsid w:val="00BF7DE4"/>
    <w:rsid w:val="00C004AF"/>
    <w:rsid w:val="00C00646"/>
    <w:rsid w:val="00C00795"/>
    <w:rsid w:val="00C00D52"/>
    <w:rsid w:val="00C01F04"/>
    <w:rsid w:val="00C02825"/>
    <w:rsid w:val="00C0356F"/>
    <w:rsid w:val="00C03CA9"/>
    <w:rsid w:val="00C058B6"/>
    <w:rsid w:val="00C05C2E"/>
    <w:rsid w:val="00C05EC9"/>
    <w:rsid w:val="00C06EB2"/>
    <w:rsid w:val="00C0733D"/>
    <w:rsid w:val="00C0742A"/>
    <w:rsid w:val="00C07643"/>
    <w:rsid w:val="00C07D45"/>
    <w:rsid w:val="00C10096"/>
    <w:rsid w:val="00C10683"/>
    <w:rsid w:val="00C10A8A"/>
    <w:rsid w:val="00C10F66"/>
    <w:rsid w:val="00C1148A"/>
    <w:rsid w:val="00C123C8"/>
    <w:rsid w:val="00C125EB"/>
    <w:rsid w:val="00C12D56"/>
    <w:rsid w:val="00C12EE4"/>
    <w:rsid w:val="00C13E6D"/>
    <w:rsid w:val="00C14233"/>
    <w:rsid w:val="00C1433E"/>
    <w:rsid w:val="00C14ACF"/>
    <w:rsid w:val="00C156B7"/>
    <w:rsid w:val="00C158DC"/>
    <w:rsid w:val="00C16820"/>
    <w:rsid w:val="00C16E92"/>
    <w:rsid w:val="00C17647"/>
    <w:rsid w:val="00C20126"/>
    <w:rsid w:val="00C207E7"/>
    <w:rsid w:val="00C21A68"/>
    <w:rsid w:val="00C22A2D"/>
    <w:rsid w:val="00C22B0C"/>
    <w:rsid w:val="00C22F9F"/>
    <w:rsid w:val="00C239A1"/>
    <w:rsid w:val="00C23D51"/>
    <w:rsid w:val="00C23E18"/>
    <w:rsid w:val="00C23FEB"/>
    <w:rsid w:val="00C24015"/>
    <w:rsid w:val="00C240FE"/>
    <w:rsid w:val="00C24469"/>
    <w:rsid w:val="00C250A1"/>
    <w:rsid w:val="00C257DC"/>
    <w:rsid w:val="00C25886"/>
    <w:rsid w:val="00C260CA"/>
    <w:rsid w:val="00C26125"/>
    <w:rsid w:val="00C266F9"/>
    <w:rsid w:val="00C26971"/>
    <w:rsid w:val="00C26FA7"/>
    <w:rsid w:val="00C30A09"/>
    <w:rsid w:val="00C30F78"/>
    <w:rsid w:val="00C319DD"/>
    <w:rsid w:val="00C31C81"/>
    <w:rsid w:val="00C32726"/>
    <w:rsid w:val="00C3315C"/>
    <w:rsid w:val="00C33281"/>
    <w:rsid w:val="00C334A1"/>
    <w:rsid w:val="00C33B08"/>
    <w:rsid w:val="00C33C8A"/>
    <w:rsid w:val="00C341A4"/>
    <w:rsid w:val="00C3428B"/>
    <w:rsid w:val="00C347B4"/>
    <w:rsid w:val="00C34959"/>
    <w:rsid w:val="00C36152"/>
    <w:rsid w:val="00C36E2F"/>
    <w:rsid w:val="00C3731E"/>
    <w:rsid w:val="00C3785E"/>
    <w:rsid w:val="00C37B47"/>
    <w:rsid w:val="00C409A1"/>
    <w:rsid w:val="00C419BD"/>
    <w:rsid w:val="00C41A24"/>
    <w:rsid w:val="00C41D9E"/>
    <w:rsid w:val="00C434FA"/>
    <w:rsid w:val="00C4382A"/>
    <w:rsid w:val="00C43DFC"/>
    <w:rsid w:val="00C4466D"/>
    <w:rsid w:val="00C446C9"/>
    <w:rsid w:val="00C44906"/>
    <w:rsid w:val="00C4558A"/>
    <w:rsid w:val="00C45AFB"/>
    <w:rsid w:val="00C45E5A"/>
    <w:rsid w:val="00C46E52"/>
    <w:rsid w:val="00C46F51"/>
    <w:rsid w:val="00C474FB"/>
    <w:rsid w:val="00C477CB"/>
    <w:rsid w:val="00C47949"/>
    <w:rsid w:val="00C47D0B"/>
    <w:rsid w:val="00C50036"/>
    <w:rsid w:val="00C50B16"/>
    <w:rsid w:val="00C51946"/>
    <w:rsid w:val="00C51AD1"/>
    <w:rsid w:val="00C51AE2"/>
    <w:rsid w:val="00C52479"/>
    <w:rsid w:val="00C5273B"/>
    <w:rsid w:val="00C53C29"/>
    <w:rsid w:val="00C53CE1"/>
    <w:rsid w:val="00C54065"/>
    <w:rsid w:val="00C54AC9"/>
    <w:rsid w:val="00C552CC"/>
    <w:rsid w:val="00C554BA"/>
    <w:rsid w:val="00C559FF"/>
    <w:rsid w:val="00C5674C"/>
    <w:rsid w:val="00C56926"/>
    <w:rsid w:val="00C5698C"/>
    <w:rsid w:val="00C56ADA"/>
    <w:rsid w:val="00C56C70"/>
    <w:rsid w:val="00C56D05"/>
    <w:rsid w:val="00C60A1A"/>
    <w:rsid w:val="00C6195D"/>
    <w:rsid w:val="00C61AD0"/>
    <w:rsid w:val="00C61B31"/>
    <w:rsid w:val="00C62C07"/>
    <w:rsid w:val="00C62D98"/>
    <w:rsid w:val="00C62F01"/>
    <w:rsid w:val="00C6444E"/>
    <w:rsid w:val="00C64B1F"/>
    <w:rsid w:val="00C6585E"/>
    <w:rsid w:val="00C65A05"/>
    <w:rsid w:val="00C66849"/>
    <w:rsid w:val="00C66BCC"/>
    <w:rsid w:val="00C67733"/>
    <w:rsid w:val="00C710EF"/>
    <w:rsid w:val="00C71E88"/>
    <w:rsid w:val="00C72182"/>
    <w:rsid w:val="00C725B0"/>
    <w:rsid w:val="00C72652"/>
    <w:rsid w:val="00C728F1"/>
    <w:rsid w:val="00C72A78"/>
    <w:rsid w:val="00C72E28"/>
    <w:rsid w:val="00C73263"/>
    <w:rsid w:val="00C7343C"/>
    <w:rsid w:val="00C74E02"/>
    <w:rsid w:val="00C75C4D"/>
    <w:rsid w:val="00C75CA0"/>
    <w:rsid w:val="00C75D9E"/>
    <w:rsid w:val="00C766A8"/>
    <w:rsid w:val="00C76A30"/>
    <w:rsid w:val="00C77D6B"/>
    <w:rsid w:val="00C77EE8"/>
    <w:rsid w:val="00C8003F"/>
    <w:rsid w:val="00C80DB9"/>
    <w:rsid w:val="00C819BB"/>
    <w:rsid w:val="00C81C97"/>
    <w:rsid w:val="00C81D13"/>
    <w:rsid w:val="00C81DCC"/>
    <w:rsid w:val="00C81E46"/>
    <w:rsid w:val="00C81EDE"/>
    <w:rsid w:val="00C82CF4"/>
    <w:rsid w:val="00C82D7F"/>
    <w:rsid w:val="00C83273"/>
    <w:rsid w:val="00C83ABB"/>
    <w:rsid w:val="00C845D2"/>
    <w:rsid w:val="00C84767"/>
    <w:rsid w:val="00C84CDA"/>
    <w:rsid w:val="00C85087"/>
    <w:rsid w:val="00C85A8C"/>
    <w:rsid w:val="00C85C14"/>
    <w:rsid w:val="00C85F4F"/>
    <w:rsid w:val="00C86717"/>
    <w:rsid w:val="00C86CB9"/>
    <w:rsid w:val="00C87586"/>
    <w:rsid w:val="00C87CBE"/>
    <w:rsid w:val="00C9062C"/>
    <w:rsid w:val="00C90B85"/>
    <w:rsid w:val="00C90F59"/>
    <w:rsid w:val="00C91363"/>
    <w:rsid w:val="00C91AF6"/>
    <w:rsid w:val="00C9248B"/>
    <w:rsid w:val="00C930ED"/>
    <w:rsid w:val="00C93C29"/>
    <w:rsid w:val="00C93E64"/>
    <w:rsid w:val="00C93EFD"/>
    <w:rsid w:val="00C94522"/>
    <w:rsid w:val="00C94CE9"/>
    <w:rsid w:val="00C956DE"/>
    <w:rsid w:val="00C95FA4"/>
    <w:rsid w:val="00C969BC"/>
    <w:rsid w:val="00C96AF6"/>
    <w:rsid w:val="00C96B1A"/>
    <w:rsid w:val="00C96F43"/>
    <w:rsid w:val="00C96F7D"/>
    <w:rsid w:val="00C97755"/>
    <w:rsid w:val="00CA01B0"/>
    <w:rsid w:val="00CA060C"/>
    <w:rsid w:val="00CA06E5"/>
    <w:rsid w:val="00CA0DFC"/>
    <w:rsid w:val="00CA0E8B"/>
    <w:rsid w:val="00CA0E8D"/>
    <w:rsid w:val="00CA1CCB"/>
    <w:rsid w:val="00CA2AF0"/>
    <w:rsid w:val="00CA3B34"/>
    <w:rsid w:val="00CA3CF7"/>
    <w:rsid w:val="00CA48AE"/>
    <w:rsid w:val="00CA495F"/>
    <w:rsid w:val="00CA5375"/>
    <w:rsid w:val="00CA5AB4"/>
    <w:rsid w:val="00CA5F72"/>
    <w:rsid w:val="00CA5FFB"/>
    <w:rsid w:val="00CA6266"/>
    <w:rsid w:val="00CA63DC"/>
    <w:rsid w:val="00CA6A58"/>
    <w:rsid w:val="00CA780E"/>
    <w:rsid w:val="00CA7BD3"/>
    <w:rsid w:val="00CA7BEA"/>
    <w:rsid w:val="00CB03FC"/>
    <w:rsid w:val="00CB0517"/>
    <w:rsid w:val="00CB0960"/>
    <w:rsid w:val="00CB0E9C"/>
    <w:rsid w:val="00CB10ED"/>
    <w:rsid w:val="00CB1712"/>
    <w:rsid w:val="00CB275A"/>
    <w:rsid w:val="00CB382B"/>
    <w:rsid w:val="00CB396E"/>
    <w:rsid w:val="00CB4668"/>
    <w:rsid w:val="00CB510C"/>
    <w:rsid w:val="00CB5415"/>
    <w:rsid w:val="00CB5D48"/>
    <w:rsid w:val="00CB5E1E"/>
    <w:rsid w:val="00CB6FDC"/>
    <w:rsid w:val="00CB73F9"/>
    <w:rsid w:val="00CB75DC"/>
    <w:rsid w:val="00CC0890"/>
    <w:rsid w:val="00CC0ACA"/>
    <w:rsid w:val="00CC1456"/>
    <w:rsid w:val="00CC23AE"/>
    <w:rsid w:val="00CC2647"/>
    <w:rsid w:val="00CC2A49"/>
    <w:rsid w:val="00CC2F34"/>
    <w:rsid w:val="00CC3551"/>
    <w:rsid w:val="00CC383A"/>
    <w:rsid w:val="00CC3D54"/>
    <w:rsid w:val="00CC3DD4"/>
    <w:rsid w:val="00CC4786"/>
    <w:rsid w:val="00CC78E6"/>
    <w:rsid w:val="00CC7C91"/>
    <w:rsid w:val="00CC7DA1"/>
    <w:rsid w:val="00CD0866"/>
    <w:rsid w:val="00CD087C"/>
    <w:rsid w:val="00CD0FB6"/>
    <w:rsid w:val="00CD1231"/>
    <w:rsid w:val="00CD2AD3"/>
    <w:rsid w:val="00CD3C95"/>
    <w:rsid w:val="00CD3DF1"/>
    <w:rsid w:val="00CD4741"/>
    <w:rsid w:val="00CD5784"/>
    <w:rsid w:val="00CD598F"/>
    <w:rsid w:val="00CD5C65"/>
    <w:rsid w:val="00CD5FE8"/>
    <w:rsid w:val="00CD6AB8"/>
    <w:rsid w:val="00CD6F5F"/>
    <w:rsid w:val="00CD7842"/>
    <w:rsid w:val="00CD7D8B"/>
    <w:rsid w:val="00CE080E"/>
    <w:rsid w:val="00CE0AAD"/>
    <w:rsid w:val="00CE0DDC"/>
    <w:rsid w:val="00CE1D14"/>
    <w:rsid w:val="00CE2535"/>
    <w:rsid w:val="00CE2C5A"/>
    <w:rsid w:val="00CE2C99"/>
    <w:rsid w:val="00CE2F09"/>
    <w:rsid w:val="00CE38CF"/>
    <w:rsid w:val="00CE3975"/>
    <w:rsid w:val="00CE489C"/>
    <w:rsid w:val="00CE4FCA"/>
    <w:rsid w:val="00CE53F7"/>
    <w:rsid w:val="00CE5B64"/>
    <w:rsid w:val="00CE5B97"/>
    <w:rsid w:val="00CE5F13"/>
    <w:rsid w:val="00CE64F8"/>
    <w:rsid w:val="00CE6E79"/>
    <w:rsid w:val="00CE7694"/>
    <w:rsid w:val="00CF0115"/>
    <w:rsid w:val="00CF0C86"/>
    <w:rsid w:val="00CF0DF4"/>
    <w:rsid w:val="00CF1904"/>
    <w:rsid w:val="00CF34C9"/>
    <w:rsid w:val="00CF4B62"/>
    <w:rsid w:val="00CF4E8F"/>
    <w:rsid w:val="00CF4F34"/>
    <w:rsid w:val="00CF5063"/>
    <w:rsid w:val="00CF50B3"/>
    <w:rsid w:val="00CF6A95"/>
    <w:rsid w:val="00CF6E46"/>
    <w:rsid w:val="00CF7AC3"/>
    <w:rsid w:val="00CF7C23"/>
    <w:rsid w:val="00CF7E8F"/>
    <w:rsid w:val="00D002D2"/>
    <w:rsid w:val="00D008B9"/>
    <w:rsid w:val="00D00C1E"/>
    <w:rsid w:val="00D019D3"/>
    <w:rsid w:val="00D01EA0"/>
    <w:rsid w:val="00D0271F"/>
    <w:rsid w:val="00D02817"/>
    <w:rsid w:val="00D0281B"/>
    <w:rsid w:val="00D03979"/>
    <w:rsid w:val="00D04696"/>
    <w:rsid w:val="00D04779"/>
    <w:rsid w:val="00D0624B"/>
    <w:rsid w:val="00D06504"/>
    <w:rsid w:val="00D0729E"/>
    <w:rsid w:val="00D075E7"/>
    <w:rsid w:val="00D10356"/>
    <w:rsid w:val="00D10982"/>
    <w:rsid w:val="00D123B1"/>
    <w:rsid w:val="00D124EC"/>
    <w:rsid w:val="00D133A4"/>
    <w:rsid w:val="00D1346C"/>
    <w:rsid w:val="00D137B6"/>
    <w:rsid w:val="00D1383C"/>
    <w:rsid w:val="00D14F3A"/>
    <w:rsid w:val="00D15036"/>
    <w:rsid w:val="00D150F8"/>
    <w:rsid w:val="00D15C20"/>
    <w:rsid w:val="00D15EC3"/>
    <w:rsid w:val="00D161B4"/>
    <w:rsid w:val="00D16D75"/>
    <w:rsid w:val="00D16F7A"/>
    <w:rsid w:val="00D17347"/>
    <w:rsid w:val="00D174DF"/>
    <w:rsid w:val="00D1782F"/>
    <w:rsid w:val="00D179AB"/>
    <w:rsid w:val="00D17EEE"/>
    <w:rsid w:val="00D2007B"/>
    <w:rsid w:val="00D200C5"/>
    <w:rsid w:val="00D20ED3"/>
    <w:rsid w:val="00D21BEC"/>
    <w:rsid w:val="00D229C3"/>
    <w:rsid w:val="00D22A8E"/>
    <w:rsid w:val="00D22C6D"/>
    <w:rsid w:val="00D22CA7"/>
    <w:rsid w:val="00D22E99"/>
    <w:rsid w:val="00D23330"/>
    <w:rsid w:val="00D23620"/>
    <w:rsid w:val="00D2399F"/>
    <w:rsid w:val="00D23E56"/>
    <w:rsid w:val="00D24367"/>
    <w:rsid w:val="00D26246"/>
    <w:rsid w:val="00D26621"/>
    <w:rsid w:val="00D27489"/>
    <w:rsid w:val="00D27657"/>
    <w:rsid w:val="00D27688"/>
    <w:rsid w:val="00D27948"/>
    <w:rsid w:val="00D27FBB"/>
    <w:rsid w:val="00D309E8"/>
    <w:rsid w:val="00D30A65"/>
    <w:rsid w:val="00D30AD8"/>
    <w:rsid w:val="00D30E89"/>
    <w:rsid w:val="00D3113E"/>
    <w:rsid w:val="00D315A6"/>
    <w:rsid w:val="00D31601"/>
    <w:rsid w:val="00D31E8E"/>
    <w:rsid w:val="00D3216A"/>
    <w:rsid w:val="00D32563"/>
    <w:rsid w:val="00D33617"/>
    <w:rsid w:val="00D341AE"/>
    <w:rsid w:val="00D3465F"/>
    <w:rsid w:val="00D34E74"/>
    <w:rsid w:val="00D351F7"/>
    <w:rsid w:val="00D35C23"/>
    <w:rsid w:val="00D360C3"/>
    <w:rsid w:val="00D364A0"/>
    <w:rsid w:val="00D36735"/>
    <w:rsid w:val="00D368F1"/>
    <w:rsid w:val="00D36C31"/>
    <w:rsid w:val="00D36FF5"/>
    <w:rsid w:val="00D3705C"/>
    <w:rsid w:val="00D373D8"/>
    <w:rsid w:val="00D37BC4"/>
    <w:rsid w:val="00D37E01"/>
    <w:rsid w:val="00D405BB"/>
    <w:rsid w:val="00D40B0B"/>
    <w:rsid w:val="00D41378"/>
    <w:rsid w:val="00D416A3"/>
    <w:rsid w:val="00D424A5"/>
    <w:rsid w:val="00D42B43"/>
    <w:rsid w:val="00D42D08"/>
    <w:rsid w:val="00D43576"/>
    <w:rsid w:val="00D446BB"/>
    <w:rsid w:val="00D44CD7"/>
    <w:rsid w:val="00D44D27"/>
    <w:rsid w:val="00D45268"/>
    <w:rsid w:val="00D456D1"/>
    <w:rsid w:val="00D459D1"/>
    <w:rsid w:val="00D464CA"/>
    <w:rsid w:val="00D46FEC"/>
    <w:rsid w:val="00D47814"/>
    <w:rsid w:val="00D50106"/>
    <w:rsid w:val="00D51090"/>
    <w:rsid w:val="00D51AB0"/>
    <w:rsid w:val="00D51DCE"/>
    <w:rsid w:val="00D51FA2"/>
    <w:rsid w:val="00D526E5"/>
    <w:rsid w:val="00D52BB3"/>
    <w:rsid w:val="00D52E44"/>
    <w:rsid w:val="00D5319B"/>
    <w:rsid w:val="00D54A3A"/>
    <w:rsid w:val="00D550BB"/>
    <w:rsid w:val="00D55157"/>
    <w:rsid w:val="00D55F9E"/>
    <w:rsid w:val="00D571C0"/>
    <w:rsid w:val="00D5794A"/>
    <w:rsid w:val="00D57A1A"/>
    <w:rsid w:val="00D57C88"/>
    <w:rsid w:val="00D604D7"/>
    <w:rsid w:val="00D6097E"/>
    <w:rsid w:val="00D60A90"/>
    <w:rsid w:val="00D6154D"/>
    <w:rsid w:val="00D61819"/>
    <w:rsid w:val="00D62698"/>
    <w:rsid w:val="00D62C35"/>
    <w:rsid w:val="00D63767"/>
    <w:rsid w:val="00D63B2D"/>
    <w:rsid w:val="00D63DC0"/>
    <w:rsid w:val="00D64B76"/>
    <w:rsid w:val="00D6540D"/>
    <w:rsid w:val="00D65BC9"/>
    <w:rsid w:val="00D65FCF"/>
    <w:rsid w:val="00D66A8C"/>
    <w:rsid w:val="00D66AD5"/>
    <w:rsid w:val="00D6739D"/>
    <w:rsid w:val="00D675BB"/>
    <w:rsid w:val="00D67781"/>
    <w:rsid w:val="00D67F2D"/>
    <w:rsid w:val="00D7007C"/>
    <w:rsid w:val="00D70EA8"/>
    <w:rsid w:val="00D70EB5"/>
    <w:rsid w:val="00D70FF3"/>
    <w:rsid w:val="00D71B9F"/>
    <w:rsid w:val="00D720FC"/>
    <w:rsid w:val="00D72104"/>
    <w:rsid w:val="00D725E1"/>
    <w:rsid w:val="00D72E32"/>
    <w:rsid w:val="00D73321"/>
    <w:rsid w:val="00D73796"/>
    <w:rsid w:val="00D737E0"/>
    <w:rsid w:val="00D73F00"/>
    <w:rsid w:val="00D74044"/>
    <w:rsid w:val="00D744CA"/>
    <w:rsid w:val="00D74986"/>
    <w:rsid w:val="00D75293"/>
    <w:rsid w:val="00D7592F"/>
    <w:rsid w:val="00D75EAB"/>
    <w:rsid w:val="00D763FD"/>
    <w:rsid w:val="00D7646A"/>
    <w:rsid w:val="00D76AA3"/>
    <w:rsid w:val="00D76FAA"/>
    <w:rsid w:val="00D77477"/>
    <w:rsid w:val="00D7754C"/>
    <w:rsid w:val="00D7776C"/>
    <w:rsid w:val="00D779E6"/>
    <w:rsid w:val="00D809C8"/>
    <w:rsid w:val="00D8186F"/>
    <w:rsid w:val="00D8284A"/>
    <w:rsid w:val="00D82E9A"/>
    <w:rsid w:val="00D82ED3"/>
    <w:rsid w:val="00D830A0"/>
    <w:rsid w:val="00D83578"/>
    <w:rsid w:val="00D846CC"/>
    <w:rsid w:val="00D84E00"/>
    <w:rsid w:val="00D84E17"/>
    <w:rsid w:val="00D85536"/>
    <w:rsid w:val="00D87F85"/>
    <w:rsid w:val="00D913F6"/>
    <w:rsid w:val="00D91674"/>
    <w:rsid w:val="00D91CDD"/>
    <w:rsid w:val="00D91D96"/>
    <w:rsid w:val="00D9275A"/>
    <w:rsid w:val="00D928F8"/>
    <w:rsid w:val="00D92F09"/>
    <w:rsid w:val="00D9331F"/>
    <w:rsid w:val="00D936BC"/>
    <w:rsid w:val="00D943D6"/>
    <w:rsid w:val="00D94A79"/>
    <w:rsid w:val="00D95836"/>
    <w:rsid w:val="00D95AF4"/>
    <w:rsid w:val="00D96415"/>
    <w:rsid w:val="00D96A25"/>
    <w:rsid w:val="00D97A59"/>
    <w:rsid w:val="00DA0A10"/>
    <w:rsid w:val="00DA0EA5"/>
    <w:rsid w:val="00DA0F8A"/>
    <w:rsid w:val="00DA2159"/>
    <w:rsid w:val="00DA3849"/>
    <w:rsid w:val="00DA3DE8"/>
    <w:rsid w:val="00DA477C"/>
    <w:rsid w:val="00DA4DAE"/>
    <w:rsid w:val="00DA5155"/>
    <w:rsid w:val="00DA5474"/>
    <w:rsid w:val="00DA587E"/>
    <w:rsid w:val="00DA5979"/>
    <w:rsid w:val="00DA5E55"/>
    <w:rsid w:val="00DA607B"/>
    <w:rsid w:val="00DA6490"/>
    <w:rsid w:val="00DA6838"/>
    <w:rsid w:val="00DA6B06"/>
    <w:rsid w:val="00DA6DE9"/>
    <w:rsid w:val="00DA7637"/>
    <w:rsid w:val="00DB02C2"/>
    <w:rsid w:val="00DB0E07"/>
    <w:rsid w:val="00DB13CB"/>
    <w:rsid w:val="00DB1619"/>
    <w:rsid w:val="00DB1E61"/>
    <w:rsid w:val="00DB273D"/>
    <w:rsid w:val="00DB2CC1"/>
    <w:rsid w:val="00DB2FA0"/>
    <w:rsid w:val="00DB305F"/>
    <w:rsid w:val="00DB42C9"/>
    <w:rsid w:val="00DB483B"/>
    <w:rsid w:val="00DB4E5F"/>
    <w:rsid w:val="00DB55B9"/>
    <w:rsid w:val="00DB5AB8"/>
    <w:rsid w:val="00DB649A"/>
    <w:rsid w:val="00DB66AD"/>
    <w:rsid w:val="00DB7346"/>
    <w:rsid w:val="00DB757B"/>
    <w:rsid w:val="00DB761D"/>
    <w:rsid w:val="00DB7D8D"/>
    <w:rsid w:val="00DC04C1"/>
    <w:rsid w:val="00DC24DE"/>
    <w:rsid w:val="00DC2536"/>
    <w:rsid w:val="00DC269C"/>
    <w:rsid w:val="00DC2808"/>
    <w:rsid w:val="00DC2A29"/>
    <w:rsid w:val="00DC2E5E"/>
    <w:rsid w:val="00DC320B"/>
    <w:rsid w:val="00DC3227"/>
    <w:rsid w:val="00DC371E"/>
    <w:rsid w:val="00DC3B18"/>
    <w:rsid w:val="00DC3FED"/>
    <w:rsid w:val="00DC4305"/>
    <w:rsid w:val="00DC431C"/>
    <w:rsid w:val="00DC5984"/>
    <w:rsid w:val="00DC646E"/>
    <w:rsid w:val="00DC6568"/>
    <w:rsid w:val="00DC6D20"/>
    <w:rsid w:val="00DC6D3D"/>
    <w:rsid w:val="00DD036F"/>
    <w:rsid w:val="00DD07AC"/>
    <w:rsid w:val="00DD0861"/>
    <w:rsid w:val="00DD0AB9"/>
    <w:rsid w:val="00DD0C5B"/>
    <w:rsid w:val="00DD11F3"/>
    <w:rsid w:val="00DD16AC"/>
    <w:rsid w:val="00DD1E80"/>
    <w:rsid w:val="00DD2506"/>
    <w:rsid w:val="00DD2B13"/>
    <w:rsid w:val="00DD3049"/>
    <w:rsid w:val="00DD4102"/>
    <w:rsid w:val="00DD47A2"/>
    <w:rsid w:val="00DD4A49"/>
    <w:rsid w:val="00DD5C47"/>
    <w:rsid w:val="00DD65FF"/>
    <w:rsid w:val="00DD66AC"/>
    <w:rsid w:val="00DD70BD"/>
    <w:rsid w:val="00DD7411"/>
    <w:rsid w:val="00DD74E9"/>
    <w:rsid w:val="00DD77E7"/>
    <w:rsid w:val="00DE011D"/>
    <w:rsid w:val="00DE1300"/>
    <w:rsid w:val="00DE14CD"/>
    <w:rsid w:val="00DE1951"/>
    <w:rsid w:val="00DE20E1"/>
    <w:rsid w:val="00DE247A"/>
    <w:rsid w:val="00DE3AA3"/>
    <w:rsid w:val="00DE3C60"/>
    <w:rsid w:val="00DE3FD3"/>
    <w:rsid w:val="00DE42A5"/>
    <w:rsid w:val="00DE4303"/>
    <w:rsid w:val="00DE4696"/>
    <w:rsid w:val="00DE4B43"/>
    <w:rsid w:val="00DE4C70"/>
    <w:rsid w:val="00DE4CA1"/>
    <w:rsid w:val="00DE5690"/>
    <w:rsid w:val="00DE5797"/>
    <w:rsid w:val="00DE585B"/>
    <w:rsid w:val="00DE5B99"/>
    <w:rsid w:val="00DE67E5"/>
    <w:rsid w:val="00DE6C30"/>
    <w:rsid w:val="00DE70A4"/>
    <w:rsid w:val="00DE745A"/>
    <w:rsid w:val="00DE7954"/>
    <w:rsid w:val="00DE7D80"/>
    <w:rsid w:val="00DE7F15"/>
    <w:rsid w:val="00DE7F8F"/>
    <w:rsid w:val="00DF0E36"/>
    <w:rsid w:val="00DF0F51"/>
    <w:rsid w:val="00DF2D8A"/>
    <w:rsid w:val="00DF301E"/>
    <w:rsid w:val="00DF31C4"/>
    <w:rsid w:val="00DF40DD"/>
    <w:rsid w:val="00DF43FC"/>
    <w:rsid w:val="00DF4C0F"/>
    <w:rsid w:val="00DF58EF"/>
    <w:rsid w:val="00DF6764"/>
    <w:rsid w:val="00DF69AE"/>
    <w:rsid w:val="00DF7679"/>
    <w:rsid w:val="00E001D5"/>
    <w:rsid w:val="00E00DED"/>
    <w:rsid w:val="00E00E57"/>
    <w:rsid w:val="00E00F59"/>
    <w:rsid w:val="00E01367"/>
    <w:rsid w:val="00E01C41"/>
    <w:rsid w:val="00E026C4"/>
    <w:rsid w:val="00E02869"/>
    <w:rsid w:val="00E03456"/>
    <w:rsid w:val="00E03863"/>
    <w:rsid w:val="00E039B3"/>
    <w:rsid w:val="00E03A7E"/>
    <w:rsid w:val="00E03CC3"/>
    <w:rsid w:val="00E04243"/>
    <w:rsid w:val="00E04249"/>
    <w:rsid w:val="00E048BA"/>
    <w:rsid w:val="00E050FD"/>
    <w:rsid w:val="00E052DC"/>
    <w:rsid w:val="00E05663"/>
    <w:rsid w:val="00E0588D"/>
    <w:rsid w:val="00E06396"/>
    <w:rsid w:val="00E0656E"/>
    <w:rsid w:val="00E077F4"/>
    <w:rsid w:val="00E07945"/>
    <w:rsid w:val="00E104D1"/>
    <w:rsid w:val="00E10C89"/>
    <w:rsid w:val="00E10D86"/>
    <w:rsid w:val="00E1240F"/>
    <w:rsid w:val="00E12578"/>
    <w:rsid w:val="00E128A4"/>
    <w:rsid w:val="00E1323D"/>
    <w:rsid w:val="00E13EB3"/>
    <w:rsid w:val="00E1522A"/>
    <w:rsid w:val="00E156F4"/>
    <w:rsid w:val="00E15EAB"/>
    <w:rsid w:val="00E16038"/>
    <w:rsid w:val="00E16B08"/>
    <w:rsid w:val="00E175F2"/>
    <w:rsid w:val="00E2036B"/>
    <w:rsid w:val="00E2044C"/>
    <w:rsid w:val="00E20F2A"/>
    <w:rsid w:val="00E219A4"/>
    <w:rsid w:val="00E21EBF"/>
    <w:rsid w:val="00E22266"/>
    <w:rsid w:val="00E223AA"/>
    <w:rsid w:val="00E22495"/>
    <w:rsid w:val="00E226C3"/>
    <w:rsid w:val="00E22F6C"/>
    <w:rsid w:val="00E23BFD"/>
    <w:rsid w:val="00E23E8D"/>
    <w:rsid w:val="00E243C0"/>
    <w:rsid w:val="00E25D77"/>
    <w:rsid w:val="00E262F4"/>
    <w:rsid w:val="00E26AC0"/>
    <w:rsid w:val="00E26D91"/>
    <w:rsid w:val="00E26E46"/>
    <w:rsid w:val="00E2776D"/>
    <w:rsid w:val="00E27A97"/>
    <w:rsid w:val="00E3019C"/>
    <w:rsid w:val="00E30263"/>
    <w:rsid w:val="00E3050E"/>
    <w:rsid w:val="00E308DC"/>
    <w:rsid w:val="00E32171"/>
    <w:rsid w:val="00E322D3"/>
    <w:rsid w:val="00E3414C"/>
    <w:rsid w:val="00E34702"/>
    <w:rsid w:val="00E34841"/>
    <w:rsid w:val="00E3484E"/>
    <w:rsid w:val="00E34FD7"/>
    <w:rsid w:val="00E35054"/>
    <w:rsid w:val="00E35174"/>
    <w:rsid w:val="00E355CE"/>
    <w:rsid w:val="00E3584B"/>
    <w:rsid w:val="00E35CFA"/>
    <w:rsid w:val="00E36084"/>
    <w:rsid w:val="00E363EA"/>
    <w:rsid w:val="00E366EF"/>
    <w:rsid w:val="00E37EFE"/>
    <w:rsid w:val="00E40197"/>
    <w:rsid w:val="00E4107A"/>
    <w:rsid w:val="00E411F4"/>
    <w:rsid w:val="00E41327"/>
    <w:rsid w:val="00E4175B"/>
    <w:rsid w:val="00E42A3B"/>
    <w:rsid w:val="00E4374E"/>
    <w:rsid w:val="00E44A54"/>
    <w:rsid w:val="00E44BB4"/>
    <w:rsid w:val="00E44FEC"/>
    <w:rsid w:val="00E50108"/>
    <w:rsid w:val="00E50C78"/>
    <w:rsid w:val="00E51212"/>
    <w:rsid w:val="00E518FD"/>
    <w:rsid w:val="00E51A23"/>
    <w:rsid w:val="00E51EAF"/>
    <w:rsid w:val="00E52343"/>
    <w:rsid w:val="00E52EB9"/>
    <w:rsid w:val="00E5323E"/>
    <w:rsid w:val="00E53625"/>
    <w:rsid w:val="00E54172"/>
    <w:rsid w:val="00E5478F"/>
    <w:rsid w:val="00E54CB7"/>
    <w:rsid w:val="00E550D9"/>
    <w:rsid w:val="00E558F2"/>
    <w:rsid w:val="00E56782"/>
    <w:rsid w:val="00E5692D"/>
    <w:rsid w:val="00E57314"/>
    <w:rsid w:val="00E5732C"/>
    <w:rsid w:val="00E57AAB"/>
    <w:rsid w:val="00E6064A"/>
    <w:rsid w:val="00E60E07"/>
    <w:rsid w:val="00E62071"/>
    <w:rsid w:val="00E62132"/>
    <w:rsid w:val="00E62ABB"/>
    <w:rsid w:val="00E63054"/>
    <w:rsid w:val="00E6357A"/>
    <w:rsid w:val="00E6491F"/>
    <w:rsid w:val="00E649A3"/>
    <w:rsid w:val="00E64A97"/>
    <w:rsid w:val="00E64C17"/>
    <w:rsid w:val="00E64F7A"/>
    <w:rsid w:val="00E65020"/>
    <w:rsid w:val="00E658A5"/>
    <w:rsid w:val="00E6590C"/>
    <w:rsid w:val="00E65E42"/>
    <w:rsid w:val="00E666ED"/>
    <w:rsid w:val="00E6695C"/>
    <w:rsid w:val="00E6717D"/>
    <w:rsid w:val="00E67390"/>
    <w:rsid w:val="00E67889"/>
    <w:rsid w:val="00E6789D"/>
    <w:rsid w:val="00E67FE0"/>
    <w:rsid w:val="00E70F49"/>
    <w:rsid w:val="00E72086"/>
    <w:rsid w:val="00E72F45"/>
    <w:rsid w:val="00E73A0B"/>
    <w:rsid w:val="00E73E2D"/>
    <w:rsid w:val="00E73F55"/>
    <w:rsid w:val="00E742C8"/>
    <w:rsid w:val="00E74659"/>
    <w:rsid w:val="00E7465D"/>
    <w:rsid w:val="00E7490A"/>
    <w:rsid w:val="00E74AAA"/>
    <w:rsid w:val="00E74CBA"/>
    <w:rsid w:val="00E74DF3"/>
    <w:rsid w:val="00E76882"/>
    <w:rsid w:val="00E76992"/>
    <w:rsid w:val="00E7702C"/>
    <w:rsid w:val="00E7782E"/>
    <w:rsid w:val="00E77AC4"/>
    <w:rsid w:val="00E80372"/>
    <w:rsid w:val="00E807E4"/>
    <w:rsid w:val="00E80BF1"/>
    <w:rsid w:val="00E80D6B"/>
    <w:rsid w:val="00E80F0D"/>
    <w:rsid w:val="00E8100B"/>
    <w:rsid w:val="00E81460"/>
    <w:rsid w:val="00E82285"/>
    <w:rsid w:val="00E822C4"/>
    <w:rsid w:val="00E82598"/>
    <w:rsid w:val="00E82644"/>
    <w:rsid w:val="00E826A4"/>
    <w:rsid w:val="00E830A5"/>
    <w:rsid w:val="00E835E0"/>
    <w:rsid w:val="00E83CD6"/>
    <w:rsid w:val="00E83D52"/>
    <w:rsid w:val="00E84736"/>
    <w:rsid w:val="00E84834"/>
    <w:rsid w:val="00E84B55"/>
    <w:rsid w:val="00E852F8"/>
    <w:rsid w:val="00E859A2"/>
    <w:rsid w:val="00E85AF7"/>
    <w:rsid w:val="00E86712"/>
    <w:rsid w:val="00E86822"/>
    <w:rsid w:val="00E86C73"/>
    <w:rsid w:val="00E86F47"/>
    <w:rsid w:val="00E872AA"/>
    <w:rsid w:val="00E87A61"/>
    <w:rsid w:val="00E87BF7"/>
    <w:rsid w:val="00E87C5E"/>
    <w:rsid w:val="00E9005C"/>
    <w:rsid w:val="00E90301"/>
    <w:rsid w:val="00E90AC3"/>
    <w:rsid w:val="00E9101A"/>
    <w:rsid w:val="00E91235"/>
    <w:rsid w:val="00E91BFA"/>
    <w:rsid w:val="00E91C34"/>
    <w:rsid w:val="00E91E4E"/>
    <w:rsid w:val="00E927B9"/>
    <w:rsid w:val="00E927D5"/>
    <w:rsid w:val="00E939E3"/>
    <w:rsid w:val="00E93A1E"/>
    <w:rsid w:val="00E9455F"/>
    <w:rsid w:val="00E95507"/>
    <w:rsid w:val="00E95875"/>
    <w:rsid w:val="00E96BE7"/>
    <w:rsid w:val="00E96D2F"/>
    <w:rsid w:val="00E96FE1"/>
    <w:rsid w:val="00E97597"/>
    <w:rsid w:val="00E97B95"/>
    <w:rsid w:val="00EA0398"/>
    <w:rsid w:val="00EA10BE"/>
    <w:rsid w:val="00EA1A40"/>
    <w:rsid w:val="00EA20D8"/>
    <w:rsid w:val="00EA344E"/>
    <w:rsid w:val="00EA3E09"/>
    <w:rsid w:val="00EA42A5"/>
    <w:rsid w:val="00EA4333"/>
    <w:rsid w:val="00EA46E8"/>
    <w:rsid w:val="00EA51A0"/>
    <w:rsid w:val="00EA578D"/>
    <w:rsid w:val="00EA5ACC"/>
    <w:rsid w:val="00EA6143"/>
    <w:rsid w:val="00EA64A6"/>
    <w:rsid w:val="00EA65EC"/>
    <w:rsid w:val="00EA6611"/>
    <w:rsid w:val="00EA7BFB"/>
    <w:rsid w:val="00EB02FC"/>
    <w:rsid w:val="00EB0375"/>
    <w:rsid w:val="00EB1316"/>
    <w:rsid w:val="00EB1853"/>
    <w:rsid w:val="00EB25DF"/>
    <w:rsid w:val="00EB263B"/>
    <w:rsid w:val="00EB2A32"/>
    <w:rsid w:val="00EB3783"/>
    <w:rsid w:val="00EB3978"/>
    <w:rsid w:val="00EB4F7E"/>
    <w:rsid w:val="00EB5584"/>
    <w:rsid w:val="00EB5C35"/>
    <w:rsid w:val="00EB6D30"/>
    <w:rsid w:val="00EB6E00"/>
    <w:rsid w:val="00EB70A4"/>
    <w:rsid w:val="00EB78CB"/>
    <w:rsid w:val="00EB7DBE"/>
    <w:rsid w:val="00EC084E"/>
    <w:rsid w:val="00EC0AD5"/>
    <w:rsid w:val="00EC0F65"/>
    <w:rsid w:val="00EC11E4"/>
    <w:rsid w:val="00EC132C"/>
    <w:rsid w:val="00EC17A2"/>
    <w:rsid w:val="00EC24F3"/>
    <w:rsid w:val="00EC2531"/>
    <w:rsid w:val="00EC2880"/>
    <w:rsid w:val="00EC2AEA"/>
    <w:rsid w:val="00EC2D28"/>
    <w:rsid w:val="00EC3A05"/>
    <w:rsid w:val="00EC3CAC"/>
    <w:rsid w:val="00EC4A36"/>
    <w:rsid w:val="00EC4ECB"/>
    <w:rsid w:val="00EC657F"/>
    <w:rsid w:val="00EC668B"/>
    <w:rsid w:val="00EC680E"/>
    <w:rsid w:val="00EC6DC1"/>
    <w:rsid w:val="00EC6E42"/>
    <w:rsid w:val="00EC6FF6"/>
    <w:rsid w:val="00EC77BD"/>
    <w:rsid w:val="00ED092E"/>
    <w:rsid w:val="00ED1A05"/>
    <w:rsid w:val="00ED1A8E"/>
    <w:rsid w:val="00ED2FAA"/>
    <w:rsid w:val="00ED30DD"/>
    <w:rsid w:val="00ED3744"/>
    <w:rsid w:val="00ED3785"/>
    <w:rsid w:val="00ED391A"/>
    <w:rsid w:val="00ED3C55"/>
    <w:rsid w:val="00ED4112"/>
    <w:rsid w:val="00ED4BE3"/>
    <w:rsid w:val="00ED4EE5"/>
    <w:rsid w:val="00ED6075"/>
    <w:rsid w:val="00ED65B1"/>
    <w:rsid w:val="00ED6B6E"/>
    <w:rsid w:val="00ED6BDD"/>
    <w:rsid w:val="00ED79E5"/>
    <w:rsid w:val="00ED7F7E"/>
    <w:rsid w:val="00EE103C"/>
    <w:rsid w:val="00EE12CA"/>
    <w:rsid w:val="00EE1372"/>
    <w:rsid w:val="00EE1E1C"/>
    <w:rsid w:val="00EE22E6"/>
    <w:rsid w:val="00EE2452"/>
    <w:rsid w:val="00EE2966"/>
    <w:rsid w:val="00EE34D3"/>
    <w:rsid w:val="00EE37E5"/>
    <w:rsid w:val="00EE3B0E"/>
    <w:rsid w:val="00EE3F6E"/>
    <w:rsid w:val="00EE417D"/>
    <w:rsid w:val="00EE44FE"/>
    <w:rsid w:val="00EE45A8"/>
    <w:rsid w:val="00EE4E2D"/>
    <w:rsid w:val="00EE4F9A"/>
    <w:rsid w:val="00EE5F6C"/>
    <w:rsid w:val="00EE699A"/>
    <w:rsid w:val="00EE7076"/>
    <w:rsid w:val="00EE72FC"/>
    <w:rsid w:val="00EE76F1"/>
    <w:rsid w:val="00EF0A51"/>
    <w:rsid w:val="00EF1387"/>
    <w:rsid w:val="00EF1638"/>
    <w:rsid w:val="00EF1A14"/>
    <w:rsid w:val="00EF1AC3"/>
    <w:rsid w:val="00EF2184"/>
    <w:rsid w:val="00EF2C0D"/>
    <w:rsid w:val="00EF3454"/>
    <w:rsid w:val="00EF385F"/>
    <w:rsid w:val="00EF3946"/>
    <w:rsid w:val="00EF3B73"/>
    <w:rsid w:val="00EF3CE6"/>
    <w:rsid w:val="00EF3EC2"/>
    <w:rsid w:val="00EF42EE"/>
    <w:rsid w:val="00EF4DDC"/>
    <w:rsid w:val="00EF5D98"/>
    <w:rsid w:val="00EF6B21"/>
    <w:rsid w:val="00EF6F8D"/>
    <w:rsid w:val="00EF758F"/>
    <w:rsid w:val="00EF7CDA"/>
    <w:rsid w:val="00F00C90"/>
    <w:rsid w:val="00F01712"/>
    <w:rsid w:val="00F01EEC"/>
    <w:rsid w:val="00F0238B"/>
    <w:rsid w:val="00F02AC6"/>
    <w:rsid w:val="00F03B8D"/>
    <w:rsid w:val="00F03D6D"/>
    <w:rsid w:val="00F03F71"/>
    <w:rsid w:val="00F04012"/>
    <w:rsid w:val="00F04A1E"/>
    <w:rsid w:val="00F061BA"/>
    <w:rsid w:val="00F07028"/>
    <w:rsid w:val="00F07762"/>
    <w:rsid w:val="00F07D54"/>
    <w:rsid w:val="00F07E53"/>
    <w:rsid w:val="00F1024D"/>
    <w:rsid w:val="00F10642"/>
    <w:rsid w:val="00F1107E"/>
    <w:rsid w:val="00F1175B"/>
    <w:rsid w:val="00F1224C"/>
    <w:rsid w:val="00F12BE1"/>
    <w:rsid w:val="00F133B3"/>
    <w:rsid w:val="00F1361F"/>
    <w:rsid w:val="00F153B8"/>
    <w:rsid w:val="00F1564F"/>
    <w:rsid w:val="00F15B76"/>
    <w:rsid w:val="00F15C4A"/>
    <w:rsid w:val="00F160B5"/>
    <w:rsid w:val="00F16894"/>
    <w:rsid w:val="00F17061"/>
    <w:rsid w:val="00F17E16"/>
    <w:rsid w:val="00F20298"/>
    <w:rsid w:val="00F20A77"/>
    <w:rsid w:val="00F20E64"/>
    <w:rsid w:val="00F2120C"/>
    <w:rsid w:val="00F21BE7"/>
    <w:rsid w:val="00F21E58"/>
    <w:rsid w:val="00F220F0"/>
    <w:rsid w:val="00F2222B"/>
    <w:rsid w:val="00F222FA"/>
    <w:rsid w:val="00F229F0"/>
    <w:rsid w:val="00F23347"/>
    <w:rsid w:val="00F23A62"/>
    <w:rsid w:val="00F23D51"/>
    <w:rsid w:val="00F23FEA"/>
    <w:rsid w:val="00F24727"/>
    <w:rsid w:val="00F24DD6"/>
    <w:rsid w:val="00F2526B"/>
    <w:rsid w:val="00F25528"/>
    <w:rsid w:val="00F255E0"/>
    <w:rsid w:val="00F25C00"/>
    <w:rsid w:val="00F25D77"/>
    <w:rsid w:val="00F26253"/>
    <w:rsid w:val="00F26B33"/>
    <w:rsid w:val="00F26C63"/>
    <w:rsid w:val="00F279C8"/>
    <w:rsid w:val="00F27E93"/>
    <w:rsid w:val="00F30AEF"/>
    <w:rsid w:val="00F31514"/>
    <w:rsid w:val="00F31D20"/>
    <w:rsid w:val="00F327E3"/>
    <w:rsid w:val="00F32E89"/>
    <w:rsid w:val="00F33611"/>
    <w:rsid w:val="00F33846"/>
    <w:rsid w:val="00F33B9F"/>
    <w:rsid w:val="00F33E5C"/>
    <w:rsid w:val="00F34889"/>
    <w:rsid w:val="00F34B65"/>
    <w:rsid w:val="00F357CD"/>
    <w:rsid w:val="00F360E3"/>
    <w:rsid w:val="00F3615B"/>
    <w:rsid w:val="00F368C4"/>
    <w:rsid w:val="00F37862"/>
    <w:rsid w:val="00F37C12"/>
    <w:rsid w:val="00F37D7E"/>
    <w:rsid w:val="00F40146"/>
    <w:rsid w:val="00F402D3"/>
    <w:rsid w:val="00F4138A"/>
    <w:rsid w:val="00F41437"/>
    <w:rsid w:val="00F41A02"/>
    <w:rsid w:val="00F42437"/>
    <w:rsid w:val="00F42C66"/>
    <w:rsid w:val="00F42E72"/>
    <w:rsid w:val="00F42ED2"/>
    <w:rsid w:val="00F43260"/>
    <w:rsid w:val="00F43A9D"/>
    <w:rsid w:val="00F43EA4"/>
    <w:rsid w:val="00F4412D"/>
    <w:rsid w:val="00F44F70"/>
    <w:rsid w:val="00F454A1"/>
    <w:rsid w:val="00F46337"/>
    <w:rsid w:val="00F46538"/>
    <w:rsid w:val="00F4659C"/>
    <w:rsid w:val="00F470DB"/>
    <w:rsid w:val="00F50134"/>
    <w:rsid w:val="00F5055D"/>
    <w:rsid w:val="00F5076D"/>
    <w:rsid w:val="00F50A6A"/>
    <w:rsid w:val="00F515DB"/>
    <w:rsid w:val="00F52867"/>
    <w:rsid w:val="00F52AC1"/>
    <w:rsid w:val="00F538F0"/>
    <w:rsid w:val="00F550B3"/>
    <w:rsid w:val="00F55400"/>
    <w:rsid w:val="00F5566B"/>
    <w:rsid w:val="00F5571F"/>
    <w:rsid w:val="00F5597C"/>
    <w:rsid w:val="00F56023"/>
    <w:rsid w:val="00F564D9"/>
    <w:rsid w:val="00F604FB"/>
    <w:rsid w:val="00F60D23"/>
    <w:rsid w:val="00F6134F"/>
    <w:rsid w:val="00F61389"/>
    <w:rsid w:val="00F6153F"/>
    <w:rsid w:val="00F61F02"/>
    <w:rsid w:val="00F634DB"/>
    <w:rsid w:val="00F6393D"/>
    <w:rsid w:val="00F6411D"/>
    <w:rsid w:val="00F64A70"/>
    <w:rsid w:val="00F64F00"/>
    <w:rsid w:val="00F650A9"/>
    <w:rsid w:val="00F65AFF"/>
    <w:rsid w:val="00F65FF5"/>
    <w:rsid w:val="00F66609"/>
    <w:rsid w:val="00F66D07"/>
    <w:rsid w:val="00F70140"/>
    <w:rsid w:val="00F70271"/>
    <w:rsid w:val="00F70421"/>
    <w:rsid w:val="00F70B1E"/>
    <w:rsid w:val="00F71C40"/>
    <w:rsid w:val="00F71CB1"/>
    <w:rsid w:val="00F71ED2"/>
    <w:rsid w:val="00F7249B"/>
    <w:rsid w:val="00F72521"/>
    <w:rsid w:val="00F72B77"/>
    <w:rsid w:val="00F734B7"/>
    <w:rsid w:val="00F734C1"/>
    <w:rsid w:val="00F739E6"/>
    <w:rsid w:val="00F73CAF"/>
    <w:rsid w:val="00F73FDB"/>
    <w:rsid w:val="00F76144"/>
    <w:rsid w:val="00F76556"/>
    <w:rsid w:val="00F766BA"/>
    <w:rsid w:val="00F76DD6"/>
    <w:rsid w:val="00F76EB1"/>
    <w:rsid w:val="00F775CF"/>
    <w:rsid w:val="00F7777F"/>
    <w:rsid w:val="00F77F48"/>
    <w:rsid w:val="00F80089"/>
    <w:rsid w:val="00F80504"/>
    <w:rsid w:val="00F80553"/>
    <w:rsid w:val="00F80D0C"/>
    <w:rsid w:val="00F811FA"/>
    <w:rsid w:val="00F81416"/>
    <w:rsid w:val="00F81BD3"/>
    <w:rsid w:val="00F821D9"/>
    <w:rsid w:val="00F82836"/>
    <w:rsid w:val="00F82F80"/>
    <w:rsid w:val="00F83D80"/>
    <w:rsid w:val="00F8424D"/>
    <w:rsid w:val="00F845E2"/>
    <w:rsid w:val="00F8563A"/>
    <w:rsid w:val="00F85654"/>
    <w:rsid w:val="00F861B8"/>
    <w:rsid w:val="00F86AFC"/>
    <w:rsid w:val="00F877C3"/>
    <w:rsid w:val="00F87B92"/>
    <w:rsid w:val="00F87D0E"/>
    <w:rsid w:val="00F90742"/>
    <w:rsid w:val="00F90C4E"/>
    <w:rsid w:val="00F9353A"/>
    <w:rsid w:val="00F94621"/>
    <w:rsid w:val="00F95748"/>
    <w:rsid w:val="00F96AB7"/>
    <w:rsid w:val="00F96EAF"/>
    <w:rsid w:val="00F96F2E"/>
    <w:rsid w:val="00F97B32"/>
    <w:rsid w:val="00F97CEE"/>
    <w:rsid w:val="00F97E2F"/>
    <w:rsid w:val="00FA03DA"/>
    <w:rsid w:val="00FA03F1"/>
    <w:rsid w:val="00FA0A3D"/>
    <w:rsid w:val="00FA0F1C"/>
    <w:rsid w:val="00FA1051"/>
    <w:rsid w:val="00FA15B2"/>
    <w:rsid w:val="00FA176B"/>
    <w:rsid w:val="00FA1ACA"/>
    <w:rsid w:val="00FA1B3F"/>
    <w:rsid w:val="00FA29B1"/>
    <w:rsid w:val="00FA2C13"/>
    <w:rsid w:val="00FA3609"/>
    <w:rsid w:val="00FA4185"/>
    <w:rsid w:val="00FA4512"/>
    <w:rsid w:val="00FA46D5"/>
    <w:rsid w:val="00FA5769"/>
    <w:rsid w:val="00FA59BC"/>
    <w:rsid w:val="00FA642A"/>
    <w:rsid w:val="00FA667B"/>
    <w:rsid w:val="00FA7F48"/>
    <w:rsid w:val="00FB00D3"/>
    <w:rsid w:val="00FB025A"/>
    <w:rsid w:val="00FB0F0C"/>
    <w:rsid w:val="00FB16A1"/>
    <w:rsid w:val="00FB19A9"/>
    <w:rsid w:val="00FB1BE5"/>
    <w:rsid w:val="00FB223C"/>
    <w:rsid w:val="00FB28B2"/>
    <w:rsid w:val="00FB4133"/>
    <w:rsid w:val="00FB4524"/>
    <w:rsid w:val="00FB5B78"/>
    <w:rsid w:val="00FB601E"/>
    <w:rsid w:val="00FB6464"/>
    <w:rsid w:val="00FB6684"/>
    <w:rsid w:val="00FB6F6C"/>
    <w:rsid w:val="00FB7073"/>
    <w:rsid w:val="00FC0531"/>
    <w:rsid w:val="00FC072C"/>
    <w:rsid w:val="00FC0A8A"/>
    <w:rsid w:val="00FC0FE7"/>
    <w:rsid w:val="00FC13BF"/>
    <w:rsid w:val="00FC1A39"/>
    <w:rsid w:val="00FC1CEF"/>
    <w:rsid w:val="00FC205D"/>
    <w:rsid w:val="00FC2F97"/>
    <w:rsid w:val="00FC3100"/>
    <w:rsid w:val="00FC331C"/>
    <w:rsid w:val="00FC3727"/>
    <w:rsid w:val="00FC4745"/>
    <w:rsid w:val="00FC4BE4"/>
    <w:rsid w:val="00FC51AA"/>
    <w:rsid w:val="00FC5AAA"/>
    <w:rsid w:val="00FC611B"/>
    <w:rsid w:val="00FC6FA8"/>
    <w:rsid w:val="00FC7004"/>
    <w:rsid w:val="00FC7396"/>
    <w:rsid w:val="00FC7EF9"/>
    <w:rsid w:val="00FD0175"/>
    <w:rsid w:val="00FD0643"/>
    <w:rsid w:val="00FD07A4"/>
    <w:rsid w:val="00FD1823"/>
    <w:rsid w:val="00FD2484"/>
    <w:rsid w:val="00FD24A7"/>
    <w:rsid w:val="00FD2A01"/>
    <w:rsid w:val="00FD389B"/>
    <w:rsid w:val="00FD3B3F"/>
    <w:rsid w:val="00FD416F"/>
    <w:rsid w:val="00FD49E5"/>
    <w:rsid w:val="00FD4CD7"/>
    <w:rsid w:val="00FD552C"/>
    <w:rsid w:val="00FD5804"/>
    <w:rsid w:val="00FD7490"/>
    <w:rsid w:val="00FD78DC"/>
    <w:rsid w:val="00FD7F32"/>
    <w:rsid w:val="00FE0453"/>
    <w:rsid w:val="00FE0951"/>
    <w:rsid w:val="00FE1315"/>
    <w:rsid w:val="00FE183E"/>
    <w:rsid w:val="00FE1AD1"/>
    <w:rsid w:val="00FE1BBD"/>
    <w:rsid w:val="00FE1FD1"/>
    <w:rsid w:val="00FE2419"/>
    <w:rsid w:val="00FE3359"/>
    <w:rsid w:val="00FE3B78"/>
    <w:rsid w:val="00FE3DC5"/>
    <w:rsid w:val="00FE42A1"/>
    <w:rsid w:val="00FE4F3D"/>
    <w:rsid w:val="00FE64FE"/>
    <w:rsid w:val="00FE6C38"/>
    <w:rsid w:val="00FE7118"/>
    <w:rsid w:val="00FE7DCF"/>
    <w:rsid w:val="00FE7DDC"/>
    <w:rsid w:val="00FE7FDF"/>
    <w:rsid w:val="00FF1211"/>
    <w:rsid w:val="00FF17F6"/>
    <w:rsid w:val="00FF266C"/>
    <w:rsid w:val="00FF2D81"/>
    <w:rsid w:val="00FF2DA0"/>
    <w:rsid w:val="00FF508B"/>
    <w:rsid w:val="00FF52D2"/>
    <w:rsid w:val="00FF5C53"/>
    <w:rsid w:val="00FF70FB"/>
    <w:rsid w:val="00FF7F9A"/>
    <w:rsid w:val="042BF9C4"/>
    <w:rsid w:val="04C80436"/>
    <w:rsid w:val="0663D497"/>
    <w:rsid w:val="0989C076"/>
    <w:rsid w:val="0C61B5CB"/>
    <w:rsid w:val="0DDA36FA"/>
    <w:rsid w:val="1681E5E7"/>
    <w:rsid w:val="1694CE81"/>
    <w:rsid w:val="181DB648"/>
    <w:rsid w:val="2060904A"/>
    <w:rsid w:val="22C15E57"/>
    <w:rsid w:val="26A8FA0D"/>
    <w:rsid w:val="29EA8093"/>
    <w:rsid w:val="2B6D4E9E"/>
    <w:rsid w:val="2FA7CEE5"/>
    <w:rsid w:val="3243F69E"/>
    <w:rsid w:val="379760B5"/>
    <w:rsid w:val="386F582F"/>
    <w:rsid w:val="39DF9D4D"/>
    <w:rsid w:val="3B07EDF9"/>
    <w:rsid w:val="3B35EF0D"/>
    <w:rsid w:val="3B7B6DAE"/>
    <w:rsid w:val="3CBA4DB3"/>
    <w:rsid w:val="459C7E0A"/>
    <w:rsid w:val="4C223A96"/>
    <w:rsid w:val="4CE03DB6"/>
    <w:rsid w:val="502B6521"/>
    <w:rsid w:val="53B548AC"/>
    <w:rsid w:val="55806FFF"/>
    <w:rsid w:val="558D79D5"/>
    <w:rsid w:val="613C989E"/>
    <w:rsid w:val="614503B2"/>
    <w:rsid w:val="633B3FD0"/>
    <w:rsid w:val="637E6C5C"/>
    <w:rsid w:val="693EE1EF"/>
    <w:rsid w:val="69D056A2"/>
    <w:rsid w:val="6B6F4394"/>
    <w:rsid w:val="7030CFD6"/>
    <w:rsid w:val="71F33F97"/>
    <w:rsid w:val="72A14E97"/>
    <w:rsid w:val="74CCAC95"/>
    <w:rsid w:val="762DFD66"/>
    <w:rsid w:val="7A5985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545FCF"/>
  <w15:docId w15:val="{0B22F75C-2BF9-4A29-8039-36CD70FB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de-DE" w:eastAsia="de-DE" w:bidi="ar-SA"/>
      </w:rPr>
    </w:rPrDefault>
    <w:pPrDefault/>
  </w:docDefaults>
  <w:latentStyles w:defLockedState="1"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lsdException w:name="annotation text" w:semiHidden="1" w:uiPriority="99"/>
    <w:lsdException w:name="header" w:uiPriority="2"/>
    <w:lsdException w:name="footer" w:uiPriority="2"/>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iPriority="99"/>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link w:val="PagedecouvertureChar"/>
    <w:rsid w:val="002D4B2B"/>
    <w:pPr>
      <w:spacing w:after="0"/>
    </w:pPr>
  </w:style>
  <w:style w:type="paragraph" w:customStyle="1" w:styleId="FooterCoverPage">
    <w:name w:val="Footer Cover Page"/>
    <w:basedOn w:val="Normal"/>
    <w:link w:val="FooterCoverPageChar"/>
    <w:rsid w:val="002D4B2B"/>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sid w:val="002D4B2B"/>
  </w:style>
  <w:style w:type="paragraph" w:customStyle="1" w:styleId="HeaderCoverPage">
    <w:name w:val="Header Cover Page"/>
    <w:basedOn w:val="Normal"/>
    <w:link w:val="HeaderCoverPageChar"/>
    <w:rsid w:val="002D4B2B"/>
    <w:pPr>
      <w:tabs>
        <w:tab w:val="center" w:pos="4535"/>
        <w:tab w:val="right" w:pos="9071"/>
      </w:tabs>
      <w:spacing w:after="120"/>
    </w:pPr>
  </w:style>
  <w:style w:type="character" w:customStyle="1" w:styleId="HeaderCoverPageChar">
    <w:name w:val="Header Cover Page Char"/>
    <w:link w:val="HeaderCoverPage"/>
    <w:rsid w:val="002D4B2B"/>
  </w:style>
  <w:style w:type="paragraph" w:styleId="ListParagraph">
    <w:name w:val="List Paragraph"/>
    <w:basedOn w:val="Normal"/>
    <w:uiPriority w:val="34"/>
    <w:qFormat/>
    <w:locked/>
    <w:rsid w:val="002D4B2B"/>
    <w:pPr>
      <w:spacing w:after="160" w:line="259" w:lineRule="auto"/>
      <w:ind w:left="720"/>
      <w:contextualSpacing/>
      <w:jc w:val="left"/>
    </w:pPr>
    <w:rPr>
      <w:rFonts w:ascii="Calibri" w:eastAsia="Calibri" w:hAnsi="Calibri"/>
      <w:sz w:val="22"/>
    </w:rPr>
  </w:style>
  <w:style w:type="character" w:customStyle="1" w:styleId="Heading1Char">
    <w:name w:val="Heading 1 Char"/>
    <w:rsid w:val="002D4B2B"/>
    <w:rPr>
      <w:b/>
      <w:smallCaps/>
    </w:rPr>
  </w:style>
  <w:style w:type="character" w:customStyle="1" w:styleId="FootnoteTextChar">
    <w:name w:val="Footnote Text Char"/>
    <w:uiPriority w:val="99"/>
    <w:rsid w:val="002D4B2B"/>
    <w:rPr>
      <w:sz w:val="20"/>
    </w:rPr>
  </w:style>
  <w:style w:type="character" w:styleId="FootnoteReference">
    <w:name w:val="footnote reference"/>
    <w:uiPriority w:val="99"/>
    <w:locked/>
    <w:rsid w:val="002D4B2B"/>
    <w:rPr>
      <w:vertAlign w:val="superscript"/>
    </w:rPr>
  </w:style>
  <w:style w:type="character" w:styleId="Hyperlink">
    <w:name w:val="Hyperlink"/>
    <w:locked/>
    <w:rsid w:val="002D4B2B"/>
    <w:rPr>
      <w:color w:val="0563C1"/>
      <w:u w:val="single"/>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uiPriority w:val="35"/>
    <w:qFormat/>
    <w:pPr>
      <w:spacing w:before="160"/>
    </w:pPr>
    <w:rPr>
      <w:i/>
      <w:sz w:val="22"/>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styleId="FootnoteText">
    <w:name w:val="footnote text"/>
    <w:basedOn w:val="Normal"/>
    <w:uiPriority w:val="99"/>
    <w:unhideWhenUsed/>
    <w:pPr>
      <w:spacing w:after="120"/>
      <w:ind w:left="357" w:hanging="357"/>
    </w:pPr>
    <w:rPr>
      <w:sz w:val="20"/>
    </w:rPr>
  </w:style>
  <w:style w:type="paragraph" w:customStyle="1" w:styleId="HistoryTable">
    <w:name w:val="HistoryTable"/>
    <w:basedOn w:val="Normal"/>
    <w:uiPriority w:val="2"/>
    <w:pPr>
      <w:spacing w:before="60" w:after="60"/>
      <w:jc w:val="left"/>
    </w:pPr>
    <w:rPr>
      <w:sz w:val="20"/>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680"/>
      <w:contextualSpacing/>
      <w:jc w:val="left"/>
    </w:pPr>
    <w:rPr>
      <w:sz w:val="28"/>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Title1">
    <w:name w:val="SubTitle 1"/>
    <w:basedOn w:val="Normal"/>
    <w:next w:val="SubTitle2"/>
    <w:uiPriority w:val="1"/>
    <w:qFormat/>
    <w:pPr>
      <w:jc w:val="center"/>
    </w:pPr>
    <w:rPr>
      <w:b/>
      <w:sz w:val="40"/>
    </w:rPr>
  </w:style>
  <w:style w:type="paragraph" w:customStyle="1" w:styleId="SubTitle2">
    <w:name w:val="SubTitle 2"/>
    <w:basedOn w:val="Normal"/>
    <w:uiPriority w:val="1"/>
    <w:qFormat/>
    <w:pPr>
      <w:jc w:val="center"/>
    </w:pPr>
    <w:rPr>
      <w:b/>
      <w:sz w:val="32"/>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unhideWhenUsed/>
    <w:pPr>
      <w:keepNext/>
      <w:spacing w:after="120"/>
    </w:pPr>
    <w:rPr>
      <w:b/>
      <w:i/>
    </w:rPr>
  </w:style>
  <w:style w:type="paragraph" w:customStyle="1" w:styleId="TableTitle1">
    <w:name w:val="Table Title 1"/>
    <w:basedOn w:val="Text1"/>
    <w:uiPriority w:val="1"/>
    <w:unhideWhenUsed/>
    <w:pPr>
      <w:keepNext/>
      <w:spacing w:after="120"/>
    </w:pPr>
    <w:rPr>
      <w:b/>
      <w:i/>
    </w:rPr>
  </w:style>
  <w:style w:type="paragraph" w:customStyle="1" w:styleId="TableTitle2">
    <w:name w:val="Table Title 2"/>
    <w:basedOn w:val="Text2"/>
    <w:uiPriority w:val="1"/>
    <w:unhideWhenUsed/>
    <w:pPr>
      <w:keepNext/>
      <w:spacing w:after="120"/>
    </w:pPr>
    <w:rPr>
      <w:b/>
      <w:i/>
    </w:rPr>
  </w:style>
  <w:style w:type="paragraph" w:customStyle="1" w:styleId="TableTitle3">
    <w:name w:val="Table Title 3"/>
    <w:basedOn w:val="Text3"/>
    <w:uiPriority w:val="1"/>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202"/>
    </w:pPr>
  </w:style>
  <w:style w:type="paragraph" w:customStyle="1" w:styleId="Text3">
    <w:name w:val="Text 3"/>
    <w:basedOn w:val="Normal"/>
    <w:uiPriority w:val="1"/>
    <w:qFormat/>
    <w:pPr>
      <w:ind w:left="1202"/>
    </w:pPr>
  </w:style>
  <w:style w:type="paragraph" w:customStyle="1" w:styleId="Text4">
    <w:name w:val="Text 4"/>
    <w:basedOn w:val="Normal"/>
    <w:uiPriority w:val="1"/>
    <w:qFormat/>
    <w:pPr>
      <w:ind w:left="1202"/>
    </w:pPr>
  </w:style>
  <w:style w:type="paragraph" w:styleId="Title">
    <w:name w:val="Title"/>
    <w:basedOn w:val="Normal"/>
    <w:next w:val="SubTitle1"/>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202" w:type="dxa"/>
    </w:tblPr>
    <w:tblStylePr w:type="firstRow">
      <w:rPr>
        <w:b/>
      </w:rPr>
      <w:tblPr/>
      <w:trPr>
        <w:cantSplit/>
        <w:tblHeader/>
      </w:trPr>
    </w:tblStylePr>
  </w:style>
  <w:style w:type="table" w:customStyle="1" w:styleId="EurolookTable3">
    <w:name w:val="Eurolook Table 3"/>
    <w:basedOn w:val="EurolookTable"/>
    <w:semiHidden/>
    <w:unhideWhenUsed/>
    <w:tblPr>
      <w:tblInd w:w="1202" w:type="dxa"/>
    </w:tblPr>
    <w:tblStylePr w:type="firstRow">
      <w:rPr>
        <w:b/>
      </w:rPr>
      <w:tblPr/>
      <w:trPr>
        <w:cantSplit/>
        <w:tblHeader/>
      </w:trPr>
    </w:tblStylePr>
  </w:style>
  <w:style w:type="table" w:customStyle="1" w:styleId="EurolookTable4">
    <w:name w:val="Eurolook Table 4"/>
    <w:basedOn w:val="EurolookTable"/>
    <w:semiHidden/>
    <w:unhideWhenUsed/>
    <w:tblPr>
      <w:tblInd w:w="1202"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style>
  <w:style w:type="table" w:styleId="TableGrid">
    <w:name w:val="Table Grid"/>
    <w:uiPriority w:val="3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line="264"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character" w:styleId="CommentReference">
    <w:name w:val="annotation reference"/>
    <w:basedOn w:val="DefaultParagraphFont"/>
    <w:uiPriority w:val="99"/>
    <w:semiHidden/>
    <w:unhideWhenUsed/>
    <w:locked/>
    <w:rsid w:val="00D161B4"/>
    <w:rPr>
      <w:sz w:val="16"/>
    </w:rPr>
  </w:style>
  <w:style w:type="paragraph" w:styleId="CommentText">
    <w:name w:val="annotation text"/>
    <w:basedOn w:val="Normal"/>
    <w:link w:val="CommentTextChar"/>
    <w:uiPriority w:val="99"/>
    <w:unhideWhenUsed/>
    <w:locked/>
    <w:rsid w:val="00D161B4"/>
    <w:pPr>
      <w:spacing w:after="120"/>
    </w:pPr>
    <w:rPr>
      <w:rFonts w:eastAsiaTheme="minorHAnsi"/>
      <w:sz w:val="20"/>
    </w:rPr>
  </w:style>
  <w:style w:type="character" w:customStyle="1" w:styleId="CommentTextChar">
    <w:name w:val="Comment Text Char"/>
    <w:basedOn w:val="DefaultParagraphFont"/>
    <w:link w:val="CommentText"/>
    <w:uiPriority w:val="99"/>
    <w:rsid w:val="00D161B4"/>
    <w:rPr>
      <w:rFonts w:eastAsiaTheme="minorHAnsi"/>
      <w:sz w:val="20"/>
    </w:rPr>
  </w:style>
  <w:style w:type="character" w:styleId="Emphasis">
    <w:name w:val="Emphasis"/>
    <w:basedOn w:val="DefaultParagraphFont"/>
    <w:uiPriority w:val="20"/>
    <w:qFormat/>
    <w:locked/>
    <w:rsid w:val="00FE64FE"/>
    <w:rPr>
      <w:i/>
    </w:rPr>
  </w:style>
  <w:style w:type="character" w:customStyle="1" w:styleId="Marker">
    <w:name w:val="Marker"/>
    <w:basedOn w:val="DefaultParagraphFont"/>
    <w:rsid w:val="00A0162B"/>
    <w:rPr>
      <w:color w:val="0000FF"/>
      <w:shd w:val="clear" w:color="auto" w:fill="auto"/>
    </w:rPr>
  </w:style>
  <w:style w:type="paragraph" w:customStyle="1" w:styleId="FooterSensitivity">
    <w:name w:val="Footer Sensitivity"/>
    <w:basedOn w:val="Normal"/>
    <w:link w:val="FooterSensitivityChar"/>
    <w:rsid w:val="00A0162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sid w:val="00A0162B"/>
  </w:style>
  <w:style w:type="character" w:customStyle="1" w:styleId="FooterSensitivityChar">
    <w:name w:val="Footer Sensitivity Char"/>
    <w:basedOn w:val="PagedecouvertureChar"/>
    <w:link w:val="FooterSensitivity"/>
    <w:rsid w:val="00A0162B"/>
    <w:rPr>
      <w:b/>
      <w:sz w:val="32"/>
    </w:rPr>
  </w:style>
  <w:style w:type="paragraph" w:customStyle="1" w:styleId="HeaderSensitivity">
    <w:name w:val="Header Sensitivity"/>
    <w:basedOn w:val="Normal"/>
    <w:link w:val="HeaderSensitivityChar"/>
    <w:rsid w:val="00A0162B"/>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sid w:val="00A0162B"/>
    <w:rPr>
      <w:b/>
      <w:sz w:val="32"/>
    </w:rPr>
  </w:style>
  <w:style w:type="paragraph" w:customStyle="1" w:styleId="HeaderSensitivityRight">
    <w:name w:val="Header Sensitivity Right"/>
    <w:basedOn w:val="Normal"/>
    <w:link w:val="HeaderSensitivityRightChar"/>
    <w:rsid w:val="00A0162B"/>
    <w:pPr>
      <w:spacing w:after="120"/>
      <w:jc w:val="right"/>
    </w:pPr>
    <w:rPr>
      <w:sz w:val="28"/>
    </w:rPr>
  </w:style>
  <w:style w:type="character" w:customStyle="1" w:styleId="HeaderSensitivityRightChar">
    <w:name w:val="Header Sensitivity Right Char"/>
    <w:basedOn w:val="PagedecouvertureChar"/>
    <w:link w:val="HeaderSensitivityRight"/>
    <w:rsid w:val="00A0162B"/>
    <w:rPr>
      <w:sz w:val="28"/>
    </w:rPr>
  </w:style>
  <w:style w:type="paragraph" w:styleId="Revision">
    <w:name w:val="Revision"/>
    <w:hidden/>
    <w:semiHidden/>
    <w:locked/>
    <w:rsid w:val="00B74233"/>
  </w:style>
  <w:style w:type="paragraph" w:styleId="CommentSubject">
    <w:name w:val="annotation subject"/>
    <w:basedOn w:val="CommentText"/>
    <w:next w:val="CommentText"/>
    <w:link w:val="CommentSubjectChar"/>
    <w:semiHidden/>
    <w:locked/>
    <w:rsid w:val="00B74233"/>
    <w:pPr>
      <w:spacing w:after="240"/>
    </w:pPr>
    <w:rPr>
      <w:b/>
    </w:rPr>
  </w:style>
  <w:style w:type="character" w:customStyle="1" w:styleId="CommentSubjectChar">
    <w:name w:val="Comment Subject Char"/>
    <w:basedOn w:val="CommentTextChar"/>
    <w:link w:val="CommentSubject"/>
    <w:semiHidden/>
    <w:rsid w:val="00B74233"/>
    <w:rPr>
      <w:rFonts w:eastAsiaTheme="minorHAnsi"/>
      <w:b/>
      <w:sz w:val="20"/>
    </w:rPr>
  </w:style>
  <w:style w:type="table" w:styleId="PlainTable1">
    <w:name w:val="Plain Table 1"/>
    <w:basedOn w:val="TableNormal"/>
    <w:locked/>
    <w:rsid w:val="00FC700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tblStylePr w:type="lastRow">
      <w:rPr>
        <w:b/>
      </w:rPr>
      <w:tblPr/>
      <w:tcPr>
        <w:tcBorders>
          <w:top w:val="double" w:sz="4" w:space="0" w:color="BFBFBF" w:themeColor="background1" w:themeShade="BF"/>
        </w:tcBorders>
      </w:tc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locked/>
    <w:rsid w:val="00DA3849"/>
    <w:tblPr>
      <w:tblStyleRowBandSize w:val="1"/>
      <w:tblStyleColBandSize w:val="1"/>
      <w:tblBorders>
        <w:top w:val="single" w:sz="4" w:space="0" w:color="7F7F7F" w:themeColor="text1" w:themeTint="80"/>
        <w:bottom w:val="single" w:sz="4" w:space="0" w:color="7F7F7F" w:themeColor="text1" w:themeTint="80"/>
      </w:tblBorders>
    </w:tblPr>
    <w:tblStylePr w:type="firstRow">
      <w:rPr>
        <w:b/>
      </w:rPr>
      <w:tblPr/>
      <w:tcPr>
        <w:tcBorders>
          <w:bottom w:val="single" w:sz="4" w:space="0" w:color="7F7F7F" w:themeColor="text1" w:themeTint="80"/>
        </w:tcBorders>
      </w:tcPr>
    </w:tblStylePr>
    <w:tblStylePr w:type="lastRow">
      <w:rPr>
        <w:b/>
      </w:rPr>
      <w:tblPr/>
      <w:tcPr>
        <w:tcBorders>
          <w:top w:val="single" w:sz="4" w:space="0" w:color="7F7F7F" w:themeColor="text1" w:themeTint="80"/>
        </w:tcBorders>
      </w:tcPr>
    </w:tblStylePr>
    <w:tblStylePr w:type="firstCol">
      <w:rPr>
        <w:b/>
      </w:rPr>
    </w:tblStylePr>
    <w:tblStylePr w:type="lastCol">
      <w:rPr>
        <w:b/>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locked/>
    <w:rsid w:val="00DA384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character" w:customStyle="1" w:styleId="UnresolvedMention1">
    <w:name w:val="Unresolved Mention1"/>
    <w:basedOn w:val="DefaultParagraphFont"/>
    <w:semiHidden/>
    <w:locked/>
    <w:rsid w:val="00CE4FCA"/>
    <w:rPr>
      <w:color w:val="605E5C"/>
      <w:shd w:val="clear" w:color="auto" w:fill="E1DFDD"/>
    </w:rPr>
  </w:style>
  <w:style w:type="character" w:customStyle="1" w:styleId="Mention1">
    <w:name w:val="Mention1"/>
    <w:basedOn w:val="DefaultParagraphFont"/>
    <w:semiHidden/>
    <w:locked/>
    <w:rsid w:val="00CE4FCA"/>
    <w:rPr>
      <w:color w:val="2B579A"/>
      <w:shd w:val="clear" w:color="auto" w:fill="E1DFDD"/>
    </w:rPr>
  </w:style>
  <w:style w:type="paragraph" w:styleId="BalloonText">
    <w:name w:val="Balloon Text"/>
    <w:basedOn w:val="Normal"/>
    <w:link w:val="BalloonTextChar"/>
    <w:semiHidden/>
    <w:locked/>
    <w:rsid w:val="00CE4FCA"/>
    <w:pPr>
      <w:spacing w:after="0"/>
    </w:pPr>
    <w:rPr>
      <w:rFonts w:ascii="Segoe UI" w:hAnsi="Segoe UI" w:cs="Segoe UI"/>
      <w:sz w:val="18"/>
    </w:rPr>
  </w:style>
  <w:style w:type="character" w:customStyle="1" w:styleId="BalloonTextChar">
    <w:name w:val="Balloon Text Char"/>
    <w:basedOn w:val="DefaultParagraphFont"/>
    <w:link w:val="BalloonText"/>
    <w:semiHidden/>
    <w:rsid w:val="00CE4FCA"/>
    <w:rPr>
      <w:rFonts w:ascii="Segoe UI" w:hAnsi="Segoe UI" w:cs="Segoe UI"/>
      <w:sz w:val="18"/>
    </w:rPr>
  </w:style>
  <w:style w:type="character" w:customStyle="1" w:styleId="UnresolvedMention2">
    <w:name w:val="Unresolved Mention2"/>
    <w:basedOn w:val="DefaultParagraphFont"/>
    <w:semiHidden/>
    <w:rsid w:val="008210DE"/>
    <w:rPr>
      <w:color w:val="605E5C"/>
      <w:shd w:val="clear" w:color="auto" w:fill="E1DFDD"/>
    </w:rPr>
  </w:style>
  <w:style w:type="character" w:styleId="FollowedHyperlink">
    <w:name w:val="FollowedHyperlink"/>
    <w:basedOn w:val="DefaultParagraphFont"/>
    <w:semiHidden/>
    <w:locked/>
    <w:rsid w:val="004F4263"/>
    <w:rPr>
      <w:color w:val="954F72" w:themeColor="followedHyperlink"/>
      <w:u w:val="single"/>
    </w:rPr>
  </w:style>
  <w:style w:type="paragraph" w:customStyle="1" w:styleId="pf0">
    <w:name w:val="pf0"/>
    <w:basedOn w:val="Normal"/>
    <w:rsid w:val="00E91BFA"/>
    <w:pPr>
      <w:spacing w:before="100" w:beforeAutospacing="1" w:after="100" w:afterAutospacing="1"/>
      <w:jc w:val="left"/>
    </w:pPr>
  </w:style>
  <w:style w:type="character" w:customStyle="1" w:styleId="cf01">
    <w:name w:val="cf01"/>
    <w:basedOn w:val="DefaultParagraphFont"/>
    <w:rsid w:val="00E91BFA"/>
    <w:rPr>
      <w:rFonts w:ascii="Segoe UI" w:hAnsi="Segoe UI" w:cs="Segoe UI" w:hint="default"/>
      <w:sz w:val="18"/>
    </w:rPr>
  </w:style>
  <w:style w:type="paragraph" w:styleId="HTMLPreformatted">
    <w:name w:val="HTML Preformatted"/>
    <w:basedOn w:val="Normal"/>
    <w:link w:val="HTMLPreformattedChar"/>
    <w:uiPriority w:val="99"/>
    <w:semiHidden/>
    <w:unhideWhenUsed/>
    <w:locked/>
    <w:rsid w:val="00A82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A82004"/>
    <w:rPr>
      <w:rFonts w:ascii="Courier New" w:hAnsi="Courier New" w:cs="Courier New"/>
      <w:sz w:val="20"/>
    </w:rPr>
  </w:style>
  <w:style w:type="character" w:customStyle="1" w:styleId="UnresolvedMention">
    <w:name w:val="Unresolved Mention"/>
    <w:basedOn w:val="DefaultParagraphFont"/>
    <w:uiPriority w:val="99"/>
    <w:semiHidden/>
    <w:unhideWhenUsed/>
    <w:rsid w:val="00582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19760">
      <w:bodyDiv w:val="1"/>
      <w:marLeft w:val="0"/>
      <w:marRight w:val="0"/>
      <w:marTop w:val="0"/>
      <w:marBottom w:val="0"/>
      <w:divBdr>
        <w:top w:val="none" w:sz="0" w:space="0" w:color="auto"/>
        <w:left w:val="none" w:sz="0" w:space="0" w:color="auto"/>
        <w:bottom w:val="none" w:sz="0" w:space="0" w:color="auto"/>
        <w:right w:val="none" w:sz="0" w:space="0" w:color="auto"/>
      </w:divBdr>
    </w:div>
    <w:div w:id="584268723">
      <w:bodyDiv w:val="1"/>
      <w:marLeft w:val="0"/>
      <w:marRight w:val="0"/>
      <w:marTop w:val="0"/>
      <w:marBottom w:val="0"/>
      <w:divBdr>
        <w:top w:val="none" w:sz="0" w:space="0" w:color="auto"/>
        <w:left w:val="none" w:sz="0" w:space="0" w:color="auto"/>
        <w:bottom w:val="none" w:sz="0" w:space="0" w:color="auto"/>
        <w:right w:val="none" w:sz="0" w:space="0" w:color="auto"/>
      </w:divBdr>
    </w:div>
    <w:div w:id="728307399">
      <w:bodyDiv w:val="1"/>
      <w:marLeft w:val="0"/>
      <w:marRight w:val="0"/>
      <w:marTop w:val="0"/>
      <w:marBottom w:val="0"/>
      <w:divBdr>
        <w:top w:val="none" w:sz="0" w:space="0" w:color="auto"/>
        <w:left w:val="none" w:sz="0" w:space="0" w:color="auto"/>
        <w:bottom w:val="none" w:sz="0" w:space="0" w:color="auto"/>
        <w:right w:val="none" w:sz="0" w:space="0" w:color="auto"/>
      </w:divBdr>
      <w:divsChild>
        <w:div w:id="1971744763">
          <w:marLeft w:val="0"/>
          <w:marRight w:val="0"/>
          <w:marTop w:val="0"/>
          <w:marBottom w:val="0"/>
          <w:divBdr>
            <w:top w:val="none" w:sz="0" w:space="0" w:color="auto"/>
            <w:left w:val="none" w:sz="0" w:space="0" w:color="auto"/>
            <w:bottom w:val="none" w:sz="0" w:space="0" w:color="auto"/>
            <w:right w:val="none" w:sz="0" w:space="0" w:color="auto"/>
          </w:divBdr>
        </w:div>
      </w:divsChild>
    </w:div>
    <w:div w:id="1069427370">
      <w:bodyDiv w:val="1"/>
      <w:marLeft w:val="0"/>
      <w:marRight w:val="0"/>
      <w:marTop w:val="0"/>
      <w:marBottom w:val="0"/>
      <w:divBdr>
        <w:top w:val="none" w:sz="0" w:space="0" w:color="auto"/>
        <w:left w:val="none" w:sz="0" w:space="0" w:color="auto"/>
        <w:bottom w:val="none" w:sz="0" w:space="0" w:color="auto"/>
        <w:right w:val="none" w:sz="0" w:space="0" w:color="auto"/>
      </w:divBdr>
    </w:div>
    <w:div w:id="190494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5.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2.png"/><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eea.europa.eu/data-and-maps/data/data-viewers/greenhouse-gases-viewe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815048118985127"/>
          <c:y val="1.7852984821957879E-2"/>
          <c:w val="0.85338949180482004"/>
          <c:h val="0.8290856044596433"/>
        </c:manualLayout>
      </c:layout>
      <c:barChart>
        <c:barDir val="col"/>
        <c:grouping val="clustered"/>
        <c:varyColors val="0"/>
        <c:ser>
          <c:idx val="0"/>
          <c:order val="0"/>
          <c:tx>
            <c:strRef>
              <c:f>Sheet2!$B$2</c:f>
              <c:strCache>
                <c:ptCount val="1"/>
                <c:pt idx="0">
                  <c:v>tatsächlich</c:v>
                </c:pt>
              </c:strCache>
            </c:strRef>
          </c:tx>
          <c:spPr>
            <a:solidFill>
              <a:srgbClr val="3274A1"/>
            </a:solidFill>
            <a:ln>
              <a:noFill/>
            </a:ln>
            <a:effectLst/>
          </c:spPr>
          <c:invertIfNegative val="0"/>
          <c:dPt>
            <c:idx val="0"/>
            <c:invertIfNegative val="0"/>
            <c:bubble3D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8217-4337-A91D-6554F45C908E}"/>
              </c:ext>
            </c:extLst>
          </c:dPt>
          <c:cat>
            <c:strRef>
              <c:f>(Sheet2!$A$2,Sheet2!$A$4,Sheet2!$A$6,Sheet2!$A$8)</c:f>
              <c:strCache>
                <c:ptCount val="4"/>
                <c:pt idx="0">
                  <c:v>Benzin</c:v>
                </c:pt>
                <c:pt idx="1">
                  <c:v>Diesel</c:v>
                </c:pt>
                <c:pt idx="2">
                  <c:v>Plug-in-Hybrid (Benzin)</c:v>
                </c:pt>
                <c:pt idx="3">
                  <c:v>Plug-in-Hybrid (Diesel)</c:v>
                </c:pt>
              </c:strCache>
            </c:strRef>
          </c:cat>
          <c:val>
            <c:numRef>
              <c:f>(Sheet2!$C$2,Sheet2!$C$4,Sheet2!$C$6,Sheet2!$C$8)</c:f>
              <c:numCache>
                <c:formatCode>General</c:formatCode>
                <c:ptCount val="4"/>
                <c:pt idx="0">
                  <c:v>179.8</c:v>
                </c:pt>
                <c:pt idx="1">
                  <c:v>181</c:v>
                </c:pt>
                <c:pt idx="2">
                  <c:v>135.9</c:v>
                </c:pt>
                <c:pt idx="3">
                  <c:v>153.30000000000001</c:v>
                </c:pt>
              </c:numCache>
            </c:numRef>
          </c:val>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8217-4337-A91D-6554F45C908E}"/>
            </c:ext>
          </c:extLst>
        </c:ser>
        <c:ser>
          <c:idx val="1"/>
          <c:order val="1"/>
          <c:tx>
            <c:strRef>
              <c:f>Sheet2!$B$3</c:f>
              <c:strCache>
                <c:ptCount val="1"/>
                <c:pt idx="0">
                  <c:v>WLTP</c:v>
                </c:pt>
              </c:strCache>
            </c:strRef>
          </c:tx>
          <c:spPr>
            <a:solidFill>
              <a:srgbClr val="E1812C"/>
            </a:solidFill>
            <a:ln>
              <a:noFill/>
            </a:ln>
            <a:effectLst/>
          </c:spPr>
          <c:invertIfNegative val="0"/>
          <c:cat>
            <c:strRef>
              <c:f>(Sheet2!$A$2,Sheet2!$A$4,Sheet2!$A$6,Sheet2!$A$8)</c:f>
              <c:strCache>
                <c:ptCount val="4"/>
                <c:pt idx="0">
                  <c:v>Benzin</c:v>
                </c:pt>
                <c:pt idx="1">
                  <c:v>Diesel</c:v>
                </c:pt>
                <c:pt idx="2">
                  <c:v>Plug-in-Hybrid (Benzin)</c:v>
                </c:pt>
                <c:pt idx="3">
                  <c:v>Plug-in-Hybrid (Diesel)</c:v>
                </c:pt>
              </c:strCache>
            </c:strRef>
          </c:cat>
          <c:val>
            <c:numRef>
              <c:f>(Sheet2!$C$3,Sheet2!$C$5,Sheet2!$C$7,Sheet2!$C$9)</c:f>
              <c:numCache>
                <c:formatCode>General</c:formatCode>
                <c:ptCount val="4"/>
                <c:pt idx="0">
                  <c:v>145.30000000000001</c:v>
                </c:pt>
                <c:pt idx="1">
                  <c:v>153.19999999999999</c:v>
                </c:pt>
                <c:pt idx="2">
                  <c:v>40.200000000000003</c:v>
                </c:pt>
                <c:pt idx="3">
                  <c:v>37.200000000000003</c:v>
                </c:pt>
              </c:numCache>
            </c:numRef>
          </c:val>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2-8217-4337-A91D-6554F45C908E}"/>
            </c:ext>
          </c:extLst>
        </c:ser>
        <c:dLbls>
          <c:showLegendKey val="0"/>
          <c:showVal val="0"/>
          <c:showCatName val="0"/>
          <c:showSerName val="0"/>
          <c:showPercent val="0"/>
          <c:showBubbleSize val="0"/>
        </c:dLbls>
        <c:gapWidth val="182"/>
        <c:axId val="288543488"/>
        <c:axId val="288545024"/>
      </c:barChart>
      <c:catAx>
        <c:axId val="288543488"/>
        <c:scaling>
          <c:orientation val="minMax"/>
        </c:scaling>
        <c:delete val="0"/>
        <c:axPos val="b"/>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88545024"/>
        <c:crosses val="autoZero"/>
        <c:auto val="1"/>
        <c:lblAlgn val="ctr"/>
        <c:lblOffset val="100"/>
        <c:noMultiLvlLbl val="0"/>
      </c:catAx>
      <c:valAx>
        <c:axId val="28854502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IE" sz="800" b="0">
                    <a:solidFill>
                      <a:sysClr val="windowText" lastClr="000000"/>
                    </a:solidFill>
                    <a:latin typeface="Arial" panose="020B0604020202020204" pitchFamily="34" charset="0"/>
                    <a:cs typeface="Arial" panose="020B0604020202020204" pitchFamily="34" charset="0"/>
                  </a:rPr>
                  <a:t>CO</a:t>
                </a:r>
                <a:r>
                  <a:rPr lang="en-IE" sz="800" b="0" baseline="-25000">
                    <a:solidFill>
                      <a:sysClr val="windowText" lastClr="000000"/>
                    </a:solidFill>
                    <a:latin typeface="Arial" panose="020B0604020202020204" pitchFamily="34" charset="0"/>
                    <a:cs typeface="Arial" panose="020B0604020202020204" pitchFamily="34" charset="0"/>
                  </a:rPr>
                  <a:t>2</a:t>
                </a:r>
                <a:r>
                  <a:rPr lang="en-IE" sz="800" b="0">
                    <a:solidFill>
                      <a:sysClr val="windowText" lastClr="000000"/>
                    </a:solidFill>
                    <a:latin typeface="Arial" panose="020B0604020202020204" pitchFamily="34" charset="0"/>
                    <a:cs typeface="Arial" panose="020B0604020202020204" pitchFamily="34" charset="0"/>
                  </a:rPr>
                  <a:t>-Emissionen (</a:t>
                </a:r>
                <a:r>
                  <a:rPr lang="en-IE"/>
                  <a:t>g CO</a:t>
                </a:r>
                <a:r>
                  <a:rPr lang="en-IE" baseline="-25000"/>
                  <a:t>2</a:t>
                </a:r>
                <a:r>
                  <a:rPr lang="en-IE"/>
                  <a:t>/km</a:t>
                </a:r>
                <a:r>
                  <a:rPr lang="en-IE" sz="800" b="0">
                    <a:solidFill>
                      <a:sysClr val="windowText" lastClr="000000"/>
                    </a:solidFill>
                    <a:latin typeface="Arial" panose="020B0604020202020204" pitchFamily="34" charset="0"/>
                    <a:cs typeface="Arial" panose="020B0604020202020204" pitchFamily="34" charset="0"/>
                  </a:rPr>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88543488"/>
        <c:crosses val="autoZero"/>
        <c:crossBetween val="between"/>
      </c:valAx>
      <c:spPr>
        <a:noFill/>
        <a:ln w="6350">
          <a:solidFill>
            <a:schemeClr val="tx1"/>
          </a:solidFill>
        </a:ln>
        <a:effectLst/>
      </c:spPr>
    </c:plotArea>
    <c:legend>
      <c:legendPos val="tr"/>
      <c:overlay val="0"/>
      <c:spPr>
        <a:noFill/>
        <a:ln w="3175">
          <a:solidFill>
            <a:schemeClr val="bg2">
              <a:lumMod val="90000"/>
            </a:schemeClr>
          </a:solidFill>
        </a:ln>
        <a:effectLst/>
      </c:spPr>
      <c:txPr>
        <a:bodyPr rot="0" spcFirstLastPara="1" vertOverflow="ellipsis" vert="horz" wrap="square" anchor="ctr" anchorCtr="1"/>
        <a:lstStyle/>
        <a:p>
          <a:pPr>
            <a:defRPr sz="8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27B8ECEBCC47669D27D87F4B3EC816"/>
        <w:category>
          <w:name w:val="General"/>
          <w:gallery w:val="placeholder"/>
        </w:category>
        <w:types>
          <w:type w:val="bbPlcHdr"/>
        </w:types>
        <w:behaviors>
          <w:behavior w:val="content"/>
        </w:behaviors>
        <w:guid w:val="{4D685635-2749-4F02-B6E1-40C1167A22F9}"/>
      </w:docPartPr>
      <w:docPartBody>
        <w:p w:rsidR="004D3A1E" w:rsidRDefault="004D3A1E"/>
      </w:docPartBody>
    </w:docPart>
    <w:docPart>
      <w:docPartPr>
        <w:name w:val="E72B22A6059444909995BE9964A155AD"/>
        <w:category>
          <w:name w:val="General"/>
          <w:gallery w:val="placeholder"/>
        </w:category>
        <w:types>
          <w:type w:val="bbPlcHdr"/>
        </w:types>
        <w:behaviors>
          <w:behavior w:val="content"/>
        </w:behaviors>
        <w:guid w:val="{E14D46FB-5F71-41EC-A009-BC80316FFC1E}"/>
      </w:docPartPr>
      <w:docPartBody>
        <w:p w:rsidR="005D7965" w:rsidRDefault="005D7965"/>
      </w:docPartBody>
    </w:docPart>
    <w:docPart>
      <w:docPartPr>
        <w:name w:val="4C997B18EAD14FD6B390B2A278BDDADA"/>
        <w:category>
          <w:name w:val="General"/>
          <w:gallery w:val="placeholder"/>
        </w:category>
        <w:types>
          <w:type w:val="bbPlcHdr"/>
        </w:types>
        <w:behaviors>
          <w:behavior w:val="content"/>
        </w:behaviors>
        <w:guid w:val="{C4252938-7BB9-441B-BD74-62DD11F30ED6}"/>
      </w:docPartPr>
      <w:docPartBody>
        <w:p w:rsidR="005D7965" w:rsidRDefault="005D7965"/>
      </w:docPartBody>
    </w:docPart>
    <w:docPart>
      <w:docPartPr>
        <w:name w:val="D066E0002C8A4B75B59FC82C434F722F"/>
        <w:category>
          <w:name w:val="General"/>
          <w:gallery w:val="placeholder"/>
        </w:category>
        <w:types>
          <w:type w:val="bbPlcHdr"/>
        </w:types>
        <w:behaviors>
          <w:behavior w:val="content"/>
        </w:behaviors>
        <w:guid w:val="{EFDBD2EE-92D8-45A8-BC0E-A34DAC9A96AA}"/>
      </w:docPartPr>
      <w:docPartBody>
        <w:p w:rsidR="005D7965" w:rsidRDefault="005D7965"/>
      </w:docPartBody>
    </w:docPart>
    <w:docPart>
      <w:docPartPr>
        <w:name w:val="24A5CDA148284BA88E3975567B3708F9"/>
        <w:category>
          <w:name w:val="General"/>
          <w:gallery w:val="placeholder"/>
        </w:category>
        <w:types>
          <w:type w:val="bbPlcHdr"/>
        </w:types>
        <w:behaviors>
          <w:behavior w:val="content"/>
        </w:behaviors>
        <w:guid w:val="{C61DE21A-F074-4783-B0AB-F64A594BD566}"/>
      </w:docPartPr>
      <w:docPartBody>
        <w:p w:rsidR="005D7965" w:rsidRDefault="005D79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0B"/>
    <w:rsid w:val="00022A8D"/>
    <w:rsid w:val="000F2BE9"/>
    <w:rsid w:val="0017212D"/>
    <w:rsid w:val="001C0635"/>
    <w:rsid w:val="001C412D"/>
    <w:rsid w:val="002528BD"/>
    <w:rsid w:val="002932A8"/>
    <w:rsid w:val="002A3819"/>
    <w:rsid w:val="002A6E91"/>
    <w:rsid w:val="00301C5B"/>
    <w:rsid w:val="00312E3C"/>
    <w:rsid w:val="00385A2E"/>
    <w:rsid w:val="003B4DD9"/>
    <w:rsid w:val="0042077A"/>
    <w:rsid w:val="004A4D16"/>
    <w:rsid w:val="004B5069"/>
    <w:rsid w:val="004D3A1E"/>
    <w:rsid w:val="00513AD1"/>
    <w:rsid w:val="00537971"/>
    <w:rsid w:val="00572703"/>
    <w:rsid w:val="0058316F"/>
    <w:rsid w:val="005916DF"/>
    <w:rsid w:val="005B605E"/>
    <w:rsid w:val="005D7965"/>
    <w:rsid w:val="00716C10"/>
    <w:rsid w:val="007E3E16"/>
    <w:rsid w:val="00805E61"/>
    <w:rsid w:val="00846C4B"/>
    <w:rsid w:val="00885EE9"/>
    <w:rsid w:val="008D22E9"/>
    <w:rsid w:val="00947429"/>
    <w:rsid w:val="009F7610"/>
    <w:rsid w:val="00A7225F"/>
    <w:rsid w:val="00B82789"/>
    <w:rsid w:val="00BA58AF"/>
    <w:rsid w:val="00BD577F"/>
    <w:rsid w:val="00BE36A3"/>
    <w:rsid w:val="00C01EED"/>
    <w:rsid w:val="00D53FD3"/>
    <w:rsid w:val="00D71309"/>
    <w:rsid w:val="00DC5013"/>
    <w:rsid w:val="00E60B0B"/>
    <w:rsid w:val="00EB0DF4"/>
    <w:rsid w:val="00ED1B0F"/>
    <w:rsid w:val="00F2200C"/>
    <w:rsid w:val="00F334F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A58AF"/>
    <w:rPr>
      <w:color w:val="28806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10.0.45336.0</Version>
    <Date>2023-08-31T11:58:02</Date>
    <Language>EN</Language>
    <Note>Created using 'Convert To Eurolook'</Note>
  </Created>
  <Edited>
    <Version/>
    <Date/>
  </Edited>
  <DocumentModel>
    <Id>6cbda13a-4db2-46c6-876a-ef72275827ef</Id>
    <Name>Report</Name>
  </DocumentModel>
  <CustomTemplate>
    <Id/>
    <Name/>
  </CustomTemplate>
  <DocumentDate>2023-08-31T11:58:02</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SpecialHandling MetadataSerializationType="SimpleValue"/>
    <EC_SecurityDistributionWorkingGroup MetadataSerializationType="SimpleValue"/>
    <EC_SecurityDateMarkingEvent MetadataSerializationType="SimpleValue"/>
    <EC_SecurityDateMarkingDate MetadataSerializationType="SimpleValue"/>
    <EC_SecurityDistributionDG MetadataSerializationType="SimpleValue"/>
    <EC_SecurityMark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6f1b39-af56-42bf-bd51-59e593d9a80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efedb0f8-cf0f-473b-9526-760672cc8f4c"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4B31F78B67FC2F49BEE74EC84A448651" ma:contentTypeVersion="10" ma:contentTypeDescription="Create a new document." ma:contentTypeScope="" ma:versionID="3b797f9ef06c98fb7ed1ebe87a068551">
  <xsd:schema xmlns:xsd="http://www.w3.org/2001/XMLSchema" xmlns:xs="http://www.w3.org/2001/XMLSchema" xmlns:p="http://schemas.microsoft.com/office/2006/metadata/properties" xmlns:ns2="a76f1b39-af56-42bf-bd51-59e593d9a807" xmlns:ns3="efedb0f8-cf0f-473b-9526-760672cc8f4c" targetNamespace="http://schemas.microsoft.com/office/2006/metadata/properties" ma:root="true" ma:fieldsID="db568eef786f008fd8370332a9df85fa" ns2:_="" ns3:_="">
    <xsd:import namespace="a76f1b39-af56-42bf-bd51-59e593d9a807"/>
    <xsd:import namespace="efedb0f8-cf0f-473b-9526-760672cc8f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f1b39-af56-42bf-bd51-59e593d9a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db0f8-cf0f-473b-9526-760672cc8f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f5af2c-9b41-4f63-be9a-8c3b1dc14bc5}" ma:internalName="TaxCatchAll" ma:showField="CatchAllData" ma:web="efedb0f8-cf0f-473b-9526-760672cc8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AuthorRoleName="Writer" AuthorRoleId="a4fbaff4-b07c-48b4-a21e-e7b9eedf3796">
  <Id>d20fe67e-85df-40e9-a051-74bd9071e6a5</Id>
  <Names>
    <Latin>
      <FirstName>Samuel</FirstName>
      <LastName>TIMMERS</LastName>
    </Latin>
    <Greek>
      <FirstName/>
      <LastName/>
    </Greek>
    <Cyrillic>
      <FirstName/>
      <LastName/>
    </Cyrillic>
    <DocumentScript>
      <FirstName>Samuel</FirstName>
      <LastName>TIMMERS</LastName>
      <FullName>Samuel TIMMERS</FullName>
    </DocumentScript>
  </Names>
  <Initials>ST</Initials>
  <Gender>m</Gender>
  <Email>Samuel.TIMMERS@ec.europa.eu</Email>
  <Service>CLIMA.B.3</Service>
  <Function ADCode="" ShowInSignature="true" ShowInHeader="false" HeaderText=""/>
  <WebAddress/>
  <FunctionalMailbox/>
  <InheritedWebAddress>WebAddress</InheritedWebAddress>
  <OrgaEntity1>
    <Id>1e8bcd1d-4a35-438c-bf7a-b0363854cedf</Id>
    <LogicalLevel>1</LogicalLevel>
    <Name>CLIMA</Name>
    <HeadLine1>DIRECTORATE-GENERAL</HeadLine1>
    <HeadLine2>CLIMATE ACTION</HeadLine2>
    <PrimaryAddressId>f03b5801-04c9-4931-aa17-c6d6c70bc579</PrimaryAddressId>
    <SecondaryAddressId/>
    <WebAddress>WebAddress</WebAddress>
    <InheritedWebAddress>WebAddress</InheritedWebAddress>
    <ShowInHeader>true</ShowInHeader>
  </OrgaEntity1>
  <OrgaEntity2>
    <Id>8a32fdab-f659-4f27-952d-1221d4dc3038</Id>
    <LogicalLevel>2</LogicalLevel>
    <Name>CLIMA.B</Name>
    <HeadLine1>Directorate B – Carbon Markets and Clean Mobility</HeadLine1>
    <HeadLine2/>
    <PrimaryAddressId>f03b5801-04c9-4931-aa17-c6d6c70bc579</PrimaryAddressId>
    <SecondaryAddressId/>
    <WebAddress/>
    <InheritedWebAddress>WebAddress</InheritedWebAddress>
    <ShowInHeader>true</ShowInHeader>
  </OrgaEntity2>
  <OrgaEntity3>
    <Id>102c207d-7f76-4290-be3f-5edddd8cf880</Id>
    <LogicalLevel>3</LogicalLevel>
    <Name>CLIMA.B.3</Name>
    <HeadLine1>CLIMA.B.3 – Mobility (I): Road</HeadLine1>
    <HeadLine2/>
    <PrimaryAddressId>f03b5801-04c9-4931-aa17-c6d6c70bc579</PrimaryAddressId>
    <SecondaryAddressId/>
    <WebAddress/>
    <InheritedWebAddress>WebAddress</InheritedWebAddress>
    <ShowInHeader>true</ShowInHeader>
  </OrgaEntity3>
  <Hierarchy>
    <OrgaEntity>
      <Id>1e8bcd1d-4a35-438c-bf7a-b0363854cedf</Id>
      <LogicalLevel>1</LogicalLevel>
      <Name>CLIMA</Name>
      <HeadLine1>DIRECTORATE-GENERAL</HeadLine1>
      <HeadLine2>CLIMATE ACTION</HeadLine2>
      <PrimaryAddressId>f03b5801-04c9-4931-aa17-c6d6c70bc579</PrimaryAddressId>
      <SecondaryAddressId/>
      <WebAddress>WebAddress</WebAddress>
      <InheritedWebAddress>WebAddress</InheritedWebAddress>
      <ShowInHeader>true</ShowInHeader>
    </OrgaEntity>
    <OrgaEntity>
      <Id>8a32fdab-f659-4f27-952d-1221d4dc3038</Id>
      <LogicalLevel>2</LogicalLevel>
      <Name>CLIMA.B</Name>
      <HeadLine1>Directorate B – Carbon Markets and Clean Mobility</HeadLine1>
      <HeadLine2/>
      <PrimaryAddressId>f03b5801-04c9-4931-aa17-c6d6c70bc579</PrimaryAddressId>
      <SecondaryAddressId/>
      <WebAddress/>
      <InheritedWebAddress>WebAddress</InheritedWebAddress>
      <ShowInHeader>true</ShowInHeader>
    </OrgaEntity>
    <OrgaEntity>
      <Id>102c207d-7f76-4290-be3f-5edddd8cf880</Id>
      <LogicalLevel>3</LogicalLevel>
      <Name>CLIMA.B.3</Name>
      <HeadLine1>CLIMA.B.3 – Mobility (I): Road</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+32 229-57633</Phone>
    <Office>BRE2 11/DCS</Office>
  </MainWorkplace>
  <Workplaces>
    <Workplace IsMain="true">
      <AddressId>f03b5801-04c9-4931-aa17-c6d6c70bc579</AddressId>
      <Fax/>
      <Phone>+32 229-57633</Phone>
      <Office>BRE2 11/DCS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6A458B99-2394-4477-8A38-79492FCC6D98}">
  <ds:schemaRefs>
    <ds:schemaRef ds:uri="http://purl.org/dc/elements/1.1/"/>
    <ds:schemaRef ds:uri="http://www.w3.org/XML/1998/namespace"/>
    <ds:schemaRef ds:uri="http://schemas.microsoft.com/office/infopath/2007/PartnerControls"/>
    <ds:schemaRef ds:uri="http://schemas.microsoft.com/office/2006/metadata/properties"/>
    <ds:schemaRef ds:uri="efedb0f8-cf0f-473b-9526-760672cc8f4c"/>
    <ds:schemaRef ds:uri="a76f1b39-af56-42bf-bd51-59e593d9a807"/>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059F76FF-788D-4AAD-8667-8C35ED901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f1b39-af56-42bf-bd51-59e593d9a807"/>
    <ds:schemaRef ds:uri="efedb0f8-cf0f-473b-9526-760672cc8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8DF361-1555-4070-87E2-1D6E07F7226D}">
  <ds:schemaRefs>
    <ds:schemaRef ds:uri="http://schemas.microsoft.com/sharepoint/v3/contenttype/forms"/>
  </ds:schemaRefs>
</ds:datastoreItem>
</file>

<file path=customXml/itemProps6.xml><?xml version="1.0" encoding="utf-8"?>
<ds:datastoreItem xmlns:ds="http://schemas.openxmlformats.org/officeDocument/2006/customXml" ds:itemID="{D9BDFE64-16DE-4E2B-A6DC-AFE0673AC6E6}">
  <ds:schemaRefs/>
</ds:datastoreItem>
</file>

<file path=customXml/itemProps7.xml><?xml version="1.0" encoding="utf-8"?>
<ds:datastoreItem xmlns:ds="http://schemas.openxmlformats.org/officeDocument/2006/customXml" ds:itemID="{A786E2DA-DD0C-4828-BB55-06BA24FA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4485</Words>
  <Characters>25566</Characters>
  <Application>Microsoft Office Word</Application>
  <DocSecurity>0</DocSecurity>
  <PresentationFormat>Microsoft Word 14.0</PresentationFormat>
  <Lines>213</Lines>
  <Paragraphs>59</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29992</CharactersWithSpaces>
  <SharedDoc>false</SharedDoc>
  <HLinks>
    <vt:vector size="12" baseType="variant">
      <vt:variant>
        <vt:i4>1179698</vt:i4>
      </vt:variant>
      <vt:variant>
        <vt:i4>6</vt:i4>
      </vt:variant>
      <vt:variant>
        <vt:i4>0</vt:i4>
      </vt:variant>
      <vt:variant>
        <vt:i4>5</vt:i4>
      </vt:variant>
      <vt:variant>
        <vt:lpwstr>http://data.europa.eu/eli/reg_impl/2023/2866/oj</vt:lpwstr>
      </vt:variant>
      <vt:variant>
        <vt:lpwstr/>
      </vt:variant>
      <vt:variant>
        <vt:i4>327748</vt:i4>
      </vt:variant>
      <vt:variant>
        <vt:i4>0</vt:i4>
      </vt:variant>
      <vt:variant>
        <vt:i4>0</vt:i4>
      </vt:variant>
      <vt:variant>
        <vt:i4>5</vt:i4>
      </vt:variant>
      <vt:variant>
        <vt:lpwstr>https://www.eea.europa.eu/data-and-maps/data/data-viewers/greenhouse-gases-viewer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18</cp:revision>
  <cp:lastPrinted>2023-12-04T18:21:00Z</cp:lastPrinted>
  <dcterms:created xsi:type="dcterms:W3CDTF">2024-01-31T10:18:00Z</dcterms:created>
  <dcterms:modified xsi:type="dcterms:W3CDTF">2024-03-11T08:55:00Z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2023-08-31T09:58:03Z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69f06902-fc77-41c6-9b0d-6952a84bbc75</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_LW_INVALIDATED_EurolookVersion">
    <vt:lpwstr>10.0</vt:lpwstr>
  </property>
  <property fmtid="{D5CDD505-2E9C-101B-9397-08002B2CF9AE}" pid="11" name="_LW_INVALIDATED_ELDocType">
    <vt:lpwstr>rep.dot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CP-003</vt:lpwstr>
  </property>
  <property fmtid="{D5CDD505-2E9C-101B-9397-08002B2CF9AE}" pid="16" name="Last edited using">
    <vt:lpwstr>LW 9.0, Build 20230317</vt:lpwstr>
  </property>
  <property fmtid="{D5CDD505-2E9C-101B-9397-08002B2CF9AE}" pid="17" name="Created using">
    <vt:lpwstr>LW 9.0, Build 20230317</vt:lpwstr>
  </property>
  <property fmtid="{D5CDD505-2E9C-101B-9397-08002B2CF9AE}" pid="18" name="ContentTypeId">
    <vt:lpwstr>0x0101008B4DCC0AC9070440AC8F58F2A787C016</vt:lpwstr>
  </property>
  <property fmtid="{D5CDD505-2E9C-101B-9397-08002B2CF9AE}" pid="19" name="MediaServiceImageTags">
    <vt:lpwstr/>
  </property>
</Properties>
</file>