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589" w:rsidRPr="002422AF" w:rsidRDefault="008A1F6E" w:rsidP="008A1F6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0D9CD81D-1CD8-454D-9C3F-C36397477B3A" style="width:455.25pt;height:510pt">
            <v:imagedata r:id="rId7" o:title=""/>
          </v:shape>
        </w:pict>
      </w:r>
    </w:p>
    <w:p w:rsidR="00C35589" w:rsidRPr="002422AF" w:rsidRDefault="00C35589" w:rsidP="00C35589">
      <w:pPr>
        <w:rPr>
          <w:noProof/>
        </w:rPr>
        <w:sectPr w:rsidR="00C35589" w:rsidRPr="002422AF" w:rsidSect="008A1F6E">
          <w:footerReference w:type="even" r:id="rId8"/>
          <w:footerReference w:type="default" r:id="rId9"/>
          <w:pgSz w:w="11907" w:h="16839"/>
          <w:pgMar w:top="1134" w:right="1417" w:bottom="1134" w:left="1417" w:header="709" w:footer="709" w:gutter="0"/>
          <w:pgNumType w:start="0"/>
          <w:cols w:space="720"/>
          <w:docGrid w:linePitch="360"/>
        </w:sectPr>
      </w:pPr>
    </w:p>
    <w:p w:rsidR="004407A2" w:rsidRPr="002422AF" w:rsidRDefault="004407A2" w:rsidP="004407A2">
      <w:pPr>
        <w:pStyle w:val="Exposdesmotifstitre"/>
        <w:rPr>
          <w:noProof/>
        </w:rPr>
      </w:pPr>
      <w:bookmarkStart w:id="0" w:name="_GoBack"/>
      <w:bookmarkEnd w:id="0"/>
      <w:r w:rsidRPr="002422AF">
        <w:rPr>
          <w:noProof/>
        </w:rPr>
        <w:lastRenderedPageBreak/>
        <w:t>INDOKOLÁS</w:t>
      </w:r>
    </w:p>
    <w:p w:rsidR="004407A2" w:rsidRPr="002422AF" w:rsidRDefault="004407A2" w:rsidP="004407A2">
      <w:pPr>
        <w:rPr>
          <w:noProof/>
        </w:rPr>
      </w:pPr>
      <w:r w:rsidRPr="002422AF">
        <w:rPr>
          <w:noProof/>
        </w:rPr>
        <w:t>Az Európai Gazdasági Térségről szóló megállapodás (a továbbiakban: az EGT-megállapodás) lehetővé teszi Izland, Liechtenstein és Norvégia (a továbbiakban: az EGT-tag EFTA-államok) számára, hogy teljes mértékben részt vegyenek az egységes piacon. Ezzel összefüggésben az EGT-megállapodás 1994-es hatálybalépése óta e három ország – az EGT-megállapodás 115. cikkével összhangban – az Európai Gazdasági Térségen belüli gazdasági és szociális egyenlőtlenségek csökkentéséhez is hozzájárul. Emellett Norvégia egy külön Norvég Finanszírozási Mechanizmuson keresztül is nyújtott hozzájárulást. A legutóbbi pénzügyi mechanizmusok 2021. április 30-án lejártak</w:t>
      </w:r>
      <w:r w:rsidR="00DC429D" w:rsidRPr="002422AF">
        <w:rPr>
          <w:rStyle w:val="FootnoteReference"/>
          <w:noProof/>
        </w:rPr>
        <w:footnoteReference w:id="1"/>
      </w:r>
      <w:r w:rsidRPr="002422AF">
        <w:rPr>
          <w:noProof/>
        </w:rPr>
        <w:t>.</w:t>
      </w:r>
    </w:p>
    <w:p w:rsidR="004407A2" w:rsidRPr="002422AF" w:rsidRDefault="004407A2" w:rsidP="004407A2">
      <w:pPr>
        <w:rPr>
          <w:noProof/>
        </w:rPr>
      </w:pPr>
      <w:r w:rsidRPr="002422AF">
        <w:rPr>
          <w:noProof/>
        </w:rPr>
        <w:t>Tekintettel arra, hogy továbbra is csökkenteni kell az Európai Gazdasági Térségen belüli gazdasági és szociális egyenlőtlenségeket, 2021. május 20-án a Tanács felhatalmazta a Bizottságot, hogy tárgyalásokat kezdjen Izlanddal, Liechtensteinnel és Norvégiával az EGT-tag EFTA-államok által az Európai Gazdasági Térség társadalmi és gazdasági kohéziójához nyújtandó jövőbeli pénzügyi hozzájárulásokról szóló megállapodásról</w:t>
      </w:r>
      <w:r w:rsidRPr="002422AF">
        <w:rPr>
          <w:rStyle w:val="FootnoteReference"/>
          <w:noProof/>
        </w:rPr>
        <w:footnoteReference w:id="2"/>
      </w:r>
      <w:r w:rsidRPr="002422AF">
        <w:rPr>
          <w:noProof/>
        </w:rPr>
        <w:t>. 2022. június 16-án hivatalos tárgyalások kezdődtek. A pénzügyi mechanizmusokról folytatott tárgyalásokkal párhuzamosan, de azoktól függetlenül megkezdték az EU–Izland és az EU–Norvégia közötti halkereskedelmi jegyzőkönyvek felülvizsgálatát az Izlanddal és Norvégiával kötött szabadkereskedelmi megállapodásokhoz csatolt kiegészítő jegyzőkönyvek felülvizsgálati záradékai alapján</w:t>
      </w:r>
      <w:r w:rsidRPr="002422AF">
        <w:rPr>
          <w:rStyle w:val="FootnoteReference"/>
          <w:noProof/>
        </w:rPr>
        <w:footnoteReference w:id="3"/>
      </w:r>
      <w:r w:rsidRPr="002422AF">
        <w:rPr>
          <w:noProof/>
        </w:rPr>
        <w:t xml:space="preserve">. </w:t>
      </w:r>
    </w:p>
    <w:p w:rsidR="004407A2" w:rsidRPr="002422AF" w:rsidRDefault="004407A2" w:rsidP="004407A2">
      <w:pPr>
        <w:rPr>
          <w:noProof/>
        </w:rPr>
      </w:pPr>
      <w:r w:rsidRPr="002422AF">
        <w:rPr>
          <w:noProof/>
        </w:rPr>
        <w:t>A tárgyalások főtárgyalói szinten 2023. november 30-án zárultak le az alábbiak parafálásával:</w:t>
      </w:r>
    </w:p>
    <w:p w:rsidR="004407A2" w:rsidRPr="002422AF" w:rsidRDefault="004407A2" w:rsidP="004407A2">
      <w:pPr>
        <w:pStyle w:val="ListBullet"/>
        <w:tabs>
          <w:tab w:val="clear" w:pos="360"/>
          <w:tab w:val="num" w:pos="283"/>
        </w:tabs>
        <w:ind w:left="283" w:hanging="283"/>
        <w:contextualSpacing w:val="0"/>
        <w:rPr>
          <w:noProof/>
        </w:rPr>
      </w:pPr>
      <w:r w:rsidRPr="002422AF">
        <w:rPr>
          <w:noProof/>
        </w:rPr>
        <w:t>az Európai Unió, Izland, a Liechtensteini Hercegség és a Norvég Királyság közötti megállapodás a 2021. május és 2028. április közötti időszakra vonatkozó EGT Finanszírozási Mechanizmusról (a továbbiakban: az EGT Finanszírozási Mechanizmusról szóló megállapodás),</w:t>
      </w:r>
    </w:p>
    <w:p w:rsidR="004407A2" w:rsidRPr="002422AF" w:rsidRDefault="004407A2" w:rsidP="004407A2">
      <w:pPr>
        <w:pStyle w:val="ListBullet"/>
        <w:tabs>
          <w:tab w:val="clear" w:pos="360"/>
          <w:tab w:val="num" w:pos="283"/>
        </w:tabs>
        <w:ind w:left="283" w:hanging="283"/>
        <w:contextualSpacing w:val="0"/>
        <w:rPr>
          <w:noProof/>
        </w:rPr>
      </w:pPr>
      <w:r w:rsidRPr="002422AF">
        <w:rPr>
          <w:noProof/>
        </w:rPr>
        <w:t>a Norvég Királyság és az Európai Unió közötti megállapodás a 2021. május és 2028. április közötti időszakra vonatkozó Norvég Finanszírozási Mechanizmusról (a továbbiakban: a Norvég Finanszírozási Mechanizmusról szóló megállapodás),</w:t>
      </w:r>
    </w:p>
    <w:p w:rsidR="004407A2" w:rsidRPr="002422AF" w:rsidRDefault="004407A2" w:rsidP="004407A2">
      <w:pPr>
        <w:pStyle w:val="ListBullet"/>
        <w:tabs>
          <w:tab w:val="clear" w:pos="360"/>
          <w:tab w:val="num" w:pos="283"/>
        </w:tabs>
        <w:ind w:left="283" w:hanging="283"/>
        <w:contextualSpacing w:val="0"/>
        <w:rPr>
          <w:noProof/>
        </w:rPr>
      </w:pPr>
      <w:r w:rsidRPr="002422AF">
        <w:rPr>
          <w:noProof/>
        </w:rPr>
        <w:t>az Európai Gazdasági Közösség és a Norvég Királyság közötti megállapodáshoz csatolt kiegészítő jegyzőkönyv (a továbbiakban: a Norvégiára vonatkozó jegyzőkönyv), valamint</w:t>
      </w:r>
    </w:p>
    <w:p w:rsidR="004407A2" w:rsidRPr="002422AF" w:rsidRDefault="004407A2" w:rsidP="004407A2">
      <w:pPr>
        <w:pStyle w:val="ListBullet"/>
        <w:tabs>
          <w:tab w:val="clear" w:pos="360"/>
          <w:tab w:val="num" w:pos="283"/>
        </w:tabs>
        <w:ind w:left="283" w:hanging="283"/>
        <w:contextualSpacing w:val="0"/>
        <w:rPr>
          <w:noProof/>
        </w:rPr>
      </w:pPr>
      <w:r w:rsidRPr="002422AF">
        <w:rPr>
          <w:noProof/>
        </w:rPr>
        <w:t>az Európai Gazdasági Közösség és Izland közötti megállapodáshoz csatolt kiegészítő jegyzőkönyv (a továbbiakban: az Izlandra vonatkozó jegyzőkönyv).</w:t>
      </w:r>
    </w:p>
    <w:p w:rsidR="004407A2" w:rsidRPr="002422AF" w:rsidRDefault="004407A2" w:rsidP="004407A2">
      <w:pPr>
        <w:rPr>
          <w:noProof/>
        </w:rPr>
      </w:pPr>
      <w:r w:rsidRPr="002422AF">
        <w:rPr>
          <w:noProof/>
        </w:rPr>
        <w:t>A csatolt javaslat az EGT Finanszírozási Mechanizmusról szóló megállapodás, a Norvég Finanszírozási Mechanizmusról szóló megállapodás, a Norvégiára vonatkozó jegyzőkönyv és az Izlandra vonatkozó jegyzőkönyv aláírását és ideiglenes alkalmazását érinti.</w:t>
      </w:r>
    </w:p>
    <w:p w:rsidR="001242E2" w:rsidRPr="002422AF" w:rsidRDefault="004407A2" w:rsidP="001242E2">
      <w:pPr>
        <w:rPr>
          <w:noProof/>
        </w:rPr>
      </w:pPr>
      <w:r w:rsidRPr="002422AF">
        <w:rPr>
          <w:noProof/>
        </w:rPr>
        <w:t xml:space="preserve">Az EGT Finanszírozási Mechanizmusról szóló megállapodás és a Norvég Finanszírozási Mechanizmusról szóló megállapodás a 2021. május és 2028. április közötti időszakra együttesen 3,268 milliárd EUR összegű pénzügyi hozzájárulást biztosít az EGT-tag EFTA-államok részéről az Európai Gazdasági Térség gazdasági és társadalmi kohéziójához. Az eredmény a Tanács által kiadott tárgyalási irányelveket tükrözi, amelyekben a Tanács a következőket kérte: a) az EGT-tag EFTA-államok pénzügyi hozzájárulásának növelése; b) az EU Kohéziós Alapja felosztási kulcsának alkalmazása; c) az új pénzügyi mechanizmusok időtartamának összehangolása az EU kohéziós politikai eszközeivel (2021–2027); d) a zöld </w:t>
      </w:r>
      <w:r w:rsidRPr="002422AF">
        <w:rPr>
          <w:noProof/>
        </w:rPr>
        <w:lastRenderedPageBreak/>
        <w:t>célkitűzések felvétele a támogatott prioritások közé; valamint e) a jövőbeli mechanizmusok végrehajtási folyamatainak hatékonyabbá tétele.</w:t>
      </w:r>
    </w:p>
    <w:p w:rsidR="001242E2" w:rsidRPr="002422AF" w:rsidRDefault="001242E2" w:rsidP="001242E2">
      <w:pPr>
        <w:rPr>
          <w:noProof/>
        </w:rPr>
      </w:pPr>
      <w:r w:rsidRPr="002422AF">
        <w:rPr>
          <w:noProof/>
        </w:rPr>
        <w:t>Ezzel párhuzamosan az Izlanddal és a Norvégiával kötött kétoldalú halkereskedelmi jegyzőkönyveket is felülvizsgálták. A 2021. május és 2028. április közötti időszakra új vámengedményeket adnak. A vámengedmények a 2014–2021-es időszakra vonatkozó korábbi jegyzőkönyvekre épülnek, és arányosak a pénzügyi hozzájárulások összegével. A ki nem használt kontingenseknek az időszak végén történő átvitele tekintetében rugalmasságot biztosítanak. Norvégia továbbá megújítja azt a halászatitranzit-megállapodást, amely a fogásokat Norvégiában kirakodó uniós hajókra vonatkozik.</w:t>
      </w:r>
    </w:p>
    <w:p w:rsidR="004407A2" w:rsidRPr="002422AF" w:rsidRDefault="00DC429D" w:rsidP="004407A2">
      <w:pPr>
        <w:autoSpaceDE w:val="0"/>
        <w:autoSpaceDN w:val="0"/>
        <w:adjustRightInd w:val="0"/>
        <w:rPr>
          <w:noProof/>
        </w:rPr>
      </w:pPr>
      <w:r w:rsidRPr="002422AF">
        <w:rPr>
          <w:noProof/>
        </w:rPr>
        <w:t>A pénzügyi hozzájárulások gyors végrehajtásának és kifizetésének, valamint a vámengedmények alkalmazásának lehetővé tétele érdekében a megállapodásokat és jegyzőkönyveket a cikkeikben előírt időpontoktól a megerősítésükre, illetve megkötésükre és hatálybalépésükre vonatkozó eljárások befejezéséig ideiglenesen alkalmazni kell.</w:t>
      </w:r>
    </w:p>
    <w:p w:rsidR="00DC429D" w:rsidRPr="002422AF" w:rsidRDefault="004407A2" w:rsidP="004407A2">
      <w:pPr>
        <w:rPr>
          <w:noProof/>
        </w:rPr>
      </w:pPr>
      <w:r w:rsidRPr="002422AF">
        <w:rPr>
          <w:noProof/>
        </w:rPr>
        <w:t>A Bizottság kielégítőnek tartja a tárgyalások eredményeit, és javasolja, hogy a Tanács fogadja el az EGT Finanszírozási Mechanizmusról szóló megállapodás, a Norvég Finanszírozási Mechanizmusról szóló megállapodás, a Norvégiára vonatkozó jegyzőkönyv és az Izlandra vonatkozó jegyzőkönyv aláírásáról és ideiglenes alkalmazásáról szóló csatolt határozatot.</w:t>
      </w:r>
    </w:p>
    <w:p w:rsidR="004407A2" w:rsidRPr="002422AF" w:rsidRDefault="00DC429D" w:rsidP="004407A2">
      <w:pPr>
        <w:rPr>
          <w:noProof/>
        </w:rPr>
      </w:pPr>
      <w:r w:rsidRPr="002422AF">
        <w:rPr>
          <w:noProof/>
        </w:rPr>
        <w:t>Ahogyan az a meglévő nemzetközi megállapodások egyes elemeinek módosításakor bevett gyakorlat, a Bizottság javasolja, hogy a határozattervezetek jogalapjaként az Európai Unió működéséről szóló szerződés vonatkozó cikkeit, nevezetesen a gazdasági és társadalmi kohézióhoz való pénzügyi hozzájárulásról szóló megállapodások tekintetében az EUMSZ 175. cikkének harmadik bekezdését, a halkereskedelmi jegyzőkönyvek esetében pedig az EUMSZ 207. cikkét használják. Ezenkívül az EUMSZ 218. cikkének (5) bekezdésére nemcsak e megállapodások aláírásának, hanem azok ideiglenes alkalmazásának jogalapjaként is hivatkoznak.</w:t>
      </w:r>
    </w:p>
    <w:p w:rsidR="004407A2" w:rsidRPr="002422AF" w:rsidRDefault="004407A2" w:rsidP="004407A2">
      <w:pPr>
        <w:rPr>
          <w:noProof/>
        </w:rPr>
        <w:sectPr w:rsidR="004407A2" w:rsidRPr="002422AF" w:rsidSect="008A1F6E">
          <w:headerReference w:type="even" r:id="rId10"/>
          <w:footerReference w:type="even" r:id="rId11"/>
          <w:footerReference w:type="default" r:id="rId12"/>
          <w:headerReference w:type="first" r:id="rId13"/>
          <w:footerReference w:type="first" r:id="rId14"/>
          <w:pgSz w:w="11907" w:h="16839"/>
          <w:pgMar w:top="1134" w:right="1417" w:bottom="1134" w:left="1417" w:header="709" w:footer="709" w:gutter="0"/>
          <w:cols w:space="708"/>
          <w:docGrid w:linePitch="360"/>
        </w:sectPr>
      </w:pPr>
    </w:p>
    <w:p w:rsidR="004407A2" w:rsidRPr="002422AF" w:rsidRDefault="004407A2" w:rsidP="0029266A">
      <w:pPr>
        <w:widowControl w:val="0"/>
        <w:shd w:val="clear" w:color="auto" w:fill="FFFFFF"/>
        <w:autoSpaceDE w:val="0"/>
        <w:autoSpaceDN w:val="0"/>
        <w:adjustRightInd w:val="0"/>
        <w:spacing w:before="230" w:after="0" w:line="269" w:lineRule="exact"/>
        <w:ind w:right="86"/>
        <w:rPr>
          <w:noProof/>
        </w:rPr>
      </w:pPr>
    </w:p>
    <w:p w:rsidR="006D140F" w:rsidRDefault="00F66317">
      <w:pPr>
        <w:pStyle w:val="Rfrenceinterinstitutionnelle"/>
        <w:rPr>
          <w:noProof/>
        </w:rPr>
      </w:pPr>
      <w:r>
        <w:rPr>
          <w:noProof/>
        </w:rPr>
        <w:t>2024/0053 (NLE)</w:t>
      </w:r>
    </w:p>
    <w:p w:rsidR="00C35589" w:rsidRPr="002422AF" w:rsidRDefault="002422AF" w:rsidP="002422AF">
      <w:pPr>
        <w:pStyle w:val="Statut"/>
        <w:rPr>
          <w:noProof/>
        </w:rPr>
      </w:pPr>
      <w:r w:rsidRPr="002422AF">
        <w:rPr>
          <w:noProof/>
        </w:rPr>
        <w:t>Javaslat</w:t>
      </w:r>
    </w:p>
    <w:p w:rsidR="00C35589" w:rsidRPr="002422AF" w:rsidRDefault="002422AF" w:rsidP="002422AF">
      <w:pPr>
        <w:pStyle w:val="Typedudocument"/>
        <w:rPr>
          <w:noProof/>
        </w:rPr>
      </w:pPr>
      <w:r w:rsidRPr="002422AF">
        <w:rPr>
          <w:noProof/>
        </w:rPr>
        <w:t>A TANÁCS HATÁROZATA</w:t>
      </w:r>
    </w:p>
    <w:p w:rsidR="00C35589" w:rsidRPr="002422AF" w:rsidRDefault="002422AF" w:rsidP="002422AF">
      <w:pPr>
        <w:pStyle w:val="Titreobjet"/>
        <w:rPr>
          <w:noProof/>
        </w:rPr>
      </w:pPr>
      <w:r w:rsidRPr="002422AF">
        <w:rPr>
          <w:noProof/>
        </w:rPr>
        <w:t>az Európai Unió, Izland, a Liechtensteini Hercegség és a Norvég Királyság közötti, a 2021. május és 2028. április közötti időszakra vonatkozó EGT Finanszírozási Mechanizmusról szóló megállapodásnak, a Norvég Királyság és az Európai Unió közötti, a 2021. május és 2028. április közötti időszakra vonatkozó Norvég Finanszírozási Mechanizmusról szóló megállapodásnak, az Európai Gazdasági Közösség és a Norvég Királyság közötti megállapodáshoz csatolt kiegészítő jegyzőkönyvnek, valamint az Európai Gazdasági Közösség és Izland közötti megállapodáshoz csatolt kiegészítő jegyzőkönyvnek az Európai Unió nevében történő aláírásáról és az ideiglenes alkalmazásáról</w:t>
      </w:r>
      <w:r w:rsidRPr="002422AF">
        <w:rPr>
          <w:noProof/>
        </w:rPr>
        <w:br/>
      </w:r>
    </w:p>
    <w:p w:rsidR="00C35589" w:rsidRPr="002422AF" w:rsidRDefault="002422AF" w:rsidP="002422AF">
      <w:pPr>
        <w:pStyle w:val="IntrtEEE"/>
        <w:rPr>
          <w:noProof/>
        </w:rPr>
      </w:pPr>
      <w:r w:rsidRPr="002422AF">
        <w:rPr>
          <w:noProof/>
        </w:rPr>
        <w:t>(EGT-vonatkozású szöveg)</w:t>
      </w:r>
    </w:p>
    <w:p w:rsidR="00C35589" w:rsidRPr="002422AF" w:rsidRDefault="00C35589" w:rsidP="00197315">
      <w:pPr>
        <w:pStyle w:val="Institutionquiagit"/>
        <w:rPr>
          <w:noProof/>
        </w:rPr>
      </w:pPr>
      <w:r w:rsidRPr="002422AF">
        <w:rPr>
          <w:noProof/>
        </w:rPr>
        <w:t>AZ EURÓPAI UNIÓ TANÁCSA,</w:t>
      </w:r>
    </w:p>
    <w:p w:rsidR="00C35589" w:rsidRPr="002422AF" w:rsidRDefault="00C35589" w:rsidP="00197315">
      <w:pPr>
        <w:rPr>
          <w:noProof/>
        </w:rPr>
      </w:pPr>
      <w:r w:rsidRPr="002422AF">
        <w:rPr>
          <w:noProof/>
        </w:rPr>
        <w:t>tekintettel az Európai Unió működéséről szóló szerződésre és különösen annak 175. cikke harmadik albekezdésére és 207. cikkére, összefüggésben annak 218. cikke (5) bekezdésével,</w:t>
      </w:r>
    </w:p>
    <w:p w:rsidR="00C35589" w:rsidRPr="002422AF" w:rsidRDefault="00C35589" w:rsidP="00197315">
      <w:pPr>
        <w:rPr>
          <w:noProof/>
        </w:rPr>
      </w:pPr>
      <w:r w:rsidRPr="002422AF">
        <w:rPr>
          <w:noProof/>
        </w:rPr>
        <w:t>tekintettel az Európai Bizottság javaslatára,</w:t>
      </w:r>
    </w:p>
    <w:p w:rsidR="00C35589" w:rsidRPr="002422AF" w:rsidRDefault="00C35589" w:rsidP="00197315">
      <w:pPr>
        <w:rPr>
          <w:noProof/>
        </w:rPr>
      </w:pPr>
      <w:r w:rsidRPr="002422AF">
        <w:rPr>
          <w:noProof/>
        </w:rPr>
        <w:t>mivel:</w:t>
      </w:r>
    </w:p>
    <w:p w:rsidR="008C6931" w:rsidRPr="002422AF" w:rsidRDefault="008C6931" w:rsidP="00B129CA">
      <w:pPr>
        <w:pStyle w:val="ManualConsidrant"/>
        <w:rPr>
          <w:noProof/>
        </w:rPr>
      </w:pPr>
      <w:r>
        <w:rPr>
          <w:noProof/>
        </w:rPr>
        <w:t>(1)</w:t>
      </w:r>
      <w:r>
        <w:rPr>
          <w:noProof/>
        </w:rPr>
        <w:tab/>
      </w:r>
      <w:r w:rsidRPr="002422AF">
        <w:rPr>
          <w:noProof/>
        </w:rPr>
        <w:t>Az Európai Gazdasági Térségen belüli gazdasági és szociális egyenlőtlenségeket továbbra is csökkenteni kell, ezért létre kell hozni az EGT-tag EFTA-államok pénzügyi hozzájárulásainak új mechanizmusát, valamint az új Norvég Finanszírozási Mechanizmust.</w:t>
      </w:r>
    </w:p>
    <w:p w:rsidR="008C6931" w:rsidRPr="002422AF" w:rsidRDefault="008C6931" w:rsidP="00B129CA">
      <w:pPr>
        <w:pStyle w:val="ManualConsidrant"/>
        <w:rPr>
          <w:noProof/>
        </w:rPr>
      </w:pPr>
      <w:r>
        <w:rPr>
          <w:noProof/>
        </w:rPr>
        <w:t>(2)</w:t>
      </w:r>
      <w:r>
        <w:rPr>
          <w:noProof/>
        </w:rPr>
        <w:tab/>
      </w:r>
      <w:r w:rsidRPr="002422AF">
        <w:rPr>
          <w:noProof/>
        </w:rPr>
        <w:t>2021. május 20-án a Tanács felhatalmazta a Bizottságot, hogy tárgyalásokat kezdjen Izlanddal, a Liechtensteini Hercegséggel és a Norvég Királysággal az EGT-tag EFTA-államok által az Európai Gazdasági Térség társadalmi és gazdasági kohéziójához nyújtandó jövőbeli pénzügyi hozzájárulásokról szóló megállapodásról. A Bizottság az Európai Unió nevében tárgyalásokat folytatott az Európai Unió, Izland, a Liechtensteini Hercegség és a Norvég Királyság közötti, a 2021. május és 2028. április közötti időszakra vonatkozó EGT Finanszírozási Mechanizmusról szóló megállapodásról. Ez a megállapodás az EGT-megállapodáshoz csatolt 38d. jegyzőkönyv formáját fogja ölteni. A Bizottság az Európai Unió nevében tárgyalásokat folytatott továbbá a Norvég Királyság és az Európai Unió közötti, a 2021. május és 2028. április közötti időszakra vonatkozó Norvég Finanszírozási Mechanizmusról szóló megállapodásról.</w:t>
      </w:r>
    </w:p>
    <w:p w:rsidR="00DC429D" w:rsidRPr="002422AF" w:rsidRDefault="00AA399E" w:rsidP="00B129CA">
      <w:pPr>
        <w:pStyle w:val="ManualConsidrant"/>
        <w:rPr>
          <w:noProof/>
        </w:rPr>
      </w:pPr>
      <w:r>
        <w:rPr>
          <w:noProof/>
        </w:rPr>
        <w:t>(3)</w:t>
      </w:r>
      <w:r>
        <w:rPr>
          <w:noProof/>
        </w:rPr>
        <w:tab/>
      </w:r>
      <w:r w:rsidRPr="002422AF">
        <w:rPr>
          <w:noProof/>
        </w:rPr>
        <w:t xml:space="preserve">A 2021. május és 2028. április közötti időszakra vonatkozó EGT Finanszírozási Mechanizmus, valamint a 2021. május és 2028. április közötti időszakra vonatkozó Norvég Finanszírozási Mechanizmus hozzá fog járulni az Európai Gazdasági Térségen </w:t>
      </w:r>
      <w:r w:rsidRPr="002422AF">
        <w:rPr>
          <w:noProof/>
        </w:rPr>
        <w:lastRenderedPageBreak/>
        <w:t>belüli gazdasági és társadalmi egyenlőtlenségek csökkentéséhez, valamint az EGT-tag EFTA-államok és a kedvezményezett államok közötti kapcsolatok megerősítéséhez.</w:t>
      </w:r>
    </w:p>
    <w:p w:rsidR="001916C8" w:rsidRPr="002422AF" w:rsidRDefault="008C6931" w:rsidP="00B129CA">
      <w:pPr>
        <w:pStyle w:val="ManualConsidrant"/>
        <w:rPr>
          <w:noProof/>
        </w:rPr>
      </w:pPr>
      <w:r>
        <w:rPr>
          <w:noProof/>
        </w:rPr>
        <w:t>(4)</w:t>
      </w:r>
      <w:r>
        <w:rPr>
          <w:noProof/>
        </w:rPr>
        <w:tab/>
      </w:r>
      <w:r w:rsidRPr="002422AF">
        <w:rPr>
          <w:noProof/>
        </w:rPr>
        <w:t>Az Izland és Norvégia által az Európai Gazdasági Közösséggel kötött szabadkereskedelmi megállapodások</w:t>
      </w:r>
      <w:r w:rsidR="00AA399E" w:rsidRPr="002422AF">
        <w:rPr>
          <w:rStyle w:val="FootnoteReference"/>
          <w:noProof/>
        </w:rPr>
        <w:footnoteReference w:id="4"/>
      </w:r>
      <w:r w:rsidRPr="002422AF">
        <w:rPr>
          <w:noProof/>
        </w:rPr>
        <w:t xml:space="preserve"> kiegészítő jegyzőkönyveiben rögzített, Izlandról és Norvégiából származó egyes halak és halászati termékek EU-ba irányuló behozatalára alkalmazandó különleges rendelkezések 2021. április 30-án lejártak és azokat e jegyzőkönyvek 1. cikkének megfelelően felül kell vizsgálni. A Bizottság ezért tárgyalásokat folytatott az Európai Gazdasági Közösség és a Norvég Királyság közötti megállapodás, valamint az Európai Gazdasági Közösség és Izland közötti megállapodás új kiegészítő jegyzőkönyveiről.</w:t>
      </w:r>
    </w:p>
    <w:p w:rsidR="008C6931" w:rsidRPr="002422AF" w:rsidRDefault="008C6931" w:rsidP="00B129CA">
      <w:pPr>
        <w:pStyle w:val="ManualConsidrant"/>
        <w:rPr>
          <w:noProof/>
        </w:rPr>
      </w:pPr>
      <w:r>
        <w:rPr>
          <w:noProof/>
        </w:rPr>
        <w:t>(5)</w:t>
      </w:r>
      <w:r>
        <w:rPr>
          <w:noProof/>
        </w:rPr>
        <w:tab/>
      </w:r>
      <w:r w:rsidRPr="002422AF">
        <w:rPr>
          <w:noProof/>
        </w:rPr>
        <w:t>A fenti megállapodások és jegyzőkönyvek mindegyike rendelkezik a hatálybalépésük előtti ideiglenes alkalmazásukról.</w:t>
      </w:r>
    </w:p>
    <w:p w:rsidR="008C6931" w:rsidRPr="002422AF" w:rsidRDefault="008C6931" w:rsidP="00B129CA">
      <w:pPr>
        <w:pStyle w:val="ManualConsidrant"/>
        <w:rPr>
          <w:noProof/>
        </w:rPr>
      </w:pPr>
      <w:r>
        <w:rPr>
          <w:noProof/>
        </w:rPr>
        <w:t>(6)</w:t>
      </w:r>
      <w:r>
        <w:rPr>
          <w:noProof/>
        </w:rPr>
        <w:tab/>
      </w:r>
      <w:r w:rsidRPr="002422AF">
        <w:rPr>
          <w:noProof/>
        </w:rPr>
        <w:t>A megállapodások és jegyzőkönyvek mindegyikét – figyelemmel azok későbbi időpontban történő megkötésére – az Európai Unió nevében alá kell írni és ideiglenesen alkalmazni kell,</w:t>
      </w:r>
    </w:p>
    <w:p w:rsidR="00C35589" w:rsidRPr="002422AF" w:rsidRDefault="00C35589" w:rsidP="008C6931">
      <w:pPr>
        <w:pStyle w:val="Formuledadoption"/>
        <w:rPr>
          <w:noProof/>
        </w:rPr>
      </w:pPr>
      <w:r w:rsidRPr="002422AF">
        <w:rPr>
          <w:noProof/>
        </w:rPr>
        <w:t xml:space="preserve">ELFOGADTA EZT A HATÁROZATOT: </w:t>
      </w:r>
    </w:p>
    <w:p w:rsidR="009531D4" w:rsidRPr="002422AF" w:rsidRDefault="009531D4" w:rsidP="009531D4">
      <w:pPr>
        <w:pStyle w:val="Titrearticle"/>
        <w:outlineLvl w:val="0"/>
        <w:rPr>
          <w:noProof/>
        </w:rPr>
      </w:pPr>
      <w:r w:rsidRPr="002422AF">
        <w:rPr>
          <w:noProof/>
        </w:rPr>
        <w:t>1. cikk</w:t>
      </w:r>
    </w:p>
    <w:p w:rsidR="009531D4" w:rsidRPr="002422AF" w:rsidRDefault="009531D4" w:rsidP="009531D4">
      <w:pPr>
        <w:rPr>
          <w:rFonts w:eastAsia="Times New Roman"/>
          <w:noProof/>
          <w:szCs w:val="24"/>
        </w:rPr>
      </w:pPr>
      <w:r w:rsidRPr="002422AF">
        <w:rPr>
          <w:noProof/>
        </w:rPr>
        <w:t>Az Európai Unió, Izland, a Liechtensteini Hercegség és a Norvég Királyság közötti, a 2021. május és 2028. április közötti időszakra vonatkozó EGT Finanszírozási Mechanizmusról szóló megállapodásnak, a Norvég Királyság és az Európai Unió közötti, a 2021. május és 2028. április közötti időszakra vonatkozó Norvég Finanszírozási Mechanizmusról szóló megállapodásnak, az Európai Gazdasági Közösség és a Norvég Királyság közötti megállapodáshoz csatolt kiegészítő jegyzőkönyvnek, valamint az Európai Gazdasági Közösség és Izland közötti megállapodáshoz csatolt kiegészítő jegyzőkönyvnek az Unió nevében történő aláírására a Tanács felhatalmazást ad, figyelemmel az említett megállapodások és jegyzőkönyvek megkötésére.</w:t>
      </w:r>
    </w:p>
    <w:p w:rsidR="009531D4" w:rsidRPr="002422AF" w:rsidRDefault="009531D4" w:rsidP="009531D4">
      <w:pPr>
        <w:rPr>
          <w:rFonts w:eastAsia="Times New Roman"/>
          <w:noProof/>
          <w:szCs w:val="24"/>
        </w:rPr>
      </w:pPr>
      <w:r w:rsidRPr="002422AF">
        <w:rPr>
          <w:noProof/>
        </w:rPr>
        <w:t>Az aláírandó megállapodások és jegyzőkönyvek szövegét csatolták e határozathoz.</w:t>
      </w:r>
    </w:p>
    <w:p w:rsidR="009531D4" w:rsidRPr="002422AF" w:rsidRDefault="009531D4" w:rsidP="009531D4">
      <w:pPr>
        <w:pStyle w:val="Titrearticle"/>
        <w:rPr>
          <w:noProof/>
        </w:rPr>
      </w:pPr>
      <w:r w:rsidRPr="002422AF">
        <w:rPr>
          <w:noProof/>
        </w:rPr>
        <w:t>2. cikk</w:t>
      </w:r>
    </w:p>
    <w:p w:rsidR="009531D4" w:rsidRPr="002422AF" w:rsidRDefault="009531D4" w:rsidP="009531D4">
      <w:pPr>
        <w:rPr>
          <w:noProof/>
        </w:rPr>
      </w:pPr>
      <w:r w:rsidRPr="002422AF">
        <w:rPr>
          <w:noProof/>
        </w:rPr>
        <w:t>A Tanács Főtitkársága teljes mértékben felhatalmazza a főtárgyaló által megjelölt személy(eke)t a megállapodások és jegyzőkönyvek aláírására, figyelemmel azok megkötésére.</w:t>
      </w:r>
    </w:p>
    <w:p w:rsidR="009531D4" w:rsidRPr="002422AF" w:rsidRDefault="009531D4" w:rsidP="009531D4">
      <w:pPr>
        <w:pStyle w:val="Titrearticle"/>
        <w:rPr>
          <w:noProof/>
        </w:rPr>
      </w:pPr>
      <w:r w:rsidRPr="002422AF">
        <w:rPr>
          <w:noProof/>
        </w:rPr>
        <w:t>3. cikk</w:t>
      </w:r>
    </w:p>
    <w:p w:rsidR="009531D4" w:rsidRPr="002422AF" w:rsidRDefault="009531D4" w:rsidP="009531D4">
      <w:pPr>
        <w:rPr>
          <w:rFonts w:eastAsia="Times New Roman"/>
          <w:noProof/>
          <w:szCs w:val="24"/>
        </w:rPr>
      </w:pPr>
      <w:r w:rsidRPr="002422AF">
        <w:rPr>
          <w:noProof/>
        </w:rPr>
        <w:t>Az Európai Unió, Izland, a Liechtensteini Hercegség és a Norvég Királyság közötti, a 2021. május és 2028. április közötti időszakra vonatkozó EGT Finanszírozási Mechanizmusról szóló megállapodást, a Norvég Királyság és az Európai Unió közötti, a 2021. május és 2028. április közötti időszakra vonatkozó Norvég Finanszírozási Mechanizmusról szóló megállapodást – figyelemmel azok későbbi időpontban történő megkötésére és hatálybalépésükig – az előbbi megállapodás 3. cikkével, illetve az utóbbi megállapodás 10. cikkének (3) bekezdésével összhangban a vonatkozó utolsó értesítés letétbe helyezését követő első hónap első napjától ideiglenesen alkalmazni kell.</w:t>
      </w:r>
    </w:p>
    <w:p w:rsidR="009531D4" w:rsidRPr="002422AF" w:rsidRDefault="009531D4" w:rsidP="009531D4">
      <w:pPr>
        <w:rPr>
          <w:rFonts w:eastAsia="Times New Roman"/>
          <w:noProof/>
          <w:szCs w:val="24"/>
        </w:rPr>
      </w:pPr>
      <w:r w:rsidRPr="002422AF">
        <w:rPr>
          <w:noProof/>
        </w:rPr>
        <w:lastRenderedPageBreak/>
        <w:t>Az Európai Gazdasági Közösség és a Norvég Királyság közötti megállapodás kiegészítő jegyzőkönyvét – figyelemmel annak későbbi időpontban történő megkötésére és hatálybalépéséig – a jegyzőkönyv 5. cikkének harmadik bekezdésével összhangban a vonatkozó utolsó értesítés letétbe helyezését követő első hónap első napjától ideiglenesen alkalmazni kell.</w:t>
      </w:r>
    </w:p>
    <w:p w:rsidR="009531D4" w:rsidRPr="002422AF" w:rsidRDefault="009531D4" w:rsidP="009531D4">
      <w:pPr>
        <w:rPr>
          <w:rFonts w:eastAsia="Times New Roman"/>
          <w:noProof/>
          <w:szCs w:val="24"/>
        </w:rPr>
      </w:pPr>
      <w:r w:rsidRPr="002422AF">
        <w:rPr>
          <w:noProof/>
        </w:rPr>
        <w:t>Az Európai Gazdasági Közösség és Izland közötti megállapodás kiegészítő jegyzőkönyvét – figyelemmel annak későbbi időpontban történő megkötésére és hatálybalépéséig – a jegyzőkönyv 4. cikkének harmadik bekezdésével összhangban a vonatkozó utolsó értesítés letétbe helyezését követő első hónap első napjától ideiglenesen alkalmazni kell.</w:t>
      </w:r>
    </w:p>
    <w:p w:rsidR="009531D4" w:rsidRPr="002422AF" w:rsidRDefault="009531D4" w:rsidP="009531D4">
      <w:pPr>
        <w:rPr>
          <w:rFonts w:eastAsia="Times New Roman"/>
          <w:noProof/>
          <w:szCs w:val="24"/>
        </w:rPr>
      </w:pPr>
    </w:p>
    <w:p w:rsidR="009531D4" w:rsidRPr="002422AF" w:rsidRDefault="009531D4" w:rsidP="009531D4">
      <w:pPr>
        <w:pStyle w:val="Titrearticle"/>
        <w:keepNext w:val="0"/>
        <w:rPr>
          <w:noProof/>
        </w:rPr>
      </w:pPr>
      <w:r w:rsidRPr="002422AF">
        <w:rPr>
          <w:noProof/>
        </w:rPr>
        <w:t>4. cikk</w:t>
      </w:r>
    </w:p>
    <w:p w:rsidR="009531D4" w:rsidRPr="002422AF" w:rsidRDefault="009531D4" w:rsidP="009531D4">
      <w:pPr>
        <w:keepNext/>
        <w:keepLines/>
        <w:rPr>
          <w:noProof/>
        </w:rPr>
      </w:pPr>
      <w:r w:rsidRPr="002422AF">
        <w:rPr>
          <w:noProof/>
        </w:rPr>
        <w:t>Ez a határozat …-án/-én lép hatályba.</w:t>
      </w:r>
    </w:p>
    <w:p w:rsidR="009531D4" w:rsidRPr="002422AF" w:rsidRDefault="009531D4" w:rsidP="009531D4">
      <w:pPr>
        <w:rPr>
          <w:rFonts w:eastAsia="Times New Roman"/>
          <w:noProof/>
          <w:szCs w:val="24"/>
        </w:rPr>
      </w:pPr>
    </w:p>
    <w:p w:rsidR="009531D4" w:rsidRPr="002422AF" w:rsidRDefault="002422AF" w:rsidP="00D0463C">
      <w:pPr>
        <w:pStyle w:val="Fait"/>
        <w:rPr>
          <w:noProof/>
        </w:rPr>
      </w:pPr>
      <w:r>
        <w:rPr>
          <w:noProof/>
        </w:rPr>
        <w:t>Kelt Brüsszelben, -án/-én.</w:t>
      </w:r>
    </w:p>
    <w:p w:rsidR="00C35589" w:rsidRPr="002422AF" w:rsidRDefault="00C35589" w:rsidP="00D0463C">
      <w:pPr>
        <w:pStyle w:val="Institutionquisigne"/>
        <w:rPr>
          <w:noProof/>
        </w:rPr>
      </w:pPr>
      <w:r w:rsidRPr="002422AF">
        <w:rPr>
          <w:noProof/>
        </w:rPr>
        <w:tab/>
        <w:t>a Tanács részéről</w:t>
      </w:r>
    </w:p>
    <w:p w:rsidR="00C35589" w:rsidRPr="002422AF" w:rsidRDefault="00C35589" w:rsidP="00C35589">
      <w:pPr>
        <w:pStyle w:val="Personnequisigne"/>
        <w:rPr>
          <w:noProof/>
        </w:rPr>
      </w:pPr>
      <w:r w:rsidRPr="002422AF">
        <w:rPr>
          <w:noProof/>
        </w:rPr>
        <w:tab/>
        <w:t>az elnök</w:t>
      </w:r>
    </w:p>
    <w:sectPr w:rsidR="00C35589" w:rsidRPr="002422AF" w:rsidSect="008A1F6E">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558" w:rsidRDefault="00605558" w:rsidP="00C35589">
      <w:pPr>
        <w:spacing w:before="0" w:after="0"/>
      </w:pPr>
      <w:r>
        <w:separator/>
      </w:r>
    </w:p>
  </w:endnote>
  <w:endnote w:type="continuationSeparator" w:id="0">
    <w:p w:rsidR="00605558" w:rsidRDefault="00605558" w:rsidP="00C355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F6E" w:rsidRPr="008A1F6E" w:rsidRDefault="008A1F6E" w:rsidP="008A1F6E">
    <w:pPr>
      <w:pStyle w:val="Footer"/>
      <w:rPr>
        <w:rFonts w:ascii="Arial" w:hAnsi="Arial" w:cs="Arial"/>
        <w:b/>
        <w:sz w:val="48"/>
      </w:rPr>
    </w:pPr>
    <w:r w:rsidRPr="008A1F6E">
      <w:rPr>
        <w:rFonts w:ascii="Arial" w:hAnsi="Arial" w:cs="Arial"/>
        <w:b/>
        <w:sz w:val="48"/>
      </w:rPr>
      <w:t>HU</w:t>
    </w:r>
    <w:r w:rsidRPr="008A1F6E">
      <w:rPr>
        <w:rFonts w:ascii="Arial" w:hAnsi="Arial" w:cs="Arial"/>
        <w:b/>
        <w:sz w:val="48"/>
      </w:rPr>
      <w:tab/>
    </w:r>
    <w:r w:rsidRPr="008A1F6E">
      <w:rPr>
        <w:rFonts w:ascii="Arial" w:hAnsi="Arial" w:cs="Arial"/>
        <w:b/>
        <w:sz w:val="48"/>
      </w:rPr>
      <w:tab/>
    </w:r>
    <w:r w:rsidRPr="008A1F6E">
      <w:tab/>
    </w:r>
    <w:r w:rsidRPr="008A1F6E">
      <w:rPr>
        <w:rFonts w:ascii="Arial" w:hAnsi="Arial" w:cs="Arial"/>
        <w:b/>
        <w:sz w:val="48"/>
      </w:rPr>
      <w:t>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F6E" w:rsidRPr="008A1F6E" w:rsidRDefault="008A1F6E" w:rsidP="008A1F6E">
    <w:pPr>
      <w:pStyle w:val="Footer"/>
      <w:rPr>
        <w:rFonts w:ascii="Arial" w:hAnsi="Arial" w:cs="Arial"/>
        <w:b/>
        <w:sz w:val="48"/>
      </w:rPr>
    </w:pPr>
    <w:r w:rsidRPr="008A1F6E">
      <w:rPr>
        <w:rFonts w:ascii="Arial" w:hAnsi="Arial" w:cs="Arial"/>
        <w:b/>
        <w:sz w:val="48"/>
      </w:rPr>
      <w:t>HU</w:t>
    </w:r>
    <w:r w:rsidRPr="008A1F6E">
      <w:rPr>
        <w:rFonts w:ascii="Arial" w:hAnsi="Arial" w:cs="Arial"/>
        <w:b/>
        <w:sz w:val="48"/>
      </w:rPr>
      <w:tab/>
    </w:r>
    <w:r w:rsidRPr="008A1F6E">
      <w:rPr>
        <w:rFonts w:ascii="Arial" w:hAnsi="Arial" w:cs="Arial"/>
        <w:b/>
        <w:sz w:val="48"/>
      </w:rPr>
      <w:tab/>
    </w:r>
    <w:r w:rsidRPr="008A1F6E">
      <w:tab/>
    </w:r>
    <w:r w:rsidRPr="008A1F6E">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F6E" w:rsidRDefault="008A1F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F6E" w:rsidRPr="008A1F6E" w:rsidRDefault="008A1F6E" w:rsidP="008A1F6E">
    <w:pPr>
      <w:pStyle w:val="Footer"/>
      <w:rPr>
        <w:rFonts w:ascii="Arial" w:hAnsi="Arial" w:cs="Arial"/>
        <w:b/>
        <w:sz w:val="48"/>
      </w:rPr>
    </w:pPr>
    <w:r w:rsidRPr="008A1F6E">
      <w:rPr>
        <w:rFonts w:ascii="Arial" w:hAnsi="Arial" w:cs="Arial"/>
        <w:b/>
        <w:sz w:val="48"/>
      </w:rPr>
      <w:t>HU</w:t>
    </w:r>
    <w:r w:rsidRPr="008A1F6E">
      <w:rPr>
        <w:rFonts w:ascii="Arial" w:hAnsi="Arial" w:cs="Arial"/>
        <w:b/>
        <w:sz w:val="48"/>
      </w:rPr>
      <w:tab/>
    </w:r>
    <w:r>
      <w:fldChar w:fldCharType="begin"/>
    </w:r>
    <w:r>
      <w:instrText xml:space="preserve"> PAGE  \* MERGEFORMAT </w:instrText>
    </w:r>
    <w:r>
      <w:fldChar w:fldCharType="separate"/>
    </w:r>
    <w:r w:rsidR="00D0463C">
      <w:rPr>
        <w:noProof/>
      </w:rPr>
      <w:t>5</w:t>
    </w:r>
    <w:r>
      <w:fldChar w:fldCharType="end"/>
    </w:r>
    <w:r>
      <w:tab/>
    </w:r>
    <w:r w:rsidRPr="008A1F6E">
      <w:tab/>
    </w:r>
    <w:r w:rsidRPr="008A1F6E">
      <w:rPr>
        <w:rFonts w:ascii="Arial" w:hAnsi="Arial" w:cs="Arial"/>
        <w:b/>
        <w:sz w:val="48"/>
      </w:rPr>
      <w:t>HU</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F6E" w:rsidRDefault="008A1F6E" w:rsidP="008A1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558" w:rsidRDefault="00605558" w:rsidP="00C35589">
      <w:pPr>
        <w:spacing w:before="0" w:after="0"/>
      </w:pPr>
      <w:r>
        <w:separator/>
      </w:r>
    </w:p>
  </w:footnote>
  <w:footnote w:type="continuationSeparator" w:id="0">
    <w:p w:rsidR="00605558" w:rsidRDefault="00605558" w:rsidP="00C35589">
      <w:pPr>
        <w:spacing w:before="0" w:after="0"/>
      </w:pPr>
      <w:r>
        <w:continuationSeparator/>
      </w:r>
    </w:p>
  </w:footnote>
  <w:footnote w:id="1">
    <w:p w:rsidR="00DC429D" w:rsidRPr="002422AF" w:rsidRDefault="00DC429D">
      <w:pPr>
        <w:pStyle w:val="FootnoteText"/>
        <w:rPr>
          <w:lang w:val="fr-BE"/>
        </w:rPr>
      </w:pPr>
      <w:r>
        <w:rPr>
          <w:rStyle w:val="FootnoteReference"/>
        </w:rPr>
        <w:footnoteRef/>
      </w:r>
      <w:r w:rsidRPr="002422AF">
        <w:rPr>
          <w:lang w:val="fr-BE"/>
        </w:rPr>
        <w:tab/>
        <w:t>HL L 141., 2016.5.28., 3. és 11. o.</w:t>
      </w:r>
    </w:p>
  </w:footnote>
  <w:footnote w:id="2">
    <w:p w:rsidR="004407A2" w:rsidRPr="002422AF" w:rsidRDefault="004407A2" w:rsidP="004407A2">
      <w:pPr>
        <w:pStyle w:val="FootnoteText"/>
        <w:rPr>
          <w:lang w:val="fr-BE"/>
        </w:rPr>
      </w:pPr>
      <w:r>
        <w:rPr>
          <w:rStyle w:val="FootnoteReference"/>
        </w:rPr>
        <w:footnoteRef/>
      </w:r>
      <w:r w:rsidRPr="002422AF">
        <w:rPr>
          <w:lang w:val="fr-BE"/>
        </w:rPr>
        <w:tab/>
        <w:t>8365/21 ADD 1 tanácsi dokumentum.</w:t>
      </w:r>
    </w:p>
  </w:footnote>
  <w:footnote w:id="3">
    <w:p w:rsidR="004407A2" w:rsidRPr="002422AF" w:rsidRDefault="004407A2" w:rsidP="004407A2">
      <w:pPr>
        <w:pStyle w:val="FootnoteText"/>
        <w:rPr>
          <w:lang w:val="fr-BE"/>
        </w:rPr>
      </w:pPr>
      <w:r>
        <w:rPr>
          <w:rStyle w:val="FootnoteReference"/>
        </w:rPr>
        <w:footnoteRef/>
      </w:r>
      <w:r w:rsidRPr="002422AF">
        <w:rPr>
          <w:lang w:val="fr-BE"/>
        </w:rPr>
        <w:tab/>
        <w:t>HL L 141., 2016.5.28., 18. és 22. o.</w:t>
      </w:r>
    </w:p>
  </w:footnote>
  <w:footnote w:id="4">
    <w:p w:rsidR="00AA399E" w:rsidRDefault="00AA399E">
      <w:pPr>
        <w:pStyle w:val="FootnoteText"/>
      </w:pPr>
      <w:r>
        <w:rPr>
          <w:rStyle w:val="FootnoteReference"/>
        </w:rPr>
        <w:footnoteRef/>
      </w:r>
      <w:r>
        <w:tab/>
        <w:t>HL L 141., 2016.5.28., 18. és 22. 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F6E" w:rsidRDefault="008A1F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F6E" w:rsidRDefault="008A1F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5978DC8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3C8095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C0EC7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07E5DE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3"/>
  </w:num>
  <w:num w:numId="3">
    <w:abstractNumId w:val="2"/>
  </w:num>
  <w:num w:numId="4">
    <w:abstractNumId w:val="1"/>
  </w:num>
  <w:num w:numId="5">
    <w:abstractNumId w:val="0"/>
  </w:num>
  <w:num w:numId="6">
    <w:abstractNumId w:val="18"/>
    <w:lvlOverride w:ilvl="0">
      <w:startOverride w:val="1"/>
    </w:lvlOverride>
  </w:num>
  <w:num w:numId="7">
    <w:abstractNumId w:val="15"/>
  </w:num>
  <w:num w:numId="8">
    <w:abstractNumId w:val="8"/>
  </w:num>
  <w:num w:numId="9">
    <w:abstractNumId w:val="17"/>
  </w:num>
  <w:num w:numId="10">
    <w:abstractNumId w:val="7"/>
  </w:num>
  <w:num w:numId="11">
    <w:abstractNumId w:val="9"/>
  </w:num>
  <w:num w:numId="12">
    <w:abstractNumId w:val="10"/>
  </w:num>
  <w:num w:numId="13">
    <w:abstractNumId w:val="5"/>
  </w:num>
  <w:num w:numId="14">
    <w:abstractNumId w:val="16"/>
  </w:num>
  <w:num w:numId="15">
    <w:abstractNumId w:val="4"/>
  </w:num>
  <w:num w:numId="16">
    <w:abstractNumId w:val="11"/>
  </w:num>
  <w:num w:numId="17">
    <w:abstractNumId w:val="13"/>
  </w:num>
  <w:num w:numId="18">
    <w:abstractNumId w:val="14"/>
  </w:num>
  <w:num w:numId="19">
    <w:abstractNumId w:val="6"/>
  </w:num>
  <w:num w:numId="20">
    <w:abstractNumId w:val="12"/>
  </w:num>
  <w:num w:numId="21">
    <w:abstractNumId w:val="18"/>
  </w:num>
  <w:num w:numId="22">
    <w:abstractNumId w:val="15"/>
  </w:num>
  <w:num w:numId="23">
    <w:abstractNumId w:val="8"/>
  </w:num>
  <w:num w:numId="24">
    <w:abstractNumId w:val="17"/>
  </w:num>
  <w:num w:numId="25">
    <w:abstractNumId w:val="7"/>
  </w:num>
  <w:num w:numId="26">
    <w:abstractNumId w:val="9"/>
  </w:num>
  <w:num w:numId="27">
    <w:abstractNumId w:val="10"/>
  </w:num>
  <w:num w:numId="28">
    <w:abstractNumId w:val="5"/>
  </w:num>
  <w:num w:numId="29">
    <w:abstractNumId w:val="16"/>
  </w:num>
  <w:num w:numId="30">
    <w:abstractNumId w:val="4"/>
  </w:num>
  <w:num w:numId="31">
    <w:abstractNumId w:val="11"/>
  </w:num>
  <w:num w:numId="32">
    <w:abstractNumId w:val="13"/>
  </w:num>
  <w:num w:numId="33">
    <w:abstractNumId w:val="14"/>
  </w:num>
  <w:num w:numId="34">
    <w:abstractNumId w:val="6"/>
  </w:num>
  <w:num w:numId="35">
    <w:abstractNumId w:val="12"/>
  </w:num>
  <w:num w:numId="36">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03-17 19:47:20"/>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0D9CD81D-1CD8-454D-9C3F-C36397477B3A"/>
    <w:docVar w:name="LW_COVERPAGE_TYPE" w:val="1"/>
    <w:docVar w:name="LW_CROSSREFERENCE" w:val="&lt;UNUSED&gt;"/>
    <w:docVar w:name="LW_DocType" w:val="COM"/>
    <w:docVar w:name="LW_EMISSION" w:val="2024.3.4."/>
    <w:docVar w:name="LW_EMISSION_ISODATE" w:val="2024-03-04"/>
    <w:docVar w:name="LW_EMISSION_LOCATION" w:val="BRX"/>
    <w:docVar w:name="LW_EMISSION_PREFIX" w:val="Brüsszel, "/>
    <w:docVar w:name="LW_EMISSION_SUFFIX" w:val=" "/>
    <w:docVar w:name="LW_ID_DOCMODEL" w:val="SJ-019"/>
    <w:docVar w:name="LW_ID_DOCSIGNATURE" w:val="SJ-019"/>
    <w:docVar w:name="LW_ID_DOCSTRUCTURE" w:val="COM/PL/ORG"/>
    <w:docVar w:name="LW_ID_DOCTYPE" w:val="SJ-019"/>
    <w:docVar w:name="LW_ID_STATUT" w:val="SJ-019"/>
    <w:docVar w:name="LW_INSERT_EXP.MOTIFS.NEW" w:val="1"/>
    <w:docVar w:name="LW_INTERETEEE.CP" w:val="(EGT-vonatkozású szöveg)"/>
    <w:docVar w:name="LW_LANGUE" w:val="HU"/>
    <w:docVar w:name="LW_LEVEL_OF_SENSITIVITY" w:val="Standard treatment"/>
    <w:docVar w:name="LW_NOM.INST" w:val="EURÓPAI BIZOTTSÁG"/>
    <w:docVar w:name="LW_NOM.INST_JOINTDOC" w:val="&lt;EMPTY&gt;"/>
    <w:docVar w:name="LW_PART_NBR" w:val="1"/>
    <w:docVar w:name="LW_PART_NBR_TOTAL" w:val="1"/>
    <w:docVar w:name="LW_REF.II.NEW.CP" w:val="NLE"/>
    <w:docVar w:name="LW_REF.II.NEW.CP_NUMBER" w:val="0053"/>
    <w:docVar w:name="LW_REF.II.NEW.CP_YEAR" w:val="2024"/>
    <w:docVar w:name="LW_REF.INST.NEW" w:val="COM"/>
    <w:docVar w:name="LW_REF.INST.NEW_ADOPTED" w:val="final"/>
    <w:docVar w:name="LW_REF.INST.NEW_TEXT" w:val="(2024) 96"/>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Javaslat"/>
    <w:docVar w:name="LW_SUPERTITRE" w:val="&lt;UNUSED&gt;"/>
    <w:docVar w:name="LW_TITRE.OBJ.CP" w:val="az Európai Unió, Izland, a Liechtensteini Hercegség és a Norvég Királyság közötti, a 2021. május és 2028. április közötti id\u337?szakra vonatkozó EGT Finanszírozási Mechanizmusról szóló megállapodásnak, a Norvég Királyság és az Európai Unió közötti, a 2021. május és 2028. április közötti id\u337?szakra vonatkozó Norvég Finanszírozási Mechanizmusról szóló megállapodásnak, az Európai Gazdasági Közösség és a Norvég Királyság közötti megállapodáshoz csatolt kiegészít\u337? jegyz\u337?könyvnek, valamint az Európai Gazdasági Közösség és Izland közötti megállapodáshoz csatolt kiegészít\u337? jegyz\u337?könyvnek az Európai Unió nevében történ\u337? aláírásáról és az ideiglenes alkalmazásáról_x000b_"/>
    <w:docVar w:name="LW_TYPE.DOC.CP" w:val="A TANÁCS HATÁROZATA"/>
    <w:docVar w:name="LwApiVersions" w:val="LW4CoDe 1.24.5.0; LW 9.0, Build 20240221"/>
  </w:docVars>
  <w:rsids>
    <w:rsidRoot w:val="00C35589"/>
    <w:rsid w:val="00036E70"/>
    <w:rsid w:val="00062C8B"/>
    <w:rsid w:val="00071C8C"/>
    <w:rsid w:val="000735C7"/>
    <w:rsid w:val="000F79FA"/>
    <w:rsid w:val="001065F5"/>
    <w:rsid w:val="0011016B"/>
    <w:rsid w:val="001238EF"/>
    <w:rsid w:val="001242E2"/>
    <w:rsid w:val="00143745"/>
    <w:rsid w:val="001663C9"/>
    <w:rsid w:val="001715C3"/>
    <w:rsid w:val="001916C8"/>
    <w:rsid w:val="00197613"/>
    <w:rsid w:val="001B3984"/>
    <w:rsid w:val="00204AA8"/>
    <w:rsid w:val="00233DC7"/>
    <w:rsid w:val="00241A4B"/>
    <w:rsid w:val="002422AF"/>
    <w:rsid w:val="00247779"/>
    <w:rsid w:val="00283547"/>
    <w:rsid w:val="00285BEE"/>
    <w:rsid w:val="00291431"/>
    <w:rsid w:val="0029533F"/>
    <w:rsid w:val="002A5AAF"/>
    <w:rsid w:val="002B30AF"/>
    <w:rsid w:val="002E3A24"/>
    <w:rsid w:val="002E4836"/>
    <w:rsid w:val="0033344A"/>
    <w:rsid w:val="00352030"/>
    <w:rsid w:val="004036A0"/>
    <w:rsid w:val="0042648E"/>
    <w:rsid w:val="004407A2"/>
    <w:rsid w:val="00443F02"/>
    <w:rsid w:val="004936D2"/>
    <w:rsid w:val="004E2D19"/>
    <w:rsid w:val="00597AF1"/>
    <w:rsid w:val="005B1EB6"/>
    <w:rsid w:val="005D4EB1"/>
    <w:rsid w:val="005F6A02"/>
    <w:rsid w:val="00605558"/>
    <w:rsid w:val="00641EBE"/>
    <w:rsid w:val="0065449D"/>
    <w:rsid w:val="006C499F"/>
    <w:rsid w:val="006D140F"/>
    <w:rsid w:val="006E6364"/>
    <w:rsid w:val="00727A9B"/>
    <w:rsid w:val="00765D17"/>
    <w:rsid w:val="00772FE9"/>
    <w:rsid w:val="00773331"/>
    <w:rsid w:val="0077720C"/>
    <w:rsid w:val="007932EF"/>
    <w:rsid w:val="007E05B0"/>
    <w:rsid w:val="00806DF5"/>
    <w:rsid w:val="00815A40"/>
    <w:rsid w:val="00874D22"/>
    <w:rsid w:val="008A16C6"/>
    <w:rsid w:val="008A1F6E"/>
    <w:rsid w:val="008A2914"/>
    <w:rsid w:val="008A5A3B"/>
    <w:rsid w:val="008C141E"/>
    <w:rsid w:val="008C6931"/>
    <w:rsid w:val="008D2822"/>
    <w:rsid w:val="008E4D8E"/>
    <w:rsid w:val="00900C19"/>
    <w:rsid w:val="0091221C"/>
    <w:rsid w:val="009333FB"/>
    <w:rsid w:val="009531D4"/>
    <w:rsid w:val="00964474"/>
    <w:rsid w:val="00970774"/>
    <w:rsid w:val="00985DFA"/>
    <w:rsid w:val="009A6EC7"/>
    <w:rsid w:val="009E161B"/>
    <w:rsid w:val="009F6818"/>
    <w:rsid w:val="00A45459"/>
    <w:rsid w:val="00AA1CD3"/>
    <w:rsid w:val="00AA399E"/>
    <w:rsid w:val="00B129CA"/>
    <w:rsid w:val="00B3368B"/>
    <w:rsid w:val="00B80A54"/>
    <w:rsid w:val="00BC6359"/>
    <w:rsid w:val="00BD5A4F"/>
    <w:rsid w:val="00C07997"/>
    <w:rsid w:val="00C10257"/>
    <w:rsid w:val="00C12301"/>
    <w:rsid w:val="00C35589"/>
    <w:rsid w:val="00CF01B1"/>
    <w:rsid w:val="00CF5039"/>
    <w:rsid w:val="00D0463C"/>
    <w:rsid w:val="00D20381"/>
    <w:rsid w:val="00DC429D"/>
    <w:rsid w:val="00DD14F6"/>
    <w:rsid w:val="00DE6FCF"/>
    <w:rsid w:val="00E177CE"/>
    <w:rsid w:val="00E217B4"/>
    <w:rsid w:val="00E34C4A"/>
    <w:rsid w:val="00E50584"/>
    <w:rsid w:val="00E60311"/>
    <w:rsid w:val="00EC3121"/>
    <w:rsid w:val="00ED5906"/>
    <w:rsid w:val="00F032D4"/>
    <w:rsid w:val="00F57AAD"/>
    <w:rsid w:val="00F64B42"/>
    <w:rsid w:val="00F8292C"/>
    <w:rsid w:val="00FA4CEB"/>
    <w:rsid w:val="00FC2E8B"/>
    <w:rsid w:val="00FC38F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D0BE31B7-FBC8-4E14-ABE5-1304BED9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8A16C6"/>
    <w:pPr>
      <w:numPr>
        <w:numId w:val="2"/>
      </w:numPr>
      <w:contextualSpacing/>
    </w:pPr>
  </w:style>
  <w:style w:type="paragraph" w:styleId="ListBullet2">
    <w:name w:val="List Bullet 2"/>
    <w:basedOn w:val="Normal"/>
    <w:uiPriority w:val="99"/>
    <w:semiHidden/>
    <w:unhideWhenUsed/>
    <w:rsid w:val="008A16C6"/>
    <w:pPr>
      <w:numPr>
        <w:numId w:val="3"/>
      </w:numPr>
      <w:contextualSpacing/>
    </w:pPr>
  </w:style>
  <w:style w:type="paragraph" w:styleId="ListBullet3">
    <w:name w:val="List Bullet 3"/>
    <w:basedOn w:val="Normal"/>
    <w:uiPriority w:val="99"/>
    <w:semiHidden/>
    <w:unhideWhenUsed/>
    <w:rsid w:val="008A16C6"/>
    <w:pPr>
      <w:numPr>
        <w:numId w:val="4"/>
      </w:numPr>
      <w:contextualSpacing/>
    </w:pPr>
  </w:style>
  <w:style w:type="paragraph" w:styleId="ListBullet4">
    <w:name w:val="List Bullet 4"/>
    <w:basedOn w:val="Normal"/>
    <w:uiPriority w:val="99"/>
    <w:semiHidden/>
    <w:unhideWhenUsed/>
    <w:rsid w:val="008A16C6"/>
    <w:pPr>
      <w:numPr>
        <w:numId w:val="5"/>
      </w:numPr>
      <w:contextualSpacing/>
    </w:pPr>
  </w:style>
  <w:style w:type="character" w:styleId="CommentReference">
    <w:name w:val="annotation reference"/>
    <w:basedOn w:val="DefaultParagraphFont"/>
    <w:uiPriority w:val="99"/>
    <w:semiHidden/>
    <w:unhideWhenUsed/>
    <w:rsid w:val="00DE6FCF"/>
    <w:rPr>
      <w:sz w:val="16"/>
      <w:szCs w:val="16"/>
    </w:rPr>
  </w:style>
  <w:style w:type="paragraph" w:styleId="CommentText">
    <w:name w:val="annotation text"/>
    <w:basedOn w:val="Normal"/>
    <w:link w:val="CommentTextChar"/>
    <w:uiPriority w:val="99"/>
    <w:semiHidden/>
    <w:unhideWhenUsed/>
    <w:rsid w:val="00DE6FCF"/>
    <w:rPr>
      <w:sz w:val="20"/>
      <w:szCs w:val="20"/>
    </w:rPr>
  </w:style>
  <w:style w:type="character" w:customStyle="1" w:styleId="CommentTextChar">
    <w:name w:val="Comment Text Char"/>
    <w:basedOn w:val="DefaultParagraphFont"/>
    <w:link w:val="CommentText"/>
    <w:uiPriority w:val="99"/>
    <w:semiHidden/>
    <w:rsid w:val="00DE6FCF"/>
    <w:rPr>
      <w:rFonts w:ascii="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sid w:val="00DE6FCF"/>
    <w:rPr>
      <w:b/>
      <w:bCs/>
    </w:rPr>
  </w:style>
  <w:style w:type="character" w:customStyle="1" w:styleId="CommentSubjectChar">
    <w:name w:val="Comment Subject Char"/>
    <w:basedOn w:val="CommentTextChar"/>
    <w:link w:val="CommentSubject"/>
    <w:uiPriority w:val="99"/>
    <w:semiHidden/>
    <w:rsid w:val="00DE6FCF"/>
    <w:rPr>
      <w:rFonts w:ascii="Times New Roman" w:hAnsi="Times New Roman" w:cs="Times New Roman"/>
      <w:b/>
      <w:bCs/>
      <w:sz w:val="20"/>
      <w:szCs w:val="20"/>
      <w:lang w:val="hu-HU"/>
    </w:rPr>
  </w:style>
  <w:style w:type="character" w:styleId="Hyperlink">
    <w:name w:val="Hyperlink"/>
    <w:basedOn w:val="DefaultParagraphFont"/>
    <w:uiPriority w:val="99"/>
    <w:unhideWhenUsed/>
    <w:rsid w:val="00DE6FCF"/>
    <w:rPr>
      <w:color w:val="0000FF" w:themeColor="hyperlink"/>
      <w:u w:val="single"/>
    </w:rPr>
  </w:style>
  <w:style w:type="character" w:customStyle="1" w:styleId="UnresolvedMention1">
    <w:name w:val="Unresolved Mention1"/>
    <w:basedOn w:val="DefaultParagraphFont"/>
    <w:uiPriority w:val="99"/>
    <w:semiHidden/>
    <w:unhideWhenUsed/>
    <w:rsid w:val="00DE6FCF"/>
    <w:rPr>
      <w:color w:val="605E5C"/>
      <w:shd w:val="clear" w:color="auto" w:fill="E1DFDD"/>
    </w:rPr>
  </w:style>
  <w:style w:type="paragraph" w:styleId="Revision">
    <w:name w:val="Revision"/>
    <w:hidden/>
    <w:uiPriority w:val="99"/>
    <w:semiHidden/>
    <w:rsid w:val="00DE6FCF"/>
    <w:pPr>
      <w:spacing w:after="0" w:line="240" w:lineRule="auto"/>
    </w:pPr>
    <w:rPr>
      <w:rFonts w:ascii="Times New Roman" w:hAnsi="Times New Roman" w:cs="Times New Roman"/>
      <w:sz w:val="24"/>
    </w:rPr>
  </w:style>
  <w:style w:type="character" w:customStyle="1" w:styleId="HeaderChar">
    <w:name w:val="Header Char"/>
    <w:basedOn w:val="DefaultParagraphFont"/>
    <w:link w:val="Header"/>
    <w:uiPriority w:val="99"/>
    <w:rsid w:val="008A1F6E"/>
    <w:rPr>
      <w:rFonts w:ascii="Times New Roman" w:hAnsi="Times New Roman" w:cs="Times New Roman"/>
      <w:sz w:val="24"/>
      <w:lang w:val="hu-HU"/>
    </w:rPr>
  </w:style>
  <w:style w:type="character" w:customStyle="1" w:styleId="FooterChar">
    <w:name w:val="Footer Char"/>
    <w:basedOn w:val="DefaultParagraphFont"/>
    <w:link w:val="Footer"/>
    <w:uiPriority w:val="99"/>
    <w:rsid w:val="008A1F6E"/>
    <w:rPr>
      <w:rFonts w:ascii="Times New Roman" w:hAnsi="Times New Roman" w:cs="Times New Roman"/>
      <w:sz w:val="24"/>
      <w:lang w:val="hu-HU"/>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8A1F6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8A1F6E"/>
    <w:pPr>
      <w:spacing w:before="0"/>
      <w:jc w:val="right"/>
    </w:pPr>
    <w:rPr>
      <w:sz w:val="28"/>
    </w:rPr>
  </w:style>
  <w:style w:type="paragraph" w:customStyle="1" w:styleId="FooterSensitivity">
    <w:name w:val="Footer Sensitivity"/>
    <w:basedOn w:val="Normal"/>
    <w:rsid w:val="008A1F6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Tiret5">
    <w:name w:val="Tiret 5"/>
    <w:basedOn w:val="Point5"/>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NumPar5">
    <w:name w:val="NumPar 5"/>
    <w:basedOn w:val="Normal"/>
    <w:next w:val="Text2"/>
    <w:pPr>
      <w:numPr>
        <w:ilvl w:val="4"/>
        <w:numId w:val="28"/>
      </w:numPr>
    </w:pPr>
  </w:style>
  <w:style w:type="paragraph" w:customStyle="1" w:styleId="NumPar6">
    <w:name w:val="NumPar 6"/>
    <w:basedOn w:val="Normal"/>
    <w:next w:val="Text2"/>
    <w:pPr>
      <w:numPr>
        <w:ilvl w:val="5"/>
        <w:numId w:val="28"/>
      </w:numPr>
    </w:pPr>
  </w:style>
  <w:style w:type="paragraph" w:customStyle="1" w:styleId="NumPar7">
    <w:name w:val="NumPar 7"/>
    <w:basedOn w:val="Normal"/>
    <w:next w:val="Text2"/>
    <w:pPr>
      <w:numPr>
        <w:ilvl w:val="6"/>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8A1F6E"/>
    <w:pPr>
      <w:tabs>
        <w:tab w:val="center" w:pos="4535"/>
        <w:tab w:val="right" w:pos="9071"/>
      </w:tabs>
      <w:spacing w:before="0"/>
    </w:pPr>
  </w:style>
  <w:style w:type="paragraph" w:customStyle="1" w:styleId="HeaderLandscape">
    <w:name w:val="HeaderLandscape"/>
    <w:basedOn w:val="Normal"/>
    <w:rsid w:val="008A1F6E"/>
    <w:pPr>
      <w:tabs>
        <w:tab w:val="center" w:pos="7285"/>
        <w:tab w:val="right" w:pos="14003"/>
      </w:tabs>
      <w:spacing w:before="0"/>
    </w:pPr>
  </w:style>
  <w:style w:type="paragraph" w:styleId="Footer">
    <w:name w:val="footer"/>
    <w:basedOn w:val="Normal"/>
    <w:link w:val="FooterChar"/>
    <w:uiPriority w:val="99"/>
    <w:unhideWhenUsed/>
    <w:rsid w:val="008A1F6E"/>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8A1F6E"/>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25</TotalTime>
  <Pages>6</Pages>
  <Words>1678</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25</cp:revision>
  <dcterms:created xsi:type="dcterms:W3CDTF">2024-02-29T11:51:00Z</dcterms:created>
  <dcterms:modified xsi:type="dcterms:W3CDTF">2024-03-17T18:47:00Z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MSIP_Label_6bd9ddd1-4d20-43f6-abfa-fc3c07406f94_Enabled">
    <vt:lpwstr>true</vt:lpwstr>
  </property>
  <property fmtid="{D5CDD505-2E9C-101B-9397-08002B2CF9AE}" pid="11" name="MSIP_Label_6bd9ddd1-4d20-43f6-abfa-fc3c07406f94_SetDate">
    <vt:lpwstr>2023-12-20T19:26:30Z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f5943b25-1f9f-4a9b-9104-06ea67cd77c8</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