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F33231" w14:textId="7AB3D85E" w:rsidR="00894F53" w:rsidRDefault="008510D3" w:rsidP="008510D3">
      <w:pPr>
        <w:pStyle w:val="Pagedecouverture"/>
        <w:rPr>
          <w:noProof/>
        </w:rPr>
      </w:pPr>
      <w:bookmarkStart w:id="0" w:name="_Toc155653106"/>
      <w:bookmarkStart w:id="1" w:name="LW_BM_COVERPAGE"/>
      <w:r>
        <w:rPr>
          <w:noProof/>
        </w:rPr>
        <w:pict w14:anchorId="45B78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9570BB4A-D6B8-4697-A3EB-1AAE1EF98C97" style="width:455.25pt;height:310.5pt">
            <v:imagedata r:id="rId11" o:title=""/>
          </v:shape>
        </w:pict>
      </w:r>
    </w:p>
    <w:bookmarkEnd w:id="1"/>
    <w:p w14:paraId="6C57CBD1" w14:textId="63DB8D5D" w:rsidR="00520D09" w:rsidRPr="00520D09" w:rsidRDefault="00520D09" w:rsidP="00181CD8">
      <w:pPr>
        <w:pStyle w:val="Pagedecouverture"/>
        <w:rPr>
          <w:noProof/>
        </w:rPr>
        <w:sectPr w:rsidR="00520D09" w:rsidRPr="00520D09" w:rsidSect="008510D3">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60"/>
        </w:sectPr>
      </w:pPr>
    </w:p>
    <w:p w14:paraId="0950DE9D" w14:textId="7E78E634" w:rsidR="00F814A3" w:rsidRPr="00F814A3" w:rsidRDefault="00F814A3" w:rsidP="00F814A3">
      <w:pPr>
        <w:pStyle w:val="Typedudocument"/>
        <w:rPr>
          <w:noProof/>
        </w:rPr>
      </w:pPr>
      <w:bookmarkStart w:id="2" w:name="_Toc159792195"/>
      <w:bookmarkStart w:id="3" w:name="_Toc155653035"/>
      <w:bookmarkStart w:id="4" w:name="_Toc155653107"/>
      <w:bookmarkStart w:id="5" w:name="_GoBack"/>
      <w:bookmarkEnd w:id="0"/>
      <w:bookmarkEnd w:id="5"/>
      <w:r w:rsidRPr="00F814A3">
        <w:rPr>
          <w:noProof/>
        </w:rPr>
        <w:t>KOMUNIKACIJA KOMISIJE EUROPSKOM PARLAMENTU, VIJEĆU, EUROPSKOM GOSPODARSKOM I SOCIJALNOM ODBORU I ODBORU REGIJA</w:t>
      </w:r>
    </w:p>
    <w:p w14:paraId="7187F257" w14:textId="0768E979" w:rsidR="00F814A3" w:rsidRPr="00F814A3" w:rsidRDefault="00F814A3" w:rsidP="00F814A3">
      <w:pPr>
        <w:pStyle w:val="Titreobjet"/>
        <w:rPr>
          <w:noProof/>
        </w:rPr>
      </w:pPr>
      <w:bookmarkStart w:id="6" w:name="_Hlk161678628"/>
      <w:r w:rsidRPr="00F814A3">
        <w:rPr>
          <w:noProof/>
        </w:rPr>
        <w:t>Upravljanje klimatskim rizicima – zaštita ljudi i blagostanja</w:t>
      </w:r>
      <w:bookmarkEnd w:id="6"/>
    </w:p>
    <w:p w14:paraId="2FAB77FE" w14:textId="68968562" w:rsidR="0053389F" w:rsidRPr="00677067" w:rsidRDefault="0053389F" w:rsidP="00B06AE7">
      <w:pPr>
        <w:pStyle w:val="Heading1"/>
        <w:numPr>
          <w:ilvl w:val="0"/>
          <w:numId w:val="1"/>
        </w:numPr>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Uvod</w:t>
      </w:r>
      <w:bookmarkEnd w:id="2"/>
      <w:r>
        <w:rPr>
          <w:rFonts w:ascii="Times New Roman" w:hAnsi="Times New Roman"/>
          <w:b/>
          <w:noProof/>
          <w:color w:val="000000" w:themeColor="text1"/>
          <w:sz w:val="24"/>
        </w:rPr>
        <w:t xml:space="preserve"> </w:t>
      </w:r>
      <w:bookmarkEnd w:id="3"/>
      <w:bookmarkEnd w:id="4"/>
    </w:p>
    <w:p w14:paraId="0CCCCB59" w14:textId="29FCA4D7" w:rsidR="000040FA" w:rsidRPr="00B2476E" w:rsidRDefault="000040FA" w:rsidP="000040FA">
      <w:pPr>
        <w:rPr>
          <w:rFonts w:ascii="Times New Roman" w:hAnsi="Times New Roman" w:cs="Times New Roman"/>
          <w:noProof/>
          <w:color w:val="000000" w:themeColor="text1"/>
          <w:sz w:val="24"/>
          <w:szCs w:val="24"/>
          <w:lang w:eastAsia="en-IE"/>
        </w:rPr>
      </w:pPr>
    </w:p>
    <w:p w14:paraId="32C4CF33" w14:textId="60DA2393" w:rsidR="006B7564" w:rsidRPr="00C15BCA" w:rsidRDefault="006474E7">
      <w:pPr>
        <w:pStyle w:val="Heading2"/>
        <w:spacing w:after="120"/>
        <w:ind w:left="1565" w:hanging="431"/>
        <w:jc w:val="both"/>
        <w:textAlignment w:val="baseline"/>
        <w:rPr>
          <w:rFonts w:ascii="Times New Roman" w:hAnsi="Times New Roman" w:cs="Times New Roman"/>
          <w:b/>
          <w:bCs/>
          <w:noProof/>
          <w:color w:val="000000" w:themeColor="text1"/>
          <w:sz w:val="24"/>
          <w:szCs w:val="24"/>
        </w:rPr>
      </w:pPr>
      <w:bookmarkStart w:id="7" w:name="_Toc159792196"/>
      <w:r>
        <w:rPr>
          <w:rFonts w:ascii="Times New Roman" w:hAnsi="Times New Roman"/>
          <w:b/>
          <w:noProof/>
          <w:color w:val="000000" w:themeColor="text1"/>
          <w:sz w:val="24"/>
        </w:rPr>
        <w:t>Zbog sve većih klimatskih rizika potrebno je proaktivno upravljanje</w:t>
      </w:r>
      <w:bookmarkEnd w:id="7"/>
    </w:p>
    <w:p w14:paraId="12F6DEBA" w14:textId="7A4DA690" w:rsidR="006B7564" w:rsidRPr="00F814A3" w:rsidRDefault="006B7564" w:rsidP="0049438C">
      <w:pPr>
        <w:spacing w:after="120"/>
        <w:jc w:val="both"/>
        <w:textAlignment w:val="baseline"/>
        <w:rPr>
          <w:rFonts w:ascii="Times New Roman" w:eastAsia="Times New Roman" w:hAnsi="Times New Roman" w:cs="Times New Roman"/>
          <w:b/>
          <w:bCs/>
          <w:noProof/>
          <w:color w:val="000000" w:themeColor="text1"/>
          <w:sz w:val="24"/>
          <w:szCs w:val="24"/>
          <w:lang w:eastAsia="en-IE"/>
        </w:rPr>
      </w:pPr>
    </w:p>
    <w:p w14:paraId="13F2F0E5" w14:textId="60AEE7B9" w:rsidR="0049438C" w:rsidRDefault="006C74BF"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Upravljanje neizvjesnostima danas je temeljni element donošenja odluka u javnosti, poduzećima i vladama. </w:t>
      </w:r>
      <w:r>
        <w:rPr>
          <w:rFonts w:ascii="Times New Roman" w:hAnsi="Times New Roman"/>
          <w:noProof/>
          <w:color w:val="000000" w:themeColor="text1"/>
          <w:sz w:val="24"/>
        </w:rPr>
        <w:t xml:space="preserve">Rat i geopolitičke neizvjesnosti, troškovi života, demografski izazovi, degradacija okoliša, zdravstvene krize, socijalne nejednakosti, politička polarizacija i dezinformacije, brz tehnološki razvoj i migracije zahtijevaju hitno djelovanje. Oblikovatelji politika moraju osigurati uravnoteženu raspodjelu pozornosti i resursa. Budući da se isprepliće s drugim planetarnim krizama – onečišćenjem i gubitkom bioraznolikosti – i povećava mnoge druge rizike, klimatska kriza jedna je od najvećih prijetnji s kojima se suočavamo. </w:t>
      </w:r>
    </w:p>
    <w:p w14:paraId="390785D1" w14:textId="671D8B96" w:rsidR="0049438C" w:rsidRPr="0049438C" w:rsidRDefault="0049438C" w:rsidP="0049438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sz w:val="24"/>
        </w:rPr>
        <w:t>EU poduzima mjere za smanjenje emisija stakleničkih plinova</w:t>
      </w:r>
      <w:r>
        <w:rPr>
          <w:rFonts w:ascii="Times New Roman" w:hAnsi="Times New Roman"/>
          <w:noProof/>
          <w:color w:val="000000"/>
          <w:sz w:val="24"/>
        </w:rPr>
        <w:t xml:space="preserve"> u ovom desetljeću i postizanje klimatske neutralnosti do 2050. Komisija je pokrenula raspravu o klimatskom cilju za 2040. kao daljnjem koraku prema konkurentnoj budućnosti s nultom neto stopom emisija</w:t>
      </w:r>
      <w:r>
        <w:rPr>
          <w:rStyle w:val="FootnoteReference"/>
          <w:rFonts w:ascii="Times New Roman" w:hAnsi="Times New Roman" w:cs="Times New Roman"/>
          <w:noProof/>
          <w:color w:val="000000"/>
          <w:sz w:val="24"/>
          <w:szCs w:val="24"/>
          <w:lang w:eastAsia="en-IE"/>
        </w:rPr>
        <w:footnoteReference w:id="2"/>
      </w:r>
      <w:r>
        <w:rPr>
          <w:rFonts w:ascii="Times New Roman" w:hAnsi="Times New Roman"/>
          <w:noProof/>
          <w:color w:val="000000"/>
          <w:sz w:val="24"/>
        </w:rPr>
        <w:t xml:space="preserve">. Potrebno je brzo smanjiti globalne emisije jer postoje fizičke granice mogućnosti prilagodbe.  </w:t>
      </w:r>
    </w:p>
    <w:p w14:paraId="073A715A" w14:textId="3FF182CA" w:rsidR="0042472C" w:rsidRPr="00915255" w:rsidRDefault="00027C6C" w:rsidP="009357C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Posljedice klimatskih promjena već su vidljive, a rizici će se i dalje povećavati u narednim desetljećima i nakon toga</w:t>
      </w:r>
      <w:r>
        <w:rPr>
          <w:rFonts w:ascii="Times New Roman" w:hAnsi="Times New Roman"/>
          <w:noProof/>
          <w:color w:val="000000" w:themeColor="text1"/>
          <w:sz w:val="24"/>
        </w:rPr>
        <w:t xml:space="preserve"> zbog inercije klimatskog sustava, čak i ako se ambicioznim globalnim smanjenjima emisija umanji potencijalna šteta. U veljači 2024. Služba za praćenje klimatskih promjena programa Copernicus izvijestila je da je globalna prosječna temperatura za prethodnih 12 mjeseci premašila prag od 1,5 °C iznad predindustrijskih temperatura</w:t>
      </w:r>
      <w:r w:rsidR="00A002CB">
        <w:rPr>
          <w:rStyle w:val="FootnoteReference"/>
          <w:rFonts w:ascii="Times New Roman" w:eastAsia="Times New Roman" w:hAnsi="Times New Roman" w:cs="Times New Roman"/>
          <w:noProof/>
          <w:color w:val="000000" w:themeColor="text1"/>
          <w:sz w:val="24"/>
          <w:szCs w:val="24"/>
          <w:lang w:eastAsia="en-IE"/>
        </w:rPr>
        <w:footnoteReference w:id="3"/>
      </w:r>
      <w:r>
        <w:rPr>
          <w:rFonts w:ascii="Times New Roman" w:hAnsi="Times New Roman"/>
          <w:noProof/>
          <w:color w:val="000000" w:themeColor="text1"/>
          <w:sz w:val="24"/>
        </w:rPr>
        <w:t xml:space="preserve">. </w:t>
      </w:r>
      <w:r>
        <w:rPr>
          <w:rFonts w:ascii="Times New Roman" w:hAnsi="Times New Roman"/>
          <w:b/>
          <w:noProof/>
          <w:color w:val="000000" w:themeColor="text1"/>
          <w:sz w:val="24"/>
        </w:rPr>
        <w:t>Izgledi za Europu</w:t>
      </w:r>
      <w:r>
        <w:rPr>
          <w:rFonts w:ascii="Times New Roman" w:hAnsi="Times New Roman"/>
          <w:noProof/>
          <w:color w:val="000000" w:themeColor="text1"/>
          <w:sz w:val="24"/>
        </w:rPr>
        <w:t xml:space="preserve"> dobro su prikazani u prvoj europskoj procjeni klimatskih rizika (EUCRA)</w:t>
      </w:r>
      <w:r w:rsidR="001364A4" w:rsidRPr="009C5047">
        <w:rPr>
          <w:rFonts w:ascii="Times New Roman" w:eastAsia="Times New Roman" w:hAnsi="Times New Roman" w:cs="Times New Roman"/>
          <w:noProof/>
          <w:color w:val="000000" w:themeColor="text1"/>
          <w:sz w:val="24"/>
          <w:szCs w:val="24"/>
          <w:vertAlign w:val="superscript"/>
          <w:lang w:eastAsia="en-IE"/>
        </w:rPr>
        <w:footnoteReference w:id="4"/>
      </w:r>
      <w:r>
        <w:rPr>
          <w:rFonts w:ascii="Times New Roman" w:hAnsi="Times New Roman"/>
          <w:noProof/>
          <w:color w:val="000000" w:themeColor="text1"/>
          <w:sz w:val="24"/>
        </w:rPr>
        <w:t>, koju je provela Europska agencija za okoliš. U najpovoljnijem scenariju, u kojem je globalno zagrijavanje ograničeno na 1,5 °C iznad predindustrijskih razina, Europa, koja se zagrijava dvostruko brže od globalne brzine zagrijavanja, morat će se prilagoditi klimi koja je tri stupnja toplija i stoga se suočiti s eksponencijalno više toplinskih valova i drugim ekstremnim vremenskim uvjetima.</w:t>
      </w:r>
    </w:p>
    <w:p w14:paraId="5DC1CA98"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9BC7F41"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7CC4C2B5"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61B104CE" w14:textId="77777777" w:rsidR="008E7A30" w:rsidRDefault="008E7A30" w:rsidP="009357C0">
      <w:pPr>
        <w:spacing w:after="120"/>
        <w:jc w:val="both"/>
        <w:textAlignment w:val="baseline"/>
        <w:rPr>
          <w:rFonts w:ascii="Times New Roman" w:hAnsi="Times New Roman" w:cs="Times New Roman"/>
          <w:noProof/>
          <w:color w:val="000000" w:themeColor="text1"/>
          <w:sz w:val="24"/>
          <w:szCs w:val="24"/>
          <w:lang w:eastAsia="en-IE"/>
        </w:rPr>
      </w:pPr>
    </w:p>
    <w:p w14:paraId="21DDD868" w14:textId="77777777" w:rsidR="00C15BCA" w:rsidRDefault="00C15BCA">
      <w:pPr>
        <w:spacing w:after="200" w:line="276" w:lineRule="auto"/>
        <w:rPr>
          <w:rFonts w:ascii="Times New Roman" w:hAnsi="Times New Roman" w:cs="Times New Roman"/>
          <w:noProof/>
          <w:color w:val="000000" w:themeColor="text1"/>
          <w:sz w:val="24"/>
          <w:szCs w:val="24"/>
        </w:rPr>
      </w:pPr>
      <w:r>
        <w:rPr>
          <w:noProof/>
        </w:rPr>
        <w:br w:type="page"/>
      </w:r>
    </w:p>
    <w:p w14:paraId="47BF74A1" w14:textId="4E83659B" w:rsidR="00A916D0" w:rsidRDefault="00A916D0" w:rsidP="009357C0">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Slika 1: Predviđanja temperature za Europu prema četiri standardna globalna klimatska scenarija </w:t>
      </w:r>
    </w:p>
    <w:p w14:paraId="7F185699" w14:textId="38D5FFFC" w:rsidR="00D4433B" w:rsidRDefault="00D4433B" w:rsidP="009357C0">
      <w:pPr>
        <w:spacing w:after="120"/>
        <w:jc w:val="both"/>
        <w:textAlignment w:val="baseline"/>
        <w:rPr>
          <w:rFonts w:ascii="Times New Roman" w:hAnsi="Times New Roman"/>
          <w:noProof/>
          <w:color w:val="000000" w:themeColor="text1"/>
          <w:sz w:val="24"/>
        </w:rPr>
      </w:pPr>
      <w:r w:rsidRPr="00D4433B">
        <w:rPr>
          <w:noProof/>
          <w:lang w:val="en-GB" w:eastAsia="en-GB"/>
        </w:rPr>
        <w:drawing>
          <wp:inline distT="0" distB="0" distL="0" distR="0" wp14:anchorId="2BA4A31B" wp14:editId="0B02D498">
            <wp:extent cx="5760720" cy="29356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2935605"/>
                    </a:xfrm>
                    <a:prstGeom prst="rect">
                      <a:avLst/>
                    </a:prstGeom>
                    <a:noFill/>
                    <a:ln>
                      <a:noFill/>
                    </a:ln>
                  </pic:spPr>
                </pic:pic>
              </a:graphicData>
            </a:graphic>
          </wp:inline>
        </w:drawing>
      </w:r>
    </w:p>
    <w:p w14:paraId="1A573843" w14:textId="5CB8F3E6" w:rsidR="00F814A3" w:rsidRDefault="00F814A3" w:rsidP="009357C0">
      <w:pPr>
        <w:spacing w:after="120"/>
        <w:jc w:val="both"/>
        <w:textAlignment w:val="baseline"/>
        <w:rPr>
          <w:rFonts w:ascii="Times New Roman" w:hAnsi="Times New Roman" w:cs="Times New Roman"/>
          <w:noProof/>
          <w:color w:val="000000" w:themeColor="text1"/>
          <w:sz w:val="24"/>
          <w:szCs w:val="24"/>
        </w:rPr>
      </w:pPr>
      <w:r w:rsidRPr="00F814A3">
        <w:rPr>
          <w:noProof/>
          <w:lang w:val="en-GB" w:eastAsia="en-GB"/>
        </w:rPr>
        <w:drawing>
          <wp:inline distT="0" distB="0" distL="0" distR="0" wp14:anchorId="77ECB371" wp14:editId="7BCE91E0">
            <wp:extent cx="5760720" cy="9309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930910"/>
                    </a:xfrm>
                    <a:prstGeom prst="rect">
                      <a:avLst/>
                    </a:prstGeom>
                    <a:noFill/>
                    <a:ln>
                      <a:noFill/>
                    </a:ln>
                  </pic:spPr>
                </pic:pic>
              </a:graphicData>
            </a:graphic>
          </wp:inline>
        </w:drawing>
      </w:r>
    </w:p>
    <w:p w14:paraId="517E2675" w14:textId="77777777" w:rsidR="00F814A3" w:rsidRDefault="00F814A3" w:rsidP="009357C0">
      <w:pPr>
        <w:spacing w:after="120"/>
        <w:jc w:val="both"/>
        <w:textAlignment w:val="baseline"/>
        <w:rPr>
          <w:rFonts w:ascii="Times New Roman" w:hAnsi="Times New Roman" w:cs="Times New Roman"/>
          <w:noProof/>
          <w:color w:val="000000" w:themeColor="text1"/>
          <w:sz w:val="24"/>
          <w:szCs w:val="24"/>
        </w:rPr>
      </w:pPr>
    </w:p>
    <w:p w14:paraId="014C0136" w14:textId="5D3C3C67" w:rsidR="009513CE" w:rsidRPr="009513CE" w:rsidRDefault="009513CE" w:rsidP="009513CE">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Izvor: EUCRA, na temelju Službe za praćenje klimatskih promjena programa Copernicus </w:t>
      </w:r>
    </w:p>
    <w:p w14:paraId="31EEE6DC" w14:textId="77777777" w:rsidR="00B514C5" w:rsidRPr="00915255" w:rsidRDefault="00B514C5" w:rsidP="009357C0">
      <w:pPr>
        <w:spacing w:after="120"/>
        <w:jc w:val="both"/>
        <w:textAlignment w:val="baseline"/>
        <w:rPr>
          <w:rFonts w:ascii="Times New Roman" w:hAnsi="Times New Roman" w:cs="Times New Roman"/>
          <w:noProof/>
          <w:color w:val="000000" w:themeColor="text1"/>
          <w:sz w:val="24"/>
          <w:szCs w:val="24"/>
          <w:lang w:eastAsia="en-IE"/>
        </w:rPr>
      </w:pPr>
    </w:p>
    <w:p w14:paraId="7642DB25" w14:textId="1A70B821" w:rsidR="00C16BAB" w:rsidRDefault="00F522A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Otpornost na klimatske promjene pitanje je održavanja društvenih funkcija, ali i konkurentnosti gospodarstava i poduzeća</w:t>
      </w:r>
      <w:r>
        <w:rPr>
          <w:rFonts w:ascii="Times New Roman" w:hAnsi="Times New Roman"/>
          <w:b/>
          <w:noProof/>
          <w:sz w:val="24"/>
        </w:rPr>
        <w:t xml:space="preserve">, a time i radnih mjesta. </w:t>
      </w:r>
      <w:r>
        <w:rPr>
          <w:rFonts w:ascii="Times New Roman" w:hAnsi="Times New Roman"/>
          <w:noProof/>
          <w:color w:val="000000" w:themeColor="text1"/>
          <w:sz w:val="24"/>
        </w:rPr>
        <w:t xml:space="preserve">Upravljanje klimatskim rizicima nužan je uvjet za </w:t>
      </w:r>
      <w:r>
        <w:rPr>
          <w:rFonts w:ascii="Times New Roman" w:hAnsi="Times New Roman"/>
          <w:b/>
          <w:noProof/>
          <w:color w:val="000000" w:themeColor="text1"/>
          <w:sz w:val="24"/>
        </w:rPr>
        <w:t>poboljšanje životnog standarda, borbu protiv nejednakosti i zaštitu ljudi</w:t>
      </w:r>
      <w:r>
        <w:rPr>
          <w:rFonts w:ascii="Times New Roman" w:hAnsi="Times New Roman"/>
          <w:noProof/>
          <w:color w:val="000000" w:themeColor="text1"/>
          <w:sz w:val="24"/>
        </w:rPr>
        <w:t>.</w:t>
      </w:r>
      <w:r>
        <w:rPr>
          <w:rFonts w:ascii="Times New Roman" w:hAnsi="Times New Roman"/>
          <w:b/>
          <w:noProof/>
          <w:color w:val="000000" w:themeColor="text1"/>
          <w:sz w:val="24"/>
        </w:rPr>
        <w:t xml:space="preserve"> </w:t>
      </w:r>
      <w:r>
        <w:rPr>
          <w:rFonts w:ascii="Times New Roman" w:hAnsi="Times New Roman"/>
          <w:b/>
          <w:noProof/>
          <w:sz w:val="24"/>
        </w:rPr>
        <w:t>Uvjet je za gospodarski opstanak ruralnih i obalnih područja, poljoprivrednika, šumara i ribara.</w:t>
      </w:r>
      <w:r>
        <w:rPr>
          <w:rFonts w:ascii="Times New Roman" w:hAnsi="Times New Roman"/>
          <w:b/>
          <w:noProof/>
          <w:color w:val="000000" w:themeColor="text1"/>
          <w:sz w:val="24"/>
        </w:rPr>
        <w:t xml:space="preserve"> </w:t>
      </w:r>
      <w:r>
        <w:rPr>
          <w:rFonts w:ascii="Times New Roman" w:hAnsi="Times New Roman"/>
          <w:noProof/>
          <w:color w:val="000000" w:themeColor="text1"/>
          <w:sz w:val="24"/>
        </w:rPr>
        <w:t>Poduzeća su već dobro upoznata s klimatskim rizicima i kategoriziraju ih kao četiri najveća rizika u sljedećih deset godina</w:t>
      </w:r>
      <w:r w:rsidR="00202AD4" w:rsidRPr="00915255">
        <w:rPr>
          <w:rFonts w:ascii="Times New Roman" w:eastAsia="Times New Roman" w:hAnsi="Times New Roman" w:cs="Times New Roman"/>
          <w:noProof/>
          <w:color w:val="000000" w:themeColor="text1"/>
          <w:sz w:val="24"/>
          <w:szCs w:val="24"/>
          <w:vertAlign w:val="superscript"/>
          <w:lang w:val="en-IE" w:eastAsia="en-IE"/>
        </w:rPr>
        <w:footnoteReference w:id="5"/>
      </w:r>
      <w:r>
        <w:rPr>
          <w:rFonts w:ascii="Times New Roman" w:hAnsi="Times New Roman"/>
          <w:noProof/>
          <w:color w:val="000000" w:themeColor="text1"/>
          <w:sz w:val="24"/>
        </w:rPr>
        <w:t xml:space="preserve">. </w:t>
      </w:r>
      <w:r>
        <w:rPr>
          <w:rFonts w:ascii="Times New Roman" w:hAnsi="Times New Roman"/>
          <w:noProof/>
          <w:sz w:val="24"/>
        </w:rPr>
        <w:t>Mala i srednja poduzeća (MSP-ovi) mogu se suočiti s posebno velikim ograničenjima resursa. Bilo to zbog izloženih lanaca opskrbe, smanjenog pristupa osiguranju, osjetljive domaće imovine, gubitka bioraznolikosti, o kojoj ovise gospodarski sektori, ili nedovoljne zaštite ljudi, nepripremljeni će morati trošiti sve više kapaciteta i kapitala za oporavak od sve žešćih katastrofa povezanih s klimom.</w:t>
      </w:r>
      <w:r>
        <w:rPr>
          <w:rFonts w:ascii="Times New Roman" w:hAnsi="Times New Roman"/>
          <w:noProof/>
          <w:color w:val="000000" w:themeColor="text1"/>
          <w:sz w:val="24"/>
        </w:rPr>
        <w:t xml:space="preserve"> </w:t>
      </w:r>
    </w:p>
    <w:p w14:paraId="11CF7BBE" w14:textId="5BEC580A" w:rsidR="00C00EEB" w:rsidRDefault="00202AD4"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Europska središnja banka i Europski odbor za sistemske rizike prepoznali su da </w:t>
      </w:r>
      <w:r>
        <w:rPr>
          <w:rFonts w:ascii="Times New Roman" w:hAnsi="Times New Roman"/>
          <w:b/>
          <w:noProof/>
          <w:color w:val="000000" w:themeColor="text1"/>
          <w:sz w:val="24"/>
        </w:rPr>
        <w:t>klimatski rizici mogu utjecati na financijsku stabilnost</w:t>
      </w:r>
      <w:r>
        <w:rPr>
          <w:rFonts w:ascii="Times New Roman" w:hAnsi="Times New Roman"/>
          <w:noProof/>
          <w:color w:val="000000" w:themeColor="text1"/>
          <w:sz w:val="24"/>
        </w:rPr>
        <w:t xml:space="preserve"> na mnogo načina te su iznijeli argumente za snažnu makrobonitetnu strategiju za pristupanje takvim rizicima, na razini cijelog sustava</w:t>
      </w:r>
      <w:r>
        <w:rPr>
          <w:rStyle w:val="FootnoteReference"/>
          <w:rFonts w:ascii="Times New Roman" w:eastAsia="Times New Roman" w:hAnsi="Times New Roman" w:cs="Times New Roman"/>
          <w:noProof/>
          <w:color w:val="000000" w:themeColor="text1"/>
          <w:sz w:val="24"/>
          <w:szCs w:val="24"/>
          <w:lang w:val="en-IE" w:eastAsia="en-IE"/>
        </w:rPr>
        <w:footnoteReference w:id="6"/>
      </w:r>
      <w:r>
        <w:rPr>
          <w:rFonts w:ascii="Times New Roman" w:hAnsi="Times New Roman"/>
          <w:noProof/>
          <w:color w:val="000000" w:themeColor="text1"/>
          <w:sz w:val="24"/>
        </w:rPr>
        <w:t xml:space="preserve">. </w:t>
      </w:r>
      <w:r>
        <w:rPr>
          <w:rFonts w:ascii="Times New Roman" w:hAnsi="Times New Roman"/>
          <w:noProof/>
          <w:sz w:val="24"/>
        </w:rPr>
        <w:t xml:space="preserve">Istodobno, </w:t>
      </w:r>
      <w:r>
        <w:rPr>
          <w:rFonts w:ascii="Times New Roman" w:hAnsi="Times New Roman"/>
          <w:noProof/>
          <w:color w:val="000000" w:themeColor="text1"/>
          <w:sz w:val="24"/>
        </w:rPr>
        <w:t xml:space="preserve">agilna i dinamična poduzeća iz EU-a, uključujući </w:t>
      </w:r>
      <w:r>
        <w:rPr>
          <w:rFonts w:ascii="Times New Roman" w:hAnsi="Times New Roman"/>
          <w:b/>
          <w:noProof/>
          <w:color w:val="000000" w:themeColor="text1"/>
          <w:sz w:val="24"/>
        </w:rPr>
        <w:t>MSP-ove, mogu postati predvodnici u nekim segmentima tržišta u kojima se izgrađuje otpornost</w:t>
      </w:r>
      <w:r>
        <w:rPr>
          <w:rFonts w:ascii="Times New Roman" w:hAnsi="Times New Roman"/>
          <w:noProof/>
          <w:color w:val="000000" w:themeColor="text1"/>
          <w:sz w:val="24"/>
        </w:rPr>
        <w:t xml:space="preserve">, kao što su inovacije povezane s upotrebom svemirskih podataka i tehnologija. </w:t>
      </w:r>
    </w:p>
    <w:p w14:paraId="160DAF12" w14:textId="4422B454" w:rsidR="00865CBA" w:rsidRDefault="00865CBA" w:rsidP="000C282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Sve veći klimatski rizici utječu i na geopolitičko okruženje</w:t>
      </w:r>
      <w:r>
        <w:rPr>
          <w:rFonts w:ascii="Times New Roman" w:hAnsi="Times New Roman"/>
          <w:noProof/>
          <w:color w:val="000000" w:themeColor="text1"/>
          <w:sz w:val="24"/>
        </w:rPr>
        <w:t xml:space="preserve">, globalnu sigurnost i zaštitu, trgovinske tokove, gospodarsku stabilnost i mogućnost nastavka pružanja osnovnih usluga za pogođeno stanovništvo. S druge strane, povećanje pripravnosti i otpornosti na utjecaje klimatskih promjena može pomoći u rješavanju jednog od glavnih globalnih problema današnjice, i to s pozitivnim učincima prelijevanja. </w:t>
      </w:r>
    </w:p>
    <w:p w14:paraId="6C3A1182" w14:textId="550CE57C" w:rsidR="005256FD" w:rsidRDefault="00027C6C" w:rsidP="005256F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77 % građana EU-a smatra da su klimatske promjene vrlo ozbiljan problem, a 37 % njih već se osjeća </w:t>
      </w:r>
      <w:r>
        <w:rPr>
          <w:rFonts w:ascii="Times New Roman" w:hAnsi="Times New Roman"/>
          <w:b/>
          <w:noProof/>
          <w:color w:val="000000" w:themeColor="text1"/>
          <w:sz w:val="24"/>
        </w:rPr>
        <w:t>osobno izloženo klimatskim rizicima</w:t>
      </w:r>
      <w:r>
        <w:rPr>
          <w:rFonts w:ascii="Times New Roman" w:hAnsi="Times New Roman"/>
          <w:noProof/>
          <w:color w:val="000000" w:themeColor="text1"/>
          <w:sz w:val="24"/>
        </w:rPr>
        <w:t>. I Europski parlament</w:t>
      </w:r>
      <w:r w:rsidR="00082DDA">
        <w:rPr>
          <w:rStyle w:val="FootnoteReference"/>
          <w:rFonts w:ascii="Times New Roman" w:eastAsia="Times New Roman" w:hAnsi="Times New Roman" w:cs="Times New Roman"/>
          <w:noProof/>
          <w:color w:val="000000" w:themeColor="text1"/>
          <w:sz w:val="24"/>
          <w:szCs w:val="24"/>
          <w:lang w:eastAsia="en-IE"/>
        </w:rPr>
        <w:footnoteReference w:id="7"/>
      </w:r>
      <w:r>
        <w:rPr>
          <w:rFonts w:ascii="Times New Roman" w:hAnsi="Times New Roman"/>
          <w:noProof/>
          <w:color w:val="000000" w:themeColor="text1"/>
          <w:sz w:val="24"/>
        </w:rPr>
        <w:t xml:space="preserve"> i čelnici EU-a</w:t>
      </w:r>
      <w:r w:rsidR="00566DC0" w:rsidRPr="00566DC0">
        <w:rPr>
          <w:rFonts w:ascii="Times New Roman" w:eastAsia="Times New Roman" w:hAnsi="Times New Roman" w:cs="Times New Roman"/>
          <w:noProof/>
          <w:color w:val="000000" w:themeColor="text1"/>
          <w:sz w:val="24"/>
          <w:szCs w:val="24"/>
          <w:vertAlign w:val="superscript"/>
          <w:lang w:val="en-IE" w:eastAsia="en-IE"/>
        </w:rPr>
        <w:footnoteReference w:id="8"/>
      </w:r>
      <w:r>
        <w:rPr>
          <w:rFonts w:ascii="Times New Roman" w:hAnsi="Times New Roman"/>
          <w:noProof/>
          <w:color w:val="000000" w:themeColor="text1"/>
          <w:sz w:val="24"/>
        </w:rPr>
        <w:t xml:space="preserve"> prepoznali su da je potrebno hitno pojačati odgovor na klimatsku krizu i povećati otpornost EU-a. U skladu s Komunikacijom o klimatskom cilju Europe za 2040. i putu prema klimatskoj neutralnosti do 2050., ulaganjima u zgrade, promet i energetski sustav otporne na klimatske promjene mogle bi se stvoriti znatne poslovne prilike, ostvariti ekonomije razmjera i šire koristi za europsko gospodarstvo, otvoriti visokokvalificirana radna mjesta i proizvoditi cjenovno pristupačna čista energija.</w:t>
      </w:r>
    </w:p>
    <w:p w14:paraId="2D88A11A" w14:textId="1A462E86" w:rsidR="009C347D" w:rsidRDefault="009D2451"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Europska vizija zdravog, uključivog i pravednog društva naša je snaga</w:t>
      </w:r>
      <w:r>
        <w:rPr>
          <w:rFonts w:ascii="Times New Roman" w:hAnsi="Times New Roman"/>
          <w:noProof/>
          <w:color w:val="000000" w:themeColor="text1"/>
          <w:sz w:val="24"/>
        </w:rPr>
        <w:t xml:space="preserve">. Solidarnost, uključivost, inovacije i vladavina prava izbavili su nas iz raznih povijesnih nedaća i izbavit će nas i iz ove. </w:t>
      </w:r>
    </w:p>
    <w:p w14:paraId="1F9BB09D" w14:textId="36954491" w:rsidR="00CE5BA2" w:rsidRDefault="00901682"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 xml:space="preserve">Koordinacija koju omogućuje Europska unija znatno pridonosi izgradnji otpornosti. </w:t>
      </w:r>
      <w:r>
        <w:rPr>
          <w:rFonts w:ascii="Times New Roman" w:hAnsi="Times New Roman"/>
          <w:noProof/>
          <w:color w:val="000000" w:themeColor="text1"/>
          <w:sz w:val="24"/>
        </w:rPr>
        <w:t>Ona donosi učinkovitost, koja je neophodna s obzirom na brojne pritiske na javna i privatna sredstva. Također omogućuje zemljama, regijama i lokalnim zajednicama da vide što drugdje funkcionira, a što ne, i tako dovodi do bržeg i uspješnijeg djelovanja. S obzirom na razmjer djelovanja koje je potrebno u nekim područjima, potrebne se odluke i mjere bez koordinacije vjerojatno ne bi donijele na vrijeme da se spriječe nepovratni utjecaji na okoliš. Naposljetku, EU stvara dodanu vrijednost razvojem instrumenata koji građanima i javnim i privatnim dionicima pomažu u izgradnji otpornosti. Tijekom proteklog desetljeća znatna su ulaganja iz proračuna EU-a, posebno u okviru kohezijske politike, usmjerena na prilagodbu klimatskim promjenama i njihovo ublažavanje. Predviđa se da će u razdoblju 2021. – 2027. ulaganja u okviru kohezijske politike u tom području dosegnuti oko 118 milijardi EUR.</w:t>
      </w:r>
    </w:p>
    <w:p w14:paraId="77361176" w14:textId="573A604C" w:rsidR="00CE5BA2" w:rsidRPr="003B19B4" w:rsidRDefault="00587C9F" w:rsidP="00CE5BA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Neke od katastrofa koje su se dogodile 2023. jasno ukazuju na povećanje klimatskih rizika i pritom su u određenoj mjeri pogođene sve države članice EU-a, ne samo one navedene u nastavku. </w:t>
      </w:r>
    </w:p>
    <w:p w14:paraId="7048C3B7" w14:textId="10DD61A3" w:rsidR="00CE5BA2" w:rsidRPr="00915255" w:rsidRDefault="00E67EE4" w:rsidP="00CE5BA2">
      <w:p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Okvir 1: Četiri primjera katastrofa u 2023. povezanih s klimatskim promjenama:</w:t>
      </w:r>
    </w:p>
    <w:p w14:paraId="32893A65" w14:textId="4F373B4B"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Grčka.</w:t>
      </w:r>
      <w:r>
        <w:rPr>
          <w:rFonts w:ascii="Times New Roman" w:hAnsi="Times New Roman"/>
          <w:noProof/>
          <w:color w:val="000000" w:themeColor="text1"/>
          <w:sz w:val="24"/>
        </w:rPr>
        <w:t xml:space="preserve"> Od srpnja do kolovoza </w:t>
      </w:r>
      <w:r>
        <w:rPr>
          <w:rFonts w:ascii="Times New Roman" w:hAnsi="Times New Roman"/>
          <w:b/>
          <w:noProof/>
          <w:color w:val="000000" w:themeColor="text1"/>
          <w:sz w:val="24"/>
        </w:rPr>
        <w:t>požari u prirodi</w:t>
      </w:r>
      <w:r>
        <w:rPr>
          <w:rFonts w:ascii="Times New Roman" w:hAnsi="Times New Roman"/>
          <w:noProof/>
          <w:color w:val="000000" w:themeColor="text1"/>
          <w:sz w:val="24"/>
        </w:rPr>
        <w:t xml:space="preserve">, potaknuti sušom i toplinskim valovima, u Grčkoj su opustošili površinu od 170 000 hektara. Požar u Alexandroupolisu, na više od 96 000 hektara, bio je najveći u Europi od 2000. Početkom rujna </w:t>
      </w:r>
      <w:r>
        <w:rPr>
          <w:rFonts w:ascii="Times New Roman" w:hAnsi="Times New Roman"/>
          <w:b/>
          <w:noProof/>
          <w:color w:val="000000" w:themeColor="text1"/>
          <w:sz w:val="24"/>
        </w:rPr>
        <w:t>oluja</w:t>
      </w:r>
      <w:r>
        <w:rPr>
          <w:rFonts w:ascii="Times New Roman" w:hAnsi="Times New Roman"/>
          <w:noProof/>
          <w:color w:val="000000" w:themeColor="text1"/>
          <w:sz w:val="24"/>
        </w:rPr>
        <w:t xml:space="preserve"> Daniel prouzročila je u Grčkoj rekordne padaline; u Zagori je u 24 sata zabilježeno 750 mm kiše, što odgovora akumulaciji padalina na tom području u više od godinu dana. Tada je uništeno oko 15 % godišnjeg poljoprivrednog prinosa te zemlje. </w:t>
      </w:r>
    </w:p>
    <w:p w14:paraId="5591F25B" w14:textId="45BA292C"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Slovenija.</w:t>
      </w:r>
      <w:r>
        <w:rPr>
          <w:rFonts w:ascii="Times New Roman" w:hAnsi="Times New Roman"/>
          <w:noProof/>
          <w:color w:val="000000" w:themeColor="text1"/>
          <w:sz w:val="24"/>
        </w:rPr>
        <w:t xml:space="preserve"> U kolovozu su zbog obilnih padalina tijekom nekoliko dana dodatno porasle ionako visoke razine vode te je došlo do velikih poplava i odrona tla. Pogođene su dvije trećine zemlje, a nastale su štete u vrijednosti od oko 16 % BDP-a. </w:t>
      </w:r>
    </w:p>
    <w:p w14:paraId="5B0B79B4" w14:textId="57478708" w:rsidR="00CE5BA2" w:rsidRPr="00915255" w:rsidRDefault="00CE5BA2"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Skandinavija.</w:t>
      </w:r>
      <w:r>
        <w:rPr>
          <w:rFonts w:ascii="Times New Roman" w:hAnsi="Times New Roman"/>
          <w:noProof/>
          <w:color w:val="000000" w:themeColor="text1"/>
          <w:sz w:val="24"/>
        </w:rPr>
        <w:t xml:space="preserve"> U kolovozu je oluja Hans poharala Dansku, Norvešku i Švedsku, prouzročivši veliku štetu na infrastrukturi i u poljoprivredi te velike poremećaje u glavnim prometnim mrežama. Zahtjevi za naknadu štete oborili su dotadašnje rekorde.</w:t>
      </w:r>
    </w:p>
    <w:p w14:paraId="6248D6C4" w14:textId="11CA62D1" w:rsidR="00CE5BA2" w:rsidRPr="00915255" w:rsidRDefault="00541771" w:rsidP="000A7C09">
      <w:pPr>
        <w:pStyle w:val="ListParagraph"/>
        <w:numPr>
          <w:ilvl w:val="0"/>
          <w:numId w:val="65"/>
        </w:numPr>
        <w:pBdr>
          <w:top w:val="single" w:sz="4" w:space="1" w:color="auto"/>
          <w:left w:val="single" w:sz="4" w:space="4" w:color="auto"/>
          <w:bottom w:val="single" w:sz="4" w:space="1" w:color="auto"/>
          <w:right w:val="single" w:sz="4" w:space="4" w:color="auto"/>
        </w:pBd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b/>
          <w:noProof/>
          <w:color w:val="000000" w:themeColor="text1"/>
          <w:sz w:val="24"/>
        </w:rPr>
        <w:t>Cijela Europa.</w:t>
      </w:r>
      <w:r>
        <w:rPr>
          <w:rFonts w:ascii="Times New Roman" w:hAnsi="Times New Roman"/>
          <w:noProof/>
          <w:color w:val="000000" w:themeColor="text1"/>
          <w:sz w:val="24"/>
        </w:rPr>
        <w:t xml:space="preserve"> Toplinski val Cerberus uzrokovao je 2023. rekordno visoke temperature u mnogim zemljama. Prije toga su u toplinskim valovima tijekom ljeta 2022. dotad nezabilježene vrućine odnijele živote 60 000 – 70 000 Europljana. </w:t>
      </w:r>
    </w:p>
    <w:p w14:paraId="48FFEF49" w14:textId="48D314A2" w:rsidR="00B67218" w:rsidRPr="00BE25FA" w:rsidRDefault="00D559C8" w:rsidP="00B67218">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Djelovanje u području klime svima je u interesu. Štete povezane s klimatskim promjenama nisu rezultat nesretnih i nepredviđenih prirodnih katastrofa. One proizlaze iz poznatih klimatskih rizika, a funkcija su i mjera politike poduzetih za smanjenje tih rizika. </w:t>
      </w:r>
      <w:r>
        <w:rPr>
          <w:rFonts w:ascii="Times New Roman" w:hAnsi="Times New Roman"/>
          <w:b/>
          <w:noProof/>
          <w:color w:val="000000" w:themeColor="text1"/>
          <w:sz w:val="24"/>
        </w:rPr>
        <w:t>U ovoj se Komunikaciji utvrđuju najvažniji koraci koji su potrebni kako bi se osiguralo da se, s obzirom na sve veće klimatske rizike, javnost i poduzeća mogu osloniti na EU i njegove države članice kako bi održali društvene funkcije i osigurali stalan pristup osnovnim uslugama. Nastoji se pojasniti tko je odgovoran za donošenje teških odluka i poduzimanje mjera na temelju najboljih dokaza. Prikazuje se kako EU može djelotvorno pristupiti ublažavanju utjecaja klimatskih promjena u narednim godinama te kako se jačanjem otpornosti drugi ciljevi politike mogu postići na jeftiniji i jednostavniji način.</w:t>
      </w:r>
      <w:r>
        <w:rPr>
          <w:rFonts w:ascii="Times New Roman" w:hAnsi="Times New Roman"/>
          <w:noProof/>
          <w:color w:val="000000" w:themeColor="text1"/>
          <w:sz w:val="24"/>
        </w:rPr>
        <w:t xml:space="preserve"> Zato je potrebno da se pripravnost i otpornost na klimatske rizike u budućnosti uzimaju u obzir u mjerama na razini EU-a i mjerama država članica u svim područjima politika.</w:t>
      </w:r>
    </w:p>
    <w:p w14:paraId="7A4DE63C" w14:textId="77777777" w:rsidR="006C2EA4" w:rsidRDefault="006C2EA4" w:rsidP="00E445D2">
      <w:pPr>
        <w:spacing w:after="120"/>
        <w:jc w:val="both"/>
        <w:textAlignment w:val="baseline"/>
        <w:rPr>
          <w:rFonts w:ascii="Times New Roman" w:eastAsia="Times New Roman" w:hAnsi="Times New Roman" w:cs="Times New Roman"/>
          <w:noProof/>
          <w:color w:val="000000" w:themeColor="text1"/>
          <w:sz w:val="24"/>
          <w:szCs w:val="24"/>
        </w:rPr>
      </w:pPr>
      <w:bookmarkStart w:id="8" w:name="_Toc157586294"/>
      <w:bookmarkStart w:id="9" w:name="_Toc157587654"/>
      <w:bookmarkStart w:id="10" w:name="_Toc157587770"/>
      <w:bookmarkStart w:id="11" w:name="_Toc157586295"/>
      <w:bookmarkStart w:id="12" w:name="_Toc157587655"/>
      <w:bookmarkStart w:id="13" w:name="_Toc157587771"/>
      <w:bookmarkStart w:id="14" w:name="_Toc157586296"/>
      <w:bookmarkStart w:id="15" w:name="_Toc157587656"/>
      <w:bookmarkStart w:id="16" w:name="_Toc157587772"/>
      <w:bookmarkStart w:id="17" w:name="_Toc157586297"/>
      <w:bookmarkStart w:id="18" w:name="_Toc157587657"/>
      <w:bookmarkStart w:id="19" w:name="_Toc157587773"/>
      <w:bookmarkStart w:id="20" w:name="_Toc157586298"/>
      <w:bookmarkStart w:id="21" w:name="_Toc157587658"/>
      <w:bookmarkStart w:id="22" w:name="_Toc157587774"/>
      <w:bookmarkStart w:id="23" w:name="_Toc157586299"/>
      <w:bookmarkStart w:id="24" w:name="_Toc157587659"/>
      <w:bookmarkStart w:id="25" w:name="_Toc157587775"/>
      <w:bookmarkStart w:id="26" w:name="_Toc157586300"/>
      <w:bookmarkStart w:id="27" w:name="_Toc157587660"/>
      <w:bookmarkStart w:id="28" w:name="_Toc157587776"/>
      <w:bookmarkStart w:id="29" w:name="_Toc15979219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24BA4A78" w14:textId="363BA5F7" w:rsidR="001714DA" w:rsidRPr="00677067" w:rsidRDefault="00D7188A" w:rsidP="00B2476E">
      <w:pPr>
        <w:pStyle w:val="Heading2"/>
        <w:ind w:left="1565" w:hanging="431"/>
        <w:rPr>
          <w:rFonts w:ascii="Times New Roman" w:hAnsi="Times New Roman" w:cs="Times New Roman"/>
          <w:b/>
          <w:bCs/>
          <w:noProof/>
          <w:color w:val="000000" w:themeColor="text1"/>
          <w:sz w:val="24"/>
          <w:szCs w:val="24"/>
        </w:rPr>
      </w:pPr>
      <w:r>
        <w:rPr>
          <w:rFonts w:ascii="Times New Roman" w:hAnsi="Times New Roman"/>
          <w:b/>
          <w:noProof/>
          <w:color w:val="000000" w:themeColor="text1"/>
          <w:sz w:val="24"/>
        </w:rPr>
        <w:t>Postavljeni temelji EU-a za poboljšanje upravljanja klimatskim rizicima</w:t>
      </w:r>
      <w:bookmarkEnd w:id="29"/>
    </w:p>
    <w:p w14:paraId="2244059F" w14:textId="77777777" w:rsidR="00ED251E" w:rsidRDefault="00ED251E" w:rsidP="00B11E0C">
      <w:pPr>
        <w:jc w:val="both"/>
        <w:textAlignment w:val="baseline"/>
        <w:rPr>
          <w:rFonts w:ascii="Times New Roman" w:eastAsia="Times New Roman" w:hAnsi="Times New Roman" w:cs="Times New Roman"/>
          <w:noProof/>
          <w:color w:val="000000" w:themeColor="text1"/>
          <w:sz w:val="24"/>
          <w:szCs w:val="24"/>
          <w:lang w:eastAsia="en-IE"/>
        </w:rPr>
      </w:pPr>
    </w:p>
    <w:p w14:paraId="601360BF" w14:textId="1C0AFE0F" w:rsidR="00D7188A" w:rsidRPr="00915255" w:rsidRDefault="00D7188A"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Europski zakon o klimi obvezuje institucije EU-a i države članice da osiguraju stalan napredak u sposobnosti prilagodbe, povećanju otpornosti i smanjenju osjetljivosti. Provedba općeg akcijskog plana u okviru strategije EU-a za prilagodbu klimatskim promjenama iz 2021. u punom je zamahu.</w:t>
      </w:r>
      <w:r>
        <w:rPr>
          <w:rStyle w:val="FootnoteReference"/>
          <w:rFonts w:ascii="Times New Roman" w:hAnsi="Times New Roman"/>
          <w:noProof/>
          <w:color w:val="000000" w:themeColor="text1"/>
          <w:sz w:val="24"/>
        </w:rPr>
        <w:t xml:space="preserve"> </w:t>
      </w:r>
      <w:r>
        <w:rPr>
          <w:rFonts w:ascii="Times New Roman" w:hAnsi="Times New Roman"/>
          <w:noProof/>
          <w:color w:val="000000" w:themeColor="text1"/>
          <w:sz w:val="24"/>
        </w:rPr>
        <w:t>Kako bi se povećala otpornost ulaganja koja se financiraju sredstvima EU-a, u kohezijsku politiku i druge ključne programe u proračunu EU-a integrirano je načelo „ne nanosi bitnu štetu” i uspostavljena praksa pripreme za klimatske promjene.</w:t>
      </w:r>
      <w:r>
        <w:rPr>
          <w:noProof/>
        </w:rPr>
        <w:t xml:space="preserve"> </w:t>
      </w:r>
      <w:r>
        <w:rPr>
          <w:rFonts w:ascii="Times New Roman" w:hAnsi="Times New Roman"/>
          <w:noProof/>
          <w:color w:val="000000" w:themeColor="text1"/>
          <w:sz w:val="24"/>
        </w:rPr>
        <w:t xml:space="preserve">Niz sektorskih politika ažurira se tako da se uzmu u obzir klimatski rizici. Države članice unapređuju mjere prilagodbe i poduzele su prve korake kako bi u svoje nacionalne energetske i klimatske planove uključile otpornost na klimatske promjene. </w:t>
      </w:r>
    </w:p>
    <w:p w14:paraId="494576C8" w14:textId="6CC1589E" w:rsidR="00050DE4" w:rsidRPr="00915255" w:rsidRDefault="00050DE4" w:rsidP="008E56D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Ipak, rezultati nedavnih procjena Komisije</w:t>
      </w:r>
      <w:r w:rsidRPr="00915255">
        <w:rPr>
          <w:rStyle w:val="FootnoteReference"/>
          <w:rFonts w:ascii="Times New Roman" w:eastAsia="Times New Roman" w:hAnsi="Times New Roman" w:cs="Times New Roman"/>
          <w:noProof/>
          <w:color w:val="000000" w:themeColor="text1"/>
          <w:sz w:val="24"/>
          <w:szCs w:val="24"/>
          <w:lang w:eastAsia="en-IE"/>
        </w:rPr>
        <w:footnoteReference w:id="9"/>
      </w:r>
      <w:r>
        <w:rPr>
          <w:rFonts w:ascii="Times New Roman" w:hAnsi="Times New Roman"/>
          <w:noProof/>
          <w:color w:val="000000" w:themeColor="text1"/>
          <w:sz w:val="24"/>
        </w:rPr>
        <w:t xml:space="preserve"> </w:t>
      </w:r>
      <w:r w:rsidRPr="00915255">
        <w:rPr>
          <w:rStyle w:val="FootnoteReference"/>
          <w:rFonts w:ascii="Times New Roman" w:hAnsi="Times New Roman" w:cs="Times New Roman"/>
          <w:noProof/>
          <w:color w:val="000000" w:themeColor="text1"/>
          <w:sz w:val="24"/>
          <w:szCs w:val="24"/>
          <w:lang w:eastAsia="en-IE"/>
        </w:rPr>
        <w:footnoteReference w:id="10"/>
      </w:r>
      <w:r>
        <w:rPr>
          <w:rFonts w:ascii="Times New Roman" w:hAnsi="Times New Roman"/>
          <w:noProof/>
          <w:color w:val="000000" w:themeColor="text1"/>
          <w:sz w:val="24"/>
        </w:rPr>
        <w:t xml:space="preserve"> </w:t>
      </w:r>
      <w:r w:rsidR="00B809D0">
        <w:rPr>
          <w:rStyle w:val="FootnoteReference"/>
          <w:rFonts w:ascii="Times New Roman" w:hAnsi="Times New Roman" w:cs="Times New Roman"/>
          <w:noProof/>
          <w:color w:val="000000" w:themeColor="text1"/>
          <w:sz w:val="24"/>
          <w:szCs w:val="24"/>
          <w:lang w:eastAsia="en-IE"/>
        </w:rPr>
        <w:footnoteReference w:id="11"/>
      </w:r>
      <w:r>
        <w:rPr>
          <w:rFonts w:ascii="Times New Roman" w:hAnsi="Times New Roman"/>
          <w:noProof/>
          <w:color w:val="000000" w:themeColor="text1"/>
          <w:sz w:val="24"/>
        </w:rPr>
        <w:t xml:space="preserve"> neujednačeni su. Iako je na razini EU-a zamjetan kontinuiran napredak zahvaljujući provedbi strategije EU-a za prilagodbu, države članice trebaju činiti mnogo više u smislu aspekata upravljanja, boljeg informiranja, pravednosti i pravedne otpornosti, financiranja i prirodnih rješenja. U najnovijim Komisijinim ocjenama nacrta ažuriranih nacionalnih energetskih i klimatskih planova i povezanim preporukama utvrđena je neusklađenost između tih planova i planiranih i provedenih politika i mjera prilagodbe u državama članicama. Komisija je izdala preporuke i spremna je dodatno pomoći državama članicama u poboljšanju njihovih nacionalnih energetskih i klimatskih planova kako bi se ubrzala provedba i ulaganja u narednim godinama. </w:t>
      </w:r>
    </w:p>
    <w:p w14:paraId="7CBA5029" w14:textId="7466920A" w:rsidR="00E94165" w:rsidRPr="00915255" w:rsidRDefault="00E94165" w:rsidP="00E9416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Izvješće o sprečavanju i upravljanju rizicima od katastrofa u Europi</w:t>
      </w:r>
      <w:r w:rsidR="008573D8" w:rsidRPr="00DA1432">
        <w:rPr>
          <w:rStyle w:val="FootnoteReference"/>
          <w:rFonts w:ascii="Times New Roman" w:eastAsia="Times New Roman" w:hAnsi="Times New Roman" w:cs="Times New Roman"/>
          <w:noProof/>
          <w:color w:val="000000" w:themeColor="text1"/>
          <w:sz w:val="24"/>
          <w:szCs w:val="24"/>
          <w:lang w:eastAsia="en-IE"/>
        </w:rPr>
        <w:footnoteReference w:id="12"/>
      </w:r>
      <w:r>
        <w:rPr>
          <w:rFonts w:ascii="Times New Roman" w:hAnsi="Times New Roman"/>
          <w:noProof/>
          <w:color w:val="000000" w:themeColor="text1"/>
          <w:sz w:val="24"/>
        </w:rPr>
        <w:t xml:space="preserve"> pokazuje da su rizici povezani s klimom visoko na popisu prioriteta u programima upravljanja rizicima od katastrofa u cijeloj Europi. Također pokazuje zabrinjavajuću činjenicu da, iako su klimatski rizici uglavnom prepoznati, u procjenama rizika u području civilne zaštite rijetko se uzimaju u obzir klimatski scenariji i neizvjesnosti. Procjene rizika za kritičnu infrastrukturu država članica provest će se do siječnja 2026., kako je previđeno Direktivom o otpornosti kritičnih subjekata. U trenutačnim procjenama proračuna klimatski rizici ne uzimaju se u obzir sustavno, odnosno gotovo nikako. Općenito, iako se postupcima i zahtjevima dogovorenima u okvirima politika na razini EU-a mogu ublažavati klimatski rizici, provedbom se trenutačno to ne postiže. </w:t>
      </w:r>
    </w:p>
    <w:p w14:paraId="77D464C8" w14:textId="64B41063" w:rsidR="007E3DA4" w:rsidRPr="00915255" w:rsidRDefault="00B065A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Napredak je stoga neujednačen i ne ide ukorak s ubrzavanjem klimatskih promjena. </w:t>
      </w:r>
      <w:r>
        <w:rPr>
          <w:rFonts w:ascii="Times New Roman" w:hAnsi="Times New Roman"/>
          <w:b/>
          <w:noProof/>
          <w:color w:val="000000" w:themeColor="text1"/>
          <w:sz w:val="24"/>
        </w:rPr>
        <w:t>Potrebna su znatna poboljšanja u radu EU-a i država članica na pripremi za klimatske rizike i njihovu djelotvornom ublažavanju</w:t>
      </w:r>
      <w:r>
        <w:rPr>
          <w:rFonts w:ascii="Times New Roman" w:hAnsi="Times New Roman"/>
          <w:noProof/>
          <w:color w:val="000000" w:themeColor="text1"/>
          <w:sz w:val="24"/>
        </w:rPr>
        <w:t>.</w:t>
      </w:r>
    </w:p>
    <w:p w14:paraId="5466465C" w14:textId="7A25E2A4" w:rsidR="00D7188A" w:rsidRPr="00915255" w:rsidRDefault="008E56D1" w:rsidP="004A563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 izvješću o prvoj europskoj procjeni klimatskih rizika (EUCRA) detaljno se opisuju najveći klimatski rizici za Europu te njihova interakcija s mnogim drugim rizicima koji nisu povezani s klimatskim promjenama i način na koji oni povećavaju te druge rizike. Ova je Komunikacija odgovor na to izvješće i druge novije podatke. </w:t>
      </w:r>
      <w:r>
        <w:rPr>
          <w:rFonts w:ascii="Times New Roman" w:hAnsi="Times New Roman"/>
          <w:noProof/>
          <w:color w:val="000000"/>
          <w:sz w:val="24"/>
        </w:rPr>
        <w:t>U njoj se ne razmatraju detaljno mogući veliki rizici za EU povezani s utjecajem klimatskih promjena izvan EU-a ni obratno. Klimatske promjene mogu prouzročiti kaskadne rizike i pogoršati degradaciju okoliša i postojeće uzroke sukoba, raseljavanja i migracija. Ta složena međusobna povezanost zaslužuje posebnu analizu</w:t>
      </w:r>
      <w:r>
        <w:rPr>
          <w:rFonts w:ascii="Times New Roman" w:hAnsi="Times New Roman"/>
          <w:noProof/>
          <w:color w:val="000000" w:themeColor="text1"/>
          <w:sz w:val="24"/>
        </w:rPr>
        <w:t xml:space="preserve"> na kojoj će se temeljiti odluke o politikama, kako je navedeno u Komunikaciji o međuodnosu klime i sigurnosti</w:t>
      </w:r>
      <w:r w:rsidRPr="00915255">
        <w:rPr>
          <w:rFonts w:ascii="Times New Roman" w:eastAsia="Times New Roman" w:hAnsi="Times New Roman" w:cs="Times New Roman"/>
          <w:noProof/>
          <w:color w:val="000000" w:themeColor="text1"/>
          <w:sz w:val="24"/>
          <w:szCs w:val="24"/>
          <w:vertAlign w:val="superscript"/>
          <w:lang w:eastAsia="en-IE"/>
        </w:rPr>
        <w:footnoteReference w:id="13"/>
      </w:r>
      <w:r>
        <w:rPr>
          <w:rFonts w:ascii="Times New Roman" w:hAnsi="Times New Roman"/>
          <w:noProof/>
          <w:color w:val="000000" w:themeColor="text1"/>
          <w:sz w:val="24"/>
        </w:rPr>
        <w:t xml:space="preserve">. </w:t>
      </w:r>
    </w:p>
    <w:p w14:paraId="5B5998D4" w14:textId="1B6755FC" w:rsidR="00A70A3C" w:rsidRDefault="00A70A3C"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U skladu s međunarodnom dimenzijom strategije EU-a za prilagodbu</w:t>
      </w:r>
      <w:r w:rsidRPr="00A70A3C">
        <w:rPr>
          <w:rFonts w:ascii="Times New Roman" w:eastAsia="Times New Roman" w:hAnsi="Times New Roman" w:cs="Times New Roman"/>
          <w:noProof/>
          <w:color w:val="000000" w:themeColor="text1"/>
          <w:sz w:val="24"/>
          <w:szCs w:val="24"/>
          <w:vertAlign w:val="superscript"/>
          <w:lang w:eastAsia="en-IE"/>
        </w:rPr>
        <w:footnoteReference w:id="14"/>
      </w:r>
      <w:r>
        <w:rPr>
          <w:rFonts w:ascii="Times New Roman" w:hAnsi="Times New Roman"/>
          <w:noProof/>
          <w:color w:val="000000" w:themeColor="text1"/>
          <w:sz w:val="24"/>
        </w:rPr>
        <w:t xml:space="preserve"> EU će nastaviti podupirati integrirana rješenja za otpornost na klimatske promjene u nestabilnim i ranjivim zemljama. Global Gateway, sveobuhvatna strategija EU-a u vrijednosti od 300 milijardi eura, i gospodarski i investicijski planovi osmišljeni za južno susjedstvo EU-a, istočno partnerstvo i zapadni Balkan mogu ponuditi sredstva za ublažavanje klimatskih rizika na globalnoj razini. Na primjer, EU je pokrenuo sveobuhvatnu inicijativu Tima Europa (TEI) za prilagodbu i otpornost na klimatske promjene u supsaharskoj Africi kao dio paketa ulaganja EU-a i Afrike u sklopu strategije Global Gateway. U skladu s Okvirom iz Sendaija za smanjenje rizika od katastrofa EU će nastaviti podupirati smanjenje rizika od katastrofa u partnerskim zemljama, s naglaskom na znanju i upravljanju rizicima od katastrofa, prevenciji, pripravnosti (posebno sustavima ranog upozoravanja), odgovoru i oporavku.</w:t>
      </w:r>
    </w:p>
    <w:p w14:paraId="3E7F0EF3" w14:textId="3AB7C499" w:rsidR="00467C2D" w:rsidRPr="00B2476E" w:rsidRDefault="00E213F7" w:rsidP="00467C2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U Komunikaciji se uzimaju u obzir najnoviji ishodi UN-ova sastanka na vrhu o klimi (COP 28) koji se odnose na prilagodbu, a posebno na provedbu Okvira za globalnu otpornost na klimatske promjene iz Ujedinjenih Arapskih Emirata</w:t>
      </w:r>
      <w:r w:rsidR="00D7188A" w:rsidRPr="00915255">
        <w:rPr>
          <w:rStyle w:val="FootnoteReference"/>
          <w:rFonts w:ascii="Times New Roman" w:eastAsia="Times New Roman" w:hAnsi="Times New Roman" w:cs="Times New Roman"/>
          <w:noProof/>
          <w:color w:val="000000" w:themeColor="text1"/>
          <w:sz w:val="24"/>
          <w:szCs w:val="24"/>
          <w:lang w:eastAsia="en-IE"/>
        </w:rPr>
        <w:footnoteReference w:id="15"/>
      </w:r>
      <w:r>
        <w:rPr>
          <w:rFonts w:ascii="Times New Roman" w:hAnsi="Times New Roman"/>
          <w:noProof/>
          <w:color w:val="000000" w:themeColor="text1"/>
          <w:sz w:val="24"/>
        </w:rPr>
        <w:t>. EU će nastaviti poticati otpornost na klimatske promjene i upravljanje klimatskim rizicima te doprinositi prilagodbi klimatskim promjenama i sprečavanju sukoba putem svojih diplomatskih instrumenata u području klime, koristeći pritom europska iskustva na međunarodnim forumima i bilateralno.</w:t>
      </w:r>
    </w:p>
    <w:p w14:paraId="0646DA70" w14:textId="7187CC1E" w:rsidR="00B11E0C" w:rsidRDefault="00B11E0C"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17D23F3" w14:textId="77777777" w:rsidR="00275F0B" w:rsidRPr="00B2476E" w:rsidRDefault="00275F0B" w:rsidP="00467C2D">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38014A6E" w14:textId="51FA5DD2" w:rsidR="0053389F" w:rsidRPr="00677067" w:rsidRDefault="00C732A8"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30" w:name="_Toc159792198"/>
      <w:bookmarkStart w:id="31" w:name="_Toc155653036"/>
      <w:bookmarkStart w:id="32" w:name="_Toc155653108"/>
      <w:r>
        <w:rPr>
          <w:rFonts w:ascii="Times New Roman" w:hAnsi="Times New Roman"/>
          <w:b/>
          <w:noProof/>
          <w:color w:val="000000" w:themeColor="text1"/>
          <w:sz w:val="24"/>
        </w:rPr>
        <w:t>Analiza: najnoviji dokazi o najvećim rizicima za Europu</w:t>
      </w:r>
      <w:bookmarkEnd w:id="30"/>
      <w:r>
        <w:rPr>
          <w:rFonts w:ascii="Times New Roman" w:hAnsi="Times New Roman"/>
          <w:b/>
          <w:noProof/>
          <w:color w:val="000000" w:themeColor="text1"/>
          <w:sz w:val="24"/>
        </w:rPr>
        <w:t xml:space="preserve"> </w:t>
      </w:r>
      <w:bookmarkEnd w:id="31"/>
      <w:bookmarkEnd w:id="32"/>
    </w:p>
    <w:p w14:paraId="3C0A9A0E" w14:textId="77777777" w:rsidR="001F6B5D" w:rsidRPr="00677067" w:rsidRDefault="001F6B5D" w:rsidP="001F6B5D">
      <w:pPr>
        <w:rPr>
          <w:rFonts w:ascii="Times New Roman" w:hAnsi="Times New Roman" w:cs="Times New Roman"/>
          <w:b/>
          <w:bCs/>
          <w:noProof/>
          <w:color w:val="000000" w:themeColor="text1"/>
          <w:sz w:val="24"/>
          <w:szCs w:val="24"/>
          <w:lang w:eastAsia="en-IE"/>
        </w:rPr>
      </w:pPr>
    </w:p>
    <w:p w14:paraId="34C7C281" w14:textId="01E80FA7" w:rsidR="00C04113" w:rsidRPr="00677067" w:rsidRDefault="00537510" w:rsidP="00B2476E">
      <w:pPr>
        <w:pStyle w:val="Heading2"/>
        <w:ind w:left="1565" w:hanging="431"/>
        <w:rPr>
          <w:rFonts w:ascii="Times New Roman" w:hAnsi="Times New Roman" w:cs="Times New Roman"/>
          <w:b/>
          <w:bCs/>
          <w:noProof/>
          <w:color w:val="000000" w:themeColor="text1"/>
          <w:sz w:val="24"/>
          <w:szCs w:val="24"/>
        </w:rPr>
      </w:pPr>
      <w:bookmarkStart w:id="33" w:name="_Toc159792199"/>
      <w:r>
        <w:rPr>
          <w:rFonts w:ascii="Times New Roman" w:hAnsi="Times New Roman"/>
          <w:b/>
          <w:noProof/>
          <w:color w:val="000000" w:themeColor="text1"/>
          <w:sz w:val="24"/>
        </w:rPr>
        <w:t>Rezultati europske procjene klimatskih rizika</w:t>
      </w:r>
      <w:bookmarkEnd w:id="33"/>
      <w:r>
        <w:rPr>
          <w:rFonts w:ascii="Times New Roman" w:hAnsi="Times New Roman"/>
          <w:b/>
          <w:noProof/>
          <w:color w:val="000000" w:themeColor="text1"/>
          <w:sz w:val="24"/>
        </w:rPr>
        <w:t xml:space="preserve"> </w:t>
      </w:r>
    </w:p>
    <w:p w14:paraId="220AC25A" w14:textId="77777777" w:rsidR="00110F08" w:rsidRPr="00677067"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72C9E116" w14:textId="0C4056D9" w:rsidR="004A4171" w:rsidRPr="00915255" w:rsidRDefault="003075BA" w:rsidP="00A35FB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Znanstveni su zaključci jasni: Europa će se suočavati s višim temperaturama, rizikom od jačih i češćih toplinskih valova, dugotrajnim sušama, intenzivnijim padalinama, nižim prosječnim brzinama vjetra i manjim količinama snijega. To je jasno navedeno u izvješćima Međuvladinog panela o klimatskim promjenama (IPCC). Međutim, ta opća slika ne prikazuje složene interakcije između opasnosti i vjerojatnosti katastrofalnih učinaka. </w:t>
      </w:r>
    </w:p>
    <w:p w14:paraId="4765E38A" w14:textId="04D4A588" w:rsidR="006B7564" w:rsidRDefault="00BC75E6" w:rsidP="00FB1FAF">
      <w:pPr>
        <w:spacing w:after="120"/>
        <w:jc w:val="both"/>
        <w:textAlignment w:val="baseline"/>
        <w:rPr>
          <w:rFonts w:ascii="Times New Roman" w:eastAsia="Times New Roman" w:hAnsi="Times New Roman" w:cs="Times New Roman"/>
          <w:noProof/>
          <w:color w:val="000000" w:themeColor="text1"/>
          <w:sz w:val="24"/>
          <w:szCs w:val="24"/>
        </w:rPr>
      </w:pPr>
      <w:r w:rsidRPr="00BC75E6">
        <w:rPr>
          <w:noProof/>
          <w:lang w:val="en-GB" w:eastAsia="en-GB"/>
        </w:rPr>
        <w:drawing>
          <wp:inline distT="0" distB="0" distL="0" distR="0" wp14:anchorId="0C9ECB11" wp14:editId="7EFFAD07">
            <wp:extent cx="5760720" cy="4296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0720" cy="4296410"/>
                    </a:xfrm>
                    <a:prstGeom prst="rect">
                      <a:avLst/>
                    </a:prstGeom>
                    <a:noFill/>
                    <a:ln>
                      <a:noFill/>
                    </a:ln>
                  </pic:spPr>
                </pic:pic>
              </a:graphicData>
            </a:graphic>
          </wp:inline>
        </w:drawing>
      </w:r>
      <w:r w:rsidR="00903F2E">
        <w:rPr>
          <w:rFonts w:ascii="Times New Roman" w:hAnsi="Times New Roman"/>
          <w:noProof/>
          <w:color w:val="000000" w:themeColor="text1"/>
          <w:sz w:val="24"/>
        </w:rPr>
        <w:t>Slika 2: Uočeni i predviđeni trendovi za glavne opasnosti povezane s klimom u europskim regijama</w:t>
      </w:r>
    </w:p>
    <w:p w14:paraId="7026D70C" w14:textId="7F890A87" w:rsidR="00B4182E" w:rsidRPr="00915255" w:rsidRDefault="009513CE" w:rsidP="00FB1FA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 </w:t>
      </w:r>
    </w:p>
    <w:p w14:paraId="369027B6" w14:textId="52A4F22C" w:rsidR="0016254A" w:rsidRPr="00915255" w:rsidRDefault="009513CE" w:rsidP="0027457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Izvor: EUCRA </w:t>
      </w:r>
    </w:p>
    <w:p w14:paraId="2B4CD59C" w14:textId="6E7989F4" w:rsidR="00E8187F" w:rsidRDefault="00344A54" w:rsidP="00344A5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Te klimatske opasnosti dovest će do većeg broja katastrofa kao što su suše, poplave, požari, bolesti, propadanje usjeva, smrtni slučajevi zbog vrućine, šteta na infrastrukturi i strukturne promjene u okolišu. U praksi su pripravnost društva, financijski i administrativni kapaciteti za oporavak i fizička lokacija glavni čimbenici koji određuju koliko smo kao društvo izloženi i ranjivi. </w:t>
      </w:r>
    </w:p>
    <w:p w14:paraId="3EBCF7F6" w14:textId="357F125E" w:rsidR="002E7B27" w:rsidRDefault="002E7B27" w:rsidP="00681BFF">
      <w:pPr>
        <w:spacing w:after="120"/>
        <w:jc w:val="both"/>
        <w:textAlignment w:val="baseline"/>
        <w:rPr>
          <w:rFonts w:ascii="Times New Roman" w:eastAsia="Times New Roman" w:hAnsi="Times New Roman" w:cs="Times New Roman"/>
          <w:noProof/>
          <w:color w:val="000000" w:themeColor="text1"/>
          <w:sz w:val="24"/>
          <w:szCs w:val="24"/>
        </w:rPr>
      </w:pPr>
      <w:bookmarkStart w:id="34" w:name="_Hlk160815827"/>
      <w:r>
        <w:rPr>
          <w:rFonts w:ascii="Times New Roman" w:hAnsi="Times New Roman"/>
          <w:noProof/>
          <w:color w:val="000000" w:themeColor="text1"/>
          <w:sz w:val="24"/>
        </w:rPr>
        <w:t xml:space="preserve">Južna Europa bit će izložena većim klimatskim pritiscima od ostatka Europe; isto vrijedi za arktička područja. Najudaljenije regije imaju poseban skup rizika. Zbog te nejednake izloženosti utjecajima klimatskih promjena povećavaju se već postojeće razlike među regijama u pogledu potrebe za prilagodbom, sprečavanjem rizika i pripremljenošću u tom području, što može vršiti pritisak na instrumente za koheziju na razini EU-a. </w:t>
      </w:r>
    </w:p>
    <w:bookmarkEnd w:id="34"/>
    <w:p w14:paraId="7F9A9021" w14:textId="66F066A7" w:rsidR="00582114" w:rsidRPr="00915255" w:rsidRDefault="00582114" w:rsidP="00582114">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Troškovi i koristi izbjegnute štete na razini cijelog društva ne mogu se točno izračunati, ali procjena razmjera trebala bi biti dovoljna da se opravda djelovanje. Konzervativna je procjena da bi se zbog sve većih utjecaja klimatskih promjena BDP EU-a do kraja stoljeća mogao smanjiti za oko 7 %. Ako globalno zagrijavanje trajnije bude iznad praga od 1,5 °C iz Pariškog sporazuma, kumulativno dodatno smanjenje BDP-a za EU u cjelini moglo bi u razdoblju od 2031. do 2050. iznositi 2,4 bilijuna EUR</w:t>
      </w:r>
      <w:r w:rsidRPr="0018244E">
        <w:rPr>
          <w:rStyle w:val="FootnoteReference"/>
          <w:rFonts w:ascii="Times New Roman" w:hAnsi="Times New Roman" w:cs="Times New Roman"/>
          <w:noProof/>
          <w:color w:val="000000" w:themeColor="text1"/>
          <w:sz w:val="24"/>
          <w:szCs w:val="24"/>
        </w:rPr>
        <w:footnoteReference w:id="16"/>
      </w:r>
      <w:r>
        <w:rPr>
          <w:rFonts w:ascii="Times New Roman" w:hAnsi="Times New Roman"/>
          <w:noProof/>
          <w:color w:val="000000" w:themeColor="text1"/>
          <w:sz w:val="24"/>
        </w:rPr>
        <w:t xml:space="preserve">. </w:t>
      </w:r>
      <w:r>
        <w:rPr>
          <w:rFonts w:ascii="Times New Roman" w:hAnsi="Times New Roman"/>
          <w:noProof/>
          <w:sz w:val="24"/>
        </w:rPr>
        <w:t>Godišnja šteta u Europi uzrokovana poplavama obalnih područja mogla bi do 2100. premašiti 1,6 bilijuna EUR</w:t>
      </w:r>
      <w:r>
        <w:rPr>
          <w:rStyle w:val="FootnoteReference"/>
          <w:rFonts w:ascii="Times New Roman" w:eastAsia="Times New Roman" w:hAnsi="Times New Roman" w:cs="Times New Roman"/>
          <w:noProof/>
          <w:sz w:val="24"/>
          <w:szCs w:val="24"/>
          <w:lang w:val="en-IE"/>
        </w:rPr>
        <w:footnoteReference w:id="17"/>
      </w:r>
      <w:r>
        <w:rPr>
          <w:rFonts w:ascii="Times New Roman" w:hAnsi="Times New Roman"/>
          <w:noProof/>
          <w:sz w:val="24"/>
        </w:rPr>
        <w:t xml:space="preserve">, a svake bi godine 3,9 milijuna ljudi bilo izloženo tim poplavama. </w:t>
      </w:r>
    </w:p>
    <w:p w14:paraId="5C76A149" w14:textId="3B00D40D" w:rsidR="00681BFF"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Klimatski rizici posebno pogađaju najranjivije osobe zbog niza socioekonomskih čimbenika, kao što su dohodak, spol, dob, invaliditet, zdravlje i socijalna isključenost (posebno za migrante, etničke manjine i autohtone narode). Postojeći nepovoljan položaj smanjuje kapacitet za oporavak od katastrofa izazvanih klimatskim nepogodama. Siromašnija urbana područja, ali i škole i bolnice često se nalaze na urbanim toplinskim otocima.</w:t>
      </w:r>
      <w:r>
        <w:rPr>
          <w:rFonts w:ascii="Times New Roman" w:hAnsi="Times New Roman"/>
          <w:noProof/>
          <w:sz w:val="24"/>
        </w:rPr>
        <w:t xml:space="preserve"> I u urbanim i u ruralnim sredinama stanovništvo koje živi u područjima male nadmorske visine suočava se s većim rizikom od poplava i posljedicama povezanima s onečišćenjem vode.</w:t>
      </w:r>
    </w:p>
    <w:p w14:paraId="4E1651C6" w14:textId="7950F43C" w:rsidR="00681BFF" w:rsidRPr="00915255" w:rsidRDefault="00681BFF" w:rsidP="00681BFF">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Za izložene radnike, prvenstveno one koji rade na otvorenom u sektorima kao što su poljoprivreda, građevinarstvo, hitne službe i turizam, vjerojatnije je da će se suočiti s ekstremnim toplinskim uvjetima. Osim učinaka na zdravlje i sigurnost na radu i gubitaka prihoda za pojedinačne radnike zbog izgubljenih sati rada, smanjenje produktivnosti rada koje iz toga proizlazi može dovesti do manjka u gospodarskoj proizvodnji na široj teritorijalnoj razini. Loše osmišljena rješenja za prilagodbu mogu dodatno produbiti nejednakosti. Uzimanje socijalnih aspekata u obzir, dijalog te uključivi i participativni postupci donošenja odluka s pogođenim zajednicama ključni su za dobro osmišljeno političko djelovanje. Pružanje sigurnosti dio je društvenog ugovora s našim građanima. </w:t>
      </w:r>
    </w:p>
    <w:p w14:paraId="71B86C90" w14:textId="048065BB" w:rsidR="00C15BCA" w:rsidRDefault="00D21DA7" w:rsidP="00D21DA7">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 europskoj procjeni klimatskih rizika utvrđeno je 36 najvećih rizika za Europu, od kojih su neki već na kritičnim razinama i iziskuju vrlo hitno djelovanje. Oblikovatelji politika trebali bi razmotriti svaki od tih rizika. U 4. odjeljku odgovara se na neke od njih, a naglasak je na mjerama kojima se istodobno može odgovoriti na nekoliko rizika. </w:t>
      </w:r>
    </w:p>
    <w:p w14:paraId="42589059" w14:textId="77777777" w:rsidR="00C15BCA" w:rsidRDefault="00C15BCA">
      <w:pPr>
        <w:spacing w:after="200" w:line="276" w:lineRule="auto"/>
        <w:rPr>
          <w:rFonts w:ascii="Times New Roman" w:eastAsia="Times New Roman" w:hAnsi="Times New Roman" w:cs="Times New Roman"/>
          <w:noProof/>
          <w:color w:val="000000" w:themeColor="text1"/>
          <w:sz w:val="24"/>
          <w:szCs w:val="24"/>
        </w:rPr>
      </w:pPr>
      <w:r>
        <w:rPr>
          <w:noProof/>
        </w:rPr>
        <w:br w:type="page"/>
      </w:r>
    </w:p>
    <w:p w14:paraId="54F69784" w14:textId="39E4906F" w:rsidR="000E756C" w:rsidRPr="000E756C" w:rsidRDefault="000E756C"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Slika 3: Povezanost glavnih skupova klimatskih rizika i izloženih područja politike </w:t>
      </w:r>
    </w:p>
    <w:p w14:paraId="131F754D" w14:textId="1E77DED0" w:rsidR="000E756C" w:rsidRPr="000E756C" w:rsidRDefault="00BC75E6" w:rsidP="000E756C">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eastAsia="Times New Roman" w:hAnsi="Times New Roman" w:cs="Times New Roman"/>
          <w:noProof/>
          <w:color w:val="000000" w:themeColor="text1"/>
          <w:sz w:val="24"/>
          <w:szCs w:val="24"/>
          <w:lang w:val="en-GB" w:eastAsia="en-GB"/>
        </w:rPr>
        <w:drawing>
          <wp:inline distT="0" distB="0" distL="0" distR="0" wp14:anchorId="66CBE395" wp14:editId="0092E56B">
            <wp:extent cx="5525135" cy="78403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5135" cy="7840345"/>
                    </a:xfrm>
                    <a:prstGeom prst="rect">
                      <a:avLst/>
                    </a:prstGeom>
                    <a:noFill/>
                  </pic:spPr>
                </pic:pic>
              </a:graphicData>
            </a:graphic>
          </wp:inline>
        </w:drawing>
      </w:r>
    </w:p>
    <w:p w14:paraId="53FC4126" w14:textId="55290F62" w:rsidR="00C51D41" w:rsidRPr="00915255" w:rsidRDefault="00C51D41" w:rsidP="00C51D4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Izvor: EUCRA </w:t>
      </w:r>
    </w:p>
    <w:p w14:paraId="760484ED" w14:textId="77777777" w:rsidR="001F6B5D" w:rsidRPr="00915255" w:rsidRDefault="001F6B5D" w:rsidP="004B0FE0">
      <w:pPr>
        <w:spacing w:after="120"/>
        <w:jc w:val="both"/>
        <w:textAlignment w:val="baseline"/>
        <w:rPr>
          <w:rFonts w:ascii="Times New Roman" w:eastAsia="Times New Roman" w:hAnsi="Times New Roman" w:cs="Times New Roman"/>
          <w:noProof/>
          <w:color w:val="000000" w:themeColor="text1"/>
          <w:sz w:val="24"/>
          <w:szCs w:val="24"/>
          <w:lang w:val="en-IE" w:eastAsia="en-IE"/>
        </w:rPr>
      </w:pPr>
    </w:p>
    <w:p w14:paraId="170C4280" w14:textId="0DE90AFA" w:rsidR="006270DE" w:rsidRPr="008C256A" w:rsidRDefault="00545E49" w:rsidP="00B2476E">
      <w:pPr>
        <w:pStyle w:val="Heading2"/>
        <w:ind w:left="1565" w:hanging="431"/>
        <w:rPr>
          <w:rFonts w:ascii="Times New Roman" w:hAnsi="Times New Roman" w:cs="Times New Roman"/>
          <w:b/>
          <w:bCs/>
          <w:noProof/>
          <w:color w:val="000000" w:themeColor="text1"/>
          <w:sz w:val="24"/>
          <w:szCs w:val="24"/>
        </w:rPr>
      </w:pPr>
      <w:bookmarkStart w:id="35" w:name="_Toc157587664"/>
      <w:bookmarkStart w:id="36" w:name="_Toc157587780"/>
      <w:bookmarkStart w:id="37" w:name="_Toc159792200"/>
      <w:bookmarkEnd w:id="35"/>
      <w:bookmarkEnd w:id="36"/>
      <w:r>
        <w:rPr>
          <w:rFonts w:ascii="Times New Roman" w:hAnsi="Times New Roman"/>
          <w:b/>
          <w:noProof/>
          <w:color w:val="000000" w:themeColor="text1"/>
          <w:sz w:val="24"/>
        </w:rPr>
        <w:t>Neizvjesnosti i vjerojatnosti</w:t>
      </w:r>
      <w:bookmarkEnd w:id="37"/>
      <w:r>
        <w:rPr>
          <w:rFonts w:ascii="Times New Roman" w:hAnsi="Times New Roman"/>
          <w:b/>
          <w:noProof/>
          <w:color w:val="000000" w:themeColor="text1"/>
          <w:sz w:val="24"/>
        </w:rPr>
        <w:t xml:space="preserve"> </w:t>
      </w:r>
    </w:p>
    <w:p w14:paraId="39A31356"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415BD4D6" w14:textId="4AAB596F" w:rsidR="008E259F" w:rsidRDefault="00D41D86"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Unatoč složenosti klimatskog sustava i prevladavajućim neizvjesnostima znanstvenici su sigurni da će se u narednim desetljećima klima i dalje pogoršavati. Oblikovatelji politika i ulagači moraju uzeti u obzir vjerojatnost ishoda koji žele izbjeći. </w:t>
      </w:r>
    </w:p>
    <w:p w14:paraId="1C605D34" w14:textId="1B750FD7" w:rsidR="00E55620" w:rsidRPr="00915255" w:rsidRDefault="009143E4" w:rsidP="00E556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Neizvjesnost nije valjan izgovor za nedjelovanje. U skladu s načelom opreznosti</w:t>
      </w:r>
      <w:r w:rsidR="000B141D">
        <w:rPr>
          <w:rStyle w:val="FootnoteReference"/>
          <w:rFonts w:ascii="Times New Roman" w:eastAsia="Times New Roman" w:hAnsi="Times New Roman" w:cs="Times New Roman"/>
          <w:noProof/>
          <w:color w:val="000000" w:themeColor="text1"/>
          <w:sz w:val="24"/>
          <w:szCs w:val="24"/>
          <w:lang w:val="en-IE" w:eastAsia="en-IE"/>
        </w:rPr>
        <w:footnoteReference w:id="18"/>
      </w:r>
      <w:r>
        <w:rPr>
          <w:noProof/>
        </w:rPr>
        <w:t xml:space="preserve"> </w:t>
      </w:r>
      <w:r>
        <w:rPr>
          <w:rFonts w:ascii="Times New Roman" w:hAnsi="Times New Roman"/>
          <w:noProof/>
          <w:color w:val="000000" w:themeColor="text1"/>
          <w:sz w:val="24"/>
        </w:rPr>
        <w:t>donositelji odluka moraju primijeniti preventivan, proaktivan pristup kako bi osigurali dobro upravljanje našim društvima.</w:t>
      </w:r>
    </w:p>
    <w:p w14:paraId="52D002BB" w14:textId="77777777" w:rsidR="001F6B5D" w:rsidRPr="00915255" w:rsidRDefault="001F6B5D" w:rsidP="00E55620">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092E31CC" w14:textId="14141EEC" w:rsidR="003F1FF2" w:rsidRPr="008C256A" w:rsidRDefault="000E2514" w:rsidP="00B2476E">
      <w:pPr>
        <w:pStyle w:val="Heading1"/>
        <w:numPr>
          <w:ilvl w:val="0"/>
          <w:numId w:val="1"/>
        </w:numPr>
        <w:ind w:left="357" w:hanging="357"/>
        <w:rPr>
          <w:rFonts w:ascii="Times New Roman" w:eastAsiaTheme="minorHAnsi" w:hAnsi="Times New Roman" w:cs="Times New Roman"/>
          <w:b/>
          <w:bCs/>
          <w:noProof/>
          <w:color w:val="000000" w:themeColor="text1"/>
          <w:sz w:val="24"/>
          <w:szCs w:val="24"/>
        </w:rPr>
      </w:pPr>
      <w:bookmarkStart w:id="38" w:name="_Toc159792201"/>
      <w:r>
        <w:rPr>
          <w:rFonts w:ascii="Times New Roman" w:hAnsi="Times New Roman"/>
          <w:b/>
          <w:noProof/>
          <w:color w:val="000000" w:themeColor="text1"/>
          <w:sz w:val="24"/>
        </w:rPr>
        <w:t>Prostor za rješenja – opremanje društva za djelovanje</w:t>
      </w:r>
      <w:bookmarkEnd w:id="38"/>
    </w:p>
    <w:p w14:paraId="22110B25" w14:textId="77777777" w:rsidR="00110F08" w:rsidRPr="00F814A3" w:rsidRDefault="00110F08" w:rsidP="00B11E0C">
      <w:pPr>
        <w:spacing w:line="240" w:lineRule="auto"/>
        <w:jc w:val="both"/>
        <w:rPr>
          <w:rFonts w:ascii="Times New Roman" w:hAnsi="Times New Roman" w:cs="Times New Roman"/>
          <w:noProof/>
          <w:color w:val="000000" w:themeColor="text1"/>
          <w:sz w:val="24"/>
          <w:szCs w:val="24"/>
        </w:rPr>
      </w:pPr>
    </w:p>
    <w:p w14:paraId="68767612" w14:textId="15597473" w:rsidR="0094649A" w:rsidRDefault="000C26F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U okruženju obilježenom promjenama potrebni su brz razvoj, ispitivanje i primjena provedivih rješenja. Misija EU-a za prilagodbu klimatskim promjenama podupire regije inovativnim rješenjima, koja prate regiju ili lokalno tijelo u postizanju otpornosti na klimatske promjene do 2030. i mogu poslužiti kao najbolja praksa za sve zainteresirane strane. </w:t>
      </w:r>
    </w:p>
    <w:p w14:paraId="49D1CE3B" w14:textId="485DFACE" w:rsidR="0035207A" w:rsidRPr="00915255" w:rsidRDefault="0B278AC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Ulaganje u otpornost od samog početka infrastrukturnog projekta znači da će se imovina moći bolje oduprijeti ekstremnim vremenskim uvjetima kako bi se izbjegli </w:t>
      </w:r>
      <w:r>
        <w:rPr>
          <w:rFonts w:ascii="Times New Roman" w:hAnsi="Times New Roman"/>
          <w:i/>
          <w:noProof/>
          <w:color w:val="000000" w:themeColor="text1"/>
          <w:sz w:val="24"/>
        </w:rPr>
        <w:t>ad hoc</w:t>
      </w:r>
      <w:r>
        <w:rPr>
          <w:rFonts w:ascii="Times New Roman" w:hAnsi="Times New Roman"/>
          <w:noProof/>
          <w:color w:val="000000" w:themeColor="text1"/>
          <w:sz w:val="24"/>
        </w:rPr>
        <w:t xml:space="preserve"> troškovi obnove i oporavka. Svaki euro utrošen u popravak štete mogao se utrošiti za produktivnije ulaganje. I obratno, svaki euro potrošen na prevenciju i pripravnost svima će donijeti koristi, i to veće od početnog uloga</w:t>
      </w:r>
      <w:r w:rsidR="00FF67E3" w:rsidRPr="0043667E">
        <w:rPr>
          <w:rStyle w:val="FootnoteReference"/>
          <w:rFonts w:ascii="Times New Roman" w:hAnsi="Times New Roman" w:cs="Times New Roman"/>
          <w:noProof/>
          <w:color w:val="000000" w:themeColor="text1"/>
          <w:sz w:val="24"/>
          <w:szCs w:val="24"/>
          <w:lang w:val="en-IE"/>
        </w:rPr>
        <w:footnoteReference w:id="19"/>
      </w:r>
      <w:r>
        <w:rPr>
          <w:rFonts w:ascii="Times New Roman" w:hAnsi="Times New Roman"/>
          <w:noProof/>
          <w:color w:val="000000" w:themeColor="text1"/>
          <w:sz w:val="24"/>
        </w:rPr>
        <w:t>. Planiranje danas mora se temeljiti na pouzdanoj anticipativnoj procjeni rizika</w:t>
      </w:r>
      <w:r w:rsidR="00FF67E3">
        <w:rPr>
          <w:rStyle w:val="FootnoteReference"/>
          <w:rFonts w:ascii="Times New Roman" w:eastAsia="Times New Roman" w:hAnsi="Times New Roman" w:cs="Times New Roman"/>
          <w:bCs/>
          <w:noProof/>
          <w:color w:val="000000" w:themeColor="text1"/>
          <w:sz w:val="24"/>
          <w:szCs w:val="24"/>
          <w:lang w:val="en-IE" w:eastAsia="en-IE"/>
        </w:rPr>
        <w:footnoteReference w:id="20"/>
      </w:r>
      <w:r>
        <w:rPr>
          <w:rFonts w:ascii="Times New Roman" w:hAnsi="Times New Roman"/>
          <w:noProof/>
          <w:color w:val="000000" w:themeColor="text1"/>
          <w:sz w:val="24"/>
        </w:rPr>
        <w:t>.</w:t>
      </w:r>
    </w:p>
    <w:p w14:paraId="2D4D01D8" w14:textId="4217E5CC" w:rsidR="00110F08" w:rsidRPr="00915255" w:rsidRDefault="00606D5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Klimatski rizici s kojima se Europa suočava ne mogu se uklanjati odvojeno od drugih društvenih problema. Najbolja, trajna rješenja ona su koja donose višestruke koristi. Rezultati prve europske procjene klimatskih rizika (EUCRA) upućuju na nekoliko područja u kojima međusektorska rješenja mogu pomoći u uklanjanju prepreka prilagodbi klimatskim promjenama. Zbog toga je potreban sustavan pristup. </w:t>
      </w:r>
    </w:p>
    <w:p w14:paraId="1D3B00F8" w14:textId="40DD8AC3" w:rsidR="0053389F" w:rsidRPr="00915255" w:rsidRDefault="00137EEC"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 sljedećim pododjeljcima utvrđene su četiri glavne kategorije rješenja zahvaljujući kojima bi se administrativni sustavi u EU-u i njegovim državama članicama mogli bolje nositi s klimatskim rizicima: poboljšano upravljanje, resursi za one koji preuzimaju odgovornost za rizike, iskorištavanje strukturnih politika i odgovarajući preduvjeti za financijsku otpornost. </w:t>
      </w:r>
    </w:p>
    <w:p w14:paraId="119F3FAE" w14:textId="77777777" w:rsidR="0072028C" w:rsidRPr="00F814A3" w:rsidRDefault="0072028C" w:rsidP="00FE74B1">
      <w:pPr>
        <w:spacing w:after="120"/>
        <w:jc w:val="both"/>
        <w:rPr>
          <w:rFonts w:ascii="Times New Roman" w:eastAsia="Times New Roman" w:hAnsi="Times New Roman" w:cs="Times New Roman"/>
          <w:noProof/>
          <w:color w:val="000000" w:themeColor="text1"/>
          <w:sz w:val="24"/>
          <w:szCs w:val="24"/>
          <w:lang w:eastAsia="en-IE"/>
        </w:rPr>
      </w:pPr>
    </w:p>
    <w:p w14:paraId="3FAF21AD" w14:textId="5B5097A7" w:rsidR="003F1FF2" w:rsidRPr="008C256A" w:rsidRDefault="008C05C8" w:rsidP="00B2476E">
      <w:pPr>
        <w:pStyle w:val="Heading2"/>
        <w:ind w:left="1565" w:hanging="431"/>
        <w:rPr>
          <w:rFonts w:ascii="Times New Roman" w:hAnsi="Times New Roman" w:cs="Times New Roman"/>
          <w:b/>
          <w:bCs/>
          <w:noProof/>
          <w:color w:val="000000" w:themeColor="text1"/>
          <w:sz w:val="24"/>
          <w:szCs w:val="24"/>
        </w:rPr>
      </w:pPr>
      <w:bookmarkStart w:id="39" w:name="_Toc159792202"/>
      <w:r>
        <w:rPr>
          <w:rFonts w:ascii="Times New Roman" w:hAnsi="Times New Roman"/>
          <w:b/>
          <w:noProof/>
          <w:color w:val="000000" w:themeColor="text1"/>
          <w:sz w:val="24"/>
        </w:rPr>
        <w:t xml:space="preserve">Poboljšano upravljanje </w:t>
      </w:r>
      <w:bookmarkEnd w:id="39"/>
    </w:p>
    <w:p w14:paraId="08354312" w14:textId="77777777" w:rsidR="00110F08" w:rsidRPr="008C256A" w:rsidRDefault="00110F08" w:rsidP="00B11E0C">
      <w:pPr>
        <w:jc w:val="both"/>
        <w:textAlignment w:val="baseline"/>
        <w:rPr>
          <w:rFonts w:ascii="Times New Roman" w:eastAsia="Times New Roman" w:hAnsi="Times New Roman" w:cs="Times New Roman"/>
          <w:b/>
          <w:bCs/>
          <w:noProof/>
          <w:color w:val="000000" w:themeColor="text1"/>
          <w:sz w:val="24"/>
          <w:szCs w:val="24"/>
          <w:lang w:val="en-IE" w:eastAsia="en-IE"/>
        </w:rPr>
      </w:pPr>
    </w:p>
    <w:p w14:paraId="1347B82A" w14:textId="248F0D41" w:rsidR="000221BB" w:rsidRPr="00915255" w:rsidRDefault="0069108C" w:rsidP="000221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Podjela odgovornosti između EU-a i država članica – preuzimanje odgovornosti za rizike – razlikuje se među područjima politika i temelji se na supsidijarnosti. U praksi to često znači da se Europski parlament i Vijeće dogovore o zajedničkom općem okviru na razini EU-a, a države članice osmišljavaju konkretne pristupe provedbi i odlučuju o njima na nacionalnoj razini te ih provode na nacionalnoj, regionalnoj i lokalnoj razini. Na razini EU-a klimatske bi rizike trebalo više uzimati u obzir u aspektima upravljanja u okviru politika, u zakonodavstvu i financijskim instrumentima te u traženju sinergija između politika i mjera EU-a. </w:t>
      </w:r>
    </w:p>
    <w:p w14:paraId="48094C50" w14:textId="56AEFFC4" w:rsidR="00F723BC" w:rsidRPr="00755240" w:rsidRDefault="00C964C8" w:rsidP="00327375">
      <w:pPr>
        <w:spacing w:after="120"/>
        <w:jc w:val="both"/>
        <w:textAlignment w:val="baseline"/>
        <w:rPr>
          <w:rFonts w:ascii="Times New Roman" w:hAnsi="Times New Roman"/>
          <w:b/>
          <w:noProof/>
          <w:color w:val="000000" w:themeColor="text1"/>
          <w:sz w:val="24"/>
        </w:rPr>
      </w:pPr>
      <w:r>
        <w:rPr>
          <w:rFonts w:ascii="Times New Roman" w:hAnsi="Times New Roman"/>
          <w:noProof/>
          <w:color w:val="000000" w:themeColor="text1"/>
          <w:sz w:val="24"/>
        </w:rPr>
        <w:t xml:space="preserve">Iako većina politika uključuje odredbe o uzimanju klimatskih rizika u obzir, postoje nedostaci u načinu na koji se te politike i zakonodavstvo provode u državama članicama. Potrebna su poboljšanja na svim razinama upravljanja. Potrebno je obratiti pozornost na interakciju nacionalne, regionalne i lokalne razine i usklađenost njihovih sredstava i zadaća. </w:t>
      </w:r>
      <w:r>
        <w:rPr>
          <w:rFonts w:ascii="Times New Roman" w:hAnsi="Times New Roman"/>
          <w:b/>
          <w:noProof/>
          <w:color w:val="000000" w:themeColor="text1"/>
          <w:sz w:val="24"/>
        </w:rPr>
        <w:t xml:space="preserve">Komisija poziva države članice da u potpunosti provedu postojeće obveze u pogledu prilagodbe i razmotre relevantne preporuke Komisije. </w:t>
      </w:r>
    </w:p>
    <w:p w14:paraId="7C7DE753" w14:textId="501BDA46" w:rsidR="00394716" w:rsidRPr="00915255" w:rsidRDefault="000B3082" w:rsidP="004C5920">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Za bolje upravljanje klimatskim rizicima potrebni su:</w:t>
      </w:r>
    </w:p>
    <w:p w14:paraId="6EF1ABF8" w14:textId="63147ED8" w:rsidR="001234C6" w:rsidRPr="00915255" w:rsidRDefault="00E95728" w:rsidP="00A632E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Jasno preuzimanje odgovornosti za rizike.</w:t>
      </w:r>
      <w:r>
        <w:rPr>
          <w:rFonts w:ascii="Times New Roman" w:hAnsi="Times New Roman"/>
          <w:noProof/>
          <w:color w:val="000000" w:themeColor="text1"/>
          <w:sz w:val="24"/>
        </w:rPr>
        <w:t xml:space="preserve"> Komisija poziva sve institucije EU-a da razmotre kako su u trenutačnom zakonodavnom ustroju za glavna područja politika klimatski rizici specifični za pojedine sektore i odgovornost za djelovanje u vezi s klimatskim rizicima raspodijeljeni između EU-a i država članica.</w:t>
      </w:r>
    </w:p>
    <w:p w14:paraId="7DFE597C" w14:textId="2453201A" w:rsidR="001810D3" w:rsidRPr="001A3A0E" w:rsidRDefault="00EB5825" w:rsidP="003E5D8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Ojačane upravljačke strukture. </w:t>
      </w:r>
      <w:r>
        <w:rPr>
          <w:rFonts w:ascii="Times New Roman" w:hAnsi="Times New Roman"/>
          <w:noProof/>
          <w:color w:val="000000" w:themeColor="text1"/>
          <w:sz w:val="24"/>
        </w:rPr>
        <w:t xml:space="preserve">Jasne upravljačke strukture za upravljanje klimatskim rizicima u državama članicama trebale bi osigurati vertikalnu i horizontalnu koordinaciju nacionalne, regionalne i lokalne razine. Komisija poziva države članice da osiguraju da oni koji preuzimaju odgovornost za rizike na nacionalnoj razini imaju potrebne kapacitete i resurse za upravljanje klimatskim rizicima. Komisija će također strukturno integrirati pitanje klimatskih rizika u svoje unutarnje procese jačanjem funkcija kontrole klimatskih rizika i u provedbu provjere usklađenosti s klimatskom politikom u zahtjevima za bolju regulativu. </w:t>
      </w:r>
    </w:p>
    <w:p w14:paraId="0F326CED" w14:textId="3C04D712" w:rsidR="00B06AE7" w:rsidRPr="00B06AE7" w:rsidRDefault="007E5D60" w:rsidP="00FE74B1">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Sinergije u postupcima upravljanja</w:t>
      </w:r>
      <w:r>
        <w:rPr>
          <w:rFonts w:ascii="Times New Roman" w:hAnsi="Times New Roman"/>
          <w:noProof/>
          <w:color w:val="000000" w:themeColor="text1"/>
          <w:sz w:val="24"/>
        </w:rPr>
        <w:t xml:space="preserve">. Provedba zakonodavstva koje se odnosi na klimatske rizike mogla bi se dodatno poboljšati i biti dosljednija. Europski zakon o klimi, Uredba o upravljanju energetskom unijom i djelovanjem u području klime, Direktiva o otpornosti kritičnih subjekata, Uredba o ozbiljnim prekograničnim prijetnjama zdravlju, predstojeći revidirani okvir EU-a za gospodarsko upravljanje, Akt o obnovi prirode, kad bude donesen, Direktiva o pticama i Direktiva o staništima, Okvirna direktiva o vodama, Direktiva o poplavama, Okvirna direktiva o morskoj strategiji te Odluka o Mehanizmu Unije za civilnu zaštitu i njezini ciljevi Unije u pogledu otpornosti na katastrofe sadržavaju odredbe povezane s upravljanjem klimatskim rizicima. Kako bi se postupci pojednostavnili i bili djelotvorniji, Komisija će istražiti kako se provedba zahtjeva na razini EU-a može dodatno olakšati, pojednostavniti i ojačati. </w:t>
      </w:r>
    </w:p>
    <w:p w14:paraId="229F9170" w14:textId="77777777" w:rsidR="0072028C" w:rsidRPr="00F814A3" w:rsidRDefault="0072028C" w:rsidP="00FE74B1">
      <w:pPr>
        <w:spacing w:after="120"/>
        <w:jc w:val="both"/>
        <w:rPr>
          <w:rFonts w:ascii="Times New Roman" w:hAnsi="Times New Roman" w:cs="Times New Roman"/>
          <w:noProof/>
          <w:color w:val="000000" w:themeColor="text1"/>
          <w:sz w:val="24"/>
          <w:szCs w:val="24"/>
          <w:lang w:eastAsia="en-IE"/>
        </w:rPr>
      </w:pPr>
    </w:p>
    <w:p w14:paraId="1F8C8463" w14:textId="01083698" w:rsidR="003F1FF2" w:rsidRPr="008C256A" w:rsidRDefault="003F1FF2" w:rsidP="00B2476E">
      <w:pPr>
        <w:pStyle w:val="Heading2"/>
        <w:ind w:left="1565" w:hanging="431"/>
        <w:rPr>
          <w:rFonts w:ascii="Times New Roman" w:hAnsi="Times New Roman" w:cs="Times New Roman"/>
          <w:b/>
          <w:bCs/>
          <w:noProof/>
          <w:color w:val="000000" w:themeColor="text1"/>
        </w:rPr>
      </w:pPr>
      <w:bookmarkStart w:id="40" w:name="_Toc159792203"/>
      <w:r>
        <w:rPr>
          <w:rFonts w:ascii="Times New Roman" w:hAnsi="Times New Roman"/>
          <w:b/>
          <w:noProof/>
          <w:color w:val="000000" w:themeColor="text1"/>
          <w:sz w:val="24"/>
        </w:rPr>
        <w:t>Resursi za pomoć onima koji preuzimaju odgovornost za rizike</w:t>
      </w:r>
      <w:bookmarkEnd w:id="40"/>
    </w:p>
    <w:p w14:paraId="44DB6CCA" w14:textId="77777777" w:rsidR="00BF6EC7" w:rsidRPr="00F814A3" w:rsidRDefault="00BF6EC7" w:rsidP="00B11E0C">
      <w:pPr>
        <w:jc w:val="both"/>
        <w:textAlignment w:val="baseline"/>
        <w:rPr>
          <w:rFonts w:ascii="Times New Roman" w:eastAsia="Times New Roman" w:hAnsi="Times New Roman" w:cs="Times New Roman"/>
          <w:bCs/>
          <w:noProof/>
          <w:color w:val="000000" w:themeColor="text1"/>
          <w:sz w:val="24"/>
          <w:szCs w:val="24"/>
          <w:lang w:eastAsia="en-IE"/>
        </w:rPr>
      </w:pPr>
    </w:p>
    <w:p w14:paraId="10F7C901" w14:textId="40E8CF6E" w:rsidR="00E3449E" w:rsidRPr="00BE25FA" w:rsidRDefault="002F3C56" w:rsidP="00E3449E">
      <w:pPr>
        <w:spacing w:after="120"/>
        <w:jc w:val="both"/>
        <w:textAlignment w:val="baseline"/>
        <w:rPr>
          <w:rFonts w:ascii="Times New Roman" w:hAnsi="Times New Roman"/>
          <w:noProof/>
          <w:color w:val="000000" w:themeColor="text1"/>
          <w:sz w:val="24"/>
        </w:rPr>
      </w:pPr>
      <w:r>
        <w:rPr>
          <w:rFonts w:ascii="Times New Roman" w:hAnsi="Times New Roman"/>
          <w:noProof/>
          <w:color w:val="000000" w:themeColor="text1"/>
          <w:sz w:val="24"/>
        </w:rPr>
        <w:t xml:space="preserve">Zahvaljujući znanstvenom napretku u razumijevanju klimatskih rizika i financijskim sredstvima EU-a za istraživanje i inovacije kojima se podupire taj napredak, sad možemo provoditi korisne mjere. Komisija će nastaviti ulagati u istraživanja i inovacije korisne za donošenje odluka te iskorištavati znanje i rješenja iz relevantnih misija EU-a, projekata i partnerstava u okviru programa Obzor Europa. To samo po sebi nije dovoljno, kao što je istaknuto u mjerama za daljnje stjecanje znanja iz prve europske procjene klimatskih rizika (EUCRA). Jasna kvantitativna procjena rizika od više opasnosti u kombinaciji s odgovarajućom procjenom prilagodbe i otpornosti bila bi vrlo relevantna za određivanje prioriteta u djelovanju. Pristup dostupnim istraživačkim i operativnim resursima i podacima te sposobnost njihova korištenja mogu pridonijeti konkurentnosti poduzeća iz EU-a i poboljšati odluke u javnim politikama. Potrebna je i službena europska statistika o otpornosti na klimatske promjene koja se sastavlja dosljedno sa statistikom o BDP-u i drugim nacionalnim statistikama.  </w:t>
      </w:r>
    </w:p>
    <w:p w14:paraId="611423F7" w14:textId="5973F066" w:rsidR="00BB072C" w:rsidRDefault="0039554B" w:rsidP="000A43BB">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Čak i u slučajevima u kojima su upravljačke strukture snažne, djelotvorno donošenje odluka o klimatskim rizicima koče znatan nedostatak vještina, radne snage i znanja, i u privatnom i u javnom sektoru, što dodatno pogoršavaju dezinformacije o klimi. Kako bi se uspješno upravljalo klimatskim rizicima te bolje koristile već dostupne informacije i sustavi ranog upozoravanja, potreban je bolji pristup tim informacijama i sustavima te relevantnim sredstvima za korištenje znanja, kao i izgradnja kapaciteta. </w:t>
      </w:r>
    </w:p>
    <w:p w14:paraId="10A62544" w14:textId="0EE1E5DB" w:rsidR="00814E94" w:rsidRPr="00915255" w:rsidRDefault="00BB072C" w:rsidP="000A43BB">
      <w:pPr>
        <w:spacing w:after="120"/>
        <w:jc w:val="both"/>
        <w:textAlignment w:val="baseline"/>
        <w:rPr>
          <w:rFonts w:ascii="Times New Roman" w:eastAsia="Times New Roman" w:hAnsi="Times New Roman" w:cs="Times New Roman"/>
          <w:bCs/>
          <w:noProof/>
          <w:color w:val="000000" w:themeColor="text1"/>
          <w:sz w:val="24"/>
          <w:szCs w:val="24"/>
        </w:rPr>
      </w:pPr>
      <w:r>
        <w:rPr>
          <w:rFonts w:ascii="Times New Roman" w:hAnsi="Times New Roman"/>
          <w:b/>
          <w:noProof/>
          <w:color w:val="000000" w:themeColor="text1"/>
          <w:sz w:val="24"/>
        </w:rPr>
        <w:t>Za povećanje sposobnosti onih koji preuzimaju odgovornost za rizike</w:t>
      </w:r>
      <w:r>
        <w:rPr>
          <w:rFonts w:ascii="Times New Roman" w:hAnsi="Times New Roman"/>
          <w:noProof/>
          <w:color w:val="000000" w:themeColor="text1"/>
          <w:sz w:val="24"/>
        </w:rPr>
        <w:t xml:space="preserve"> da ispune svoje zadaće potrebni su: </w:t>
      </w:r>
    </w:p>
    <w:p w14:paraId="2F333A1D" w14:textId="09FB459C" w:rsidR="00D93073" w:rsidRDefault="008F2A62">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Podaci o klimi, alati za modeliranje i pokazatelji.</w:t>
      </w:r>
      <w:r>
        <w:rPr>
          <w:rFonts w:ascii="Times New Roman" w:hAnsi="Times New Roman"/>
          <w:noProof/>
          <w:color w:val="000000" w:themeColor="text1"/>
          <w:sz w:val="24"/>
        </w:rPr>
        <w:t xml:space="preserve"> Visokokvalitetni i lako razumljivi podaci o klimi i klimatski modeli neophodni su za utemeljeno donošenje odluka o pitanjima od dugoročnog planiranja do sustava ranog upozoravanja. </w:t>
      </w:r>
    </w:p>
    <w:p w14:paraId="77CB7C77" w14:textId="07079731" w:rsidR="00597412" w:rsidRPr="009248B3" w:rsidRDefault="001355AB"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Komisija i Europska agencija za okoliš (EEA) omogućit će </w:t>
      </w:r>
      <w:r>
        <w:rPr>
          <w:rFonts w:ascii="Times New Roman" w:hAnsi="Times New Roman"/>
          <w:noProof/>
          <w:color w:val="000000" w:themeColor="text1"/>
          <w:sz w:val="24"/>
          <w:u w:val="single"/>
        </w:rPr>
        <w:t>pristup ključnim detaljnim i lokaliziranim podacima, proizvodima, aplikacijama, pokazateljima i uslugama</w:t>
      </w:r>
      <w:r>
        <w:rPr>
          <w:rFonts w:ascii="Times New Roman" w:hAnsi="Times New Roman"/>
          <w:noProof/>
          <w:color w:val="000000" w:themeColor="text1"/>
          <w:sz w:val="24"/>
        </w:rPr>
        <w:t>, posebno putem platforme Climate-ADAPT i podatkovnih platformi Službe za praćenje klimatskih promjena programa Copernicus, konkretno ekosustava svemirskih podataka programa Copernicus</w:t>
      </w:r>
      <w:r w:rsidRPr="001A3A0E">
        <w:rPr>
          <w:rStyle w:val="FootnoteReference"/>
          <w:rFonts w:ascii="Times New Roman" w:eastAsia="Times New Roman" w:hAnsi="Times New Roman" w:cs="Times New Roman"/>
          <w:noProof/>
          <w:color w:val="000000" w:themeColor="text1"/>
          <w:sz w:val="24"/>
          <w:szCs w:val="24"/>
          <w:lang w:val="en-IE" w:eastAsia="en-IE"/>
        </w:rPr>
        <w:footnoteReference w:id="21"/>
      </w:r>
      <w:r>
        <w:rPr>
          <w:rFonts w:ascii="Times New Roman" w:hAnsi="Times New Roman"/>
          <w:noProof/>
          <w:color w:val="000000" w:themeColor="text1"/>
          <w:sz w:val="24"/>
        </w:rPr>
        <w:t xml:space="preserve"> i WEkEO-a</w:t>
      </w:r>
      <w:r w:rsidRPr="775558F0">
        <w:rPr>
          <w:rStyle w:val="FootnoteReference"/>
          <w:rFonts w:ascii="Times New Roman" w:eastAsia="Times New Roman" w:hAnsi="Times New Roman" w:cs="Times New Roman"/>
          <w:noProof/>
          <w:color w:val="000000" w:themeColor="text1"/>
          <w:sz w:val="24"/>
          <w:szCs w:val="24"/>
          <w:lang w:val="en-IE" w:eastAsia="en-IE"/>
        </w:rPr>
        <w:footnoteReference w:id="22"/>
      </w:r>
      <w:r>
        <w:rPr>
          <w:rFonts w:ascii="Times New Roman" w:hAnsi="Times New Roman"/>
          <w:noProof/>
          <w:color w:val="000000" w:themeColor="text1"/>
          <w:sz w:val="24"/>
        </w:rPr>
        <w:t xml:space="preserve">. </w:t>
      </w:r>
    </w:p>
    <w:p w14:paraId="4A75808D" w14:textId="19C0FE9E" w:rsidR="004A68F9" w:rsidRPr="001A3A0E" w:rsidRDefault="001E1F6E"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Prva dva digitalna blizanca u okviru inicijative „Odredište Zemlja” (DestinE) – digitalni blizanac za prilagodbu klimatskim promjenama i digitalni blizanac za ekstremne uvjete prouzrokovane vremenskim prilikama – pružat će od sredine 2024. </w:t>
      </w:r>
      <w:r>
        <w:rPr>
          <w:rFonts w:ascii="Times New Roman" w:hAnsi="Times New Roman"/>
          <w:noProof/>
          <w:color w:val="000000" w:themeColor="text1"/>
          <w:sz w:val="24"/>
          <w:u w:val="single"/>
        </w:rPr>
        <w:t>detaljne simulacije klimatskih scenarija</w:t>
      </w:r>
      <w:r>
        <w:rPr>
          <w:rFonts w:ascii="Times New Roman" w:hAnsi="Times New Roman"/>
          <w:noProof/>
          <w:color w:val="000000" w:themeColor="text1"/>
          <w:sz w:val="24"/>
        </w:rPr>
        <w:t xml:space="preserve"> na globalnoj, nacionalnoj i podnacionalnoj razini u vremenskom okviru od više desetljeća, uključujući kvantifikaciju nesigurnosti. Digitalni blizanac oceana također će pružati detaljne simulacije i scenarije te omogućiti bolje razumijevanje procesa kao što su podizanje razine mora, otapanje leda, erozija obale, ciklus ugljika i promjene bioraznolikosti. U okviru programa Obzor Europa i dalje će se podupirati istraživanja usmjerena na pružanje velikih skupova jasnih klimatskih simulacija visoke rezolucije koje obuhvaćaju više desetljeća kako bi se bolje opisali lokalni rizici i neizvjesnosti.</w:t>
      </w:r>
    </w:p>
    <w:p w14:paraId="03634620" w14:textId="326C6F3C" w:rsidR="006F55C4" w:rsidRPr="009248B3" w:rsidRDefault="00E31786" w:rsidP="006F55C4">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Kao pomoć u hitnim situacijama od 2025. bit će dostupna satelitska usluga za upozoravanje na hitne situacije (EWSS) sustava Galileo kako bi se ljudima, poduzećima i javnim tijelima priopćavale informacije o opasnostima i kad zemaljski sustavi za uzbunjivanje ne funkcioniraju. </w:t>
      </w:r>
    </w:p>
    <w:p w14:paraId="5E80F792" w14:textId="2A501793" w:rsidR="002F1D2F" w:rsidRPr="001A3A0E" w:rsidRDefault="00110777" w:rsidP="009248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Veliki nedostaci u podacima smanjit će se zahvaljujući predloženom aktu o praćenju šuma</w:t>
      </w:r>
      <w:r w:rsidR="002F1D2F" w:rsidRPr="00915255">
        <w:rPr>
          <w:rStyle w:val="FootnoteReference"/>
          <w:rFonts w:ascii="Times New Roman" w:eastAsia="Times New Roman" w:hAnsi="Times New Roman" w:cs="Times New Roman"/>
          <w:noProof/>
          <w:color w:val="000000" w:themeColor="text1"/>
          <w:sz w:val="24"/>
          <w:szCs w:val="24"/>
          <w:lang w:val="en-IE" w:eastAsia="en-IE"/>
        </w:rPr>
        <w:footnoteReference w:id="23"/>
      </w:r>
      <w:r>
        <w:rPr>
          <w:rFonts w:ascii="Times New Roman" w:hAnsi="Times New Roman"/>
          <w:noProof/>
          <w:color w:val="000000" w:themeColor="text1"/>
          <w:sz w:val="24"/>
        </w:rPr>
        <w:t xml:space="preserve"> i predloženom aktu o praćenju tla</w:t>
      </w:r>
      <w:r w:rsidR="007B69D8" w:rsidRPr="00915255">
        <w:rPr>
          <w:rStyle w:val="FootnoteReference"/>
          <w:rFonts w:ascii="Times New Roman" w:eastAsia="Times New Roman" w:hAnsi="Times New Roman" w:cs="Times New Roman"/>
          <w:noProof/>
          <w:color w:val="000000" w:themeColor="text1"/>
          <w:sz w:val="24"/>
          <w:szCs w:val="24"/>
          <w:lang w:val="en-IE" w:eastAsia="en-IE"/>
        </w:rPr>
        <w:footnoteReference w:id="24"/>
      </w:r>
      <w:r>
        <w:rPr>
          <w:rFonts w:ascii="Times New Roman" w:hAnsi="Times New Roman"/>
          <w:noProof/>
          <w:color w:val="000000" w:themeColor="text1"/>
          <w:sz w:val="24"/>
        </w:rPr>
        <w:t xml:space="preserve">, koji će poboljšati instrumente za rano upozoravanje za požare u prirodi i druge katastrofe te doprinijeti točnijim procjenama rizika. U širem smislu, Komisija će </w:t>
      </w:r>
      <w:r>
        <w:rPr>
          <w:rFonts w:ascii="Times New Roman" w:hAnsi="Times New Roman"/>
          <w:noProof/>
          <w:color w:val="000000" w:themeColor="text1"/>
          <w:sz w:val="24"/>
          <w:u w:val="single"/>
        </w:rPr>
        <w:t>promicati upotrebu dostupnih sustava praćenja, predviđanja i upozoravanja</w:t>
      </w:r>
      <w:r w:rsidR="00FD5E36" w:rsidRPr="001A3A0E">
        <w:rPr>
          <w:rStyle w:val="FootnoteReference"/>
          <w:rFonts w:ascii="Times New Roman" w:eastAsia="Times New Roman" w:hAnsi="Times New Roman" w:cs="Times New Roman"/>
          <w:noProof/>
          <w:color w:val="000000" w:themeColor="text1"/>
          <w:sz w:val="24"/>
          <w:szCs w:val="24"/>
          <w:lang w:val="en-IE" w:eastAsia="en-IE"/>
        </w:rPr>
        <w:footnoteReference w:id="25"/>
      </w:r>
      <w:r>
        <w:rPr>
          <w:rFonts w:ascii="Times New Roman" w:hAnsi="Times New Roman"/>
          <w:noProof/>
          <w:color w:val="000000" w:themeColor="text1"/>
          <w:sz w:val="24"/>
        </w:rPr>
        <w:t>.</w:t>
      </w:r>
    </w:p>
    <w:p w14:paraId="41F17C1E" w14:textId="0DBEB658" w:rsidR="00050093" w:rsidRPr="001A3A0E" w:rsidRDefault="004D2963" w:rsidP="00814E94">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Komisija će </w:t>
      </w:r>
      <w:r>
        <w:rPr>
          <w:rFonts w:ascii="Times New Roman" w:hAnsi="Times New Roman"/>
          <w:noProof/>
          <w:color w:val="000000" w:themeColor="text1"/>
          <w:sz w:val="24"/>
          <w:u w:val="single"/>
        </w:rPr>
        <w:t>preispitati postojeće instrumente i smjernice</w:t>
      </w:r>
      <w:r>
        <w:rPr>
          <w:rFonts w:ascii="Times New Roman" w:hAnsi="Times New Roman"/>
          <w:noProof/>
          <w:color w:val="000000" w:themeColor="text1"/>
          <w:sz w:val="24"/>
        </w:rPr>
        <w:t>, uključujući EEA-in europski pretraživač podataka o klimi</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6"/>
      </w:r>
      <w:r>
        <w:rPr>
          <w:rFonts w:ascii="Times New Roman" w:hAnsi="Times New Roman"/>
          <w:noProof/>
          <w:color w:val="000000" w:themeColor="text1"/>
          <w:sz w:val="24"/>
        </w:rPr>
        <w:t xml:space="preserve"> i pregled prilagodbe na portalu misije EU-a za prilagodbu klimatskim promjenama</w:t>
      </w:r>
      <w:r w:rsidR="00A66FC2" w:rsidRPr="001A3A0E">
        <w:rPr>
          <w:rStyle w:val="FootnoteReference"/>
          <w:rFonts w:ascii="Times New Roman" w:eastAsia="Times New Roman" w:hAnsi="Times New Roman" w:cs="Times New Roman"/>
          <w:noProof/>
          <w:color w:val="000000" w:themeColor="text1"/>
          <w:sz w:val="24"/>
          <w:szCs w:val="24"/>
          <w:lang w:val="en-IE" w:eastAsia="en-IE"/>
        </w:rPr>
        <w:footnoteReference w:id="27"/>
      </w:r>
      <w:r>
        <w:rPr>
          <w:rFonts w:ascii="Times New Roman" w:hAnsi="Times New Roman"/>
          <w:noProof/>
          <w:color w:val="000000" w:themeColor="text1"/>
          <w:sz w:val="24"/>
        </w:rPr>
        <w:t xml:space="preserve"> na platformi Climate-ADAPT, centar za podatke o rizicima</w:t>
      </w:r>
      <w:r w:rsidR="006B0A95" w:rsidRPr="001A3A0E">
        <w:rPr>
          <w:rStyle w:val="FootnoteReference"/>
          <w:rFonts w:ascii="Times New Roman" w:eastAsia="Times New Roman" w:hAnsi="Times New Roman" w:cs="Times New Roman"/>
          <w:noProof/>
          <w:color w:val="000000" w:themeColor="text1"/>
          <w:sz w:val="24"/>
          <w:szCs w:val="24"/>
          <w:lang w:val="en-IE" w:eastAsia="en-IE"/>
        </w:rPr>
        <w:footnoteReference w:id="28"/>
      </w:r>
      <w:r>
        <w:rPr>
          <w:rFonts w:ascii="Times New Roman" w:hAnsi="Times New Roman"/>
          <w:noProof/>
          <w:color w:val="000000" w:themeColor="text1"/>
          <w:sz w:val="24"/>
        </w:rPr>
        <w:t xml:space="preserve"> i pregled klimatskih rizika PROVIDE</w:t>
      </w:r>
      <w:r w:rsidR="00F40219" w:rsidRPr="001A3A0E">
        <w:rPr>
          <w:rFonts w:ascii="Times New Roman" w:eastAsia="Times New Roman" w:hAnsi="Times New Roman" w:cs="Times New Roman"/>
          <w:noProof/>
          <w:color w:val="000000" w:themeColor="text1"/>
          <w:sz w:val="24"/>
          <w:szCs w:val="24"/>
          <w:vertAlign w:val="superscript"/>
          <w:lang w:val="en-IE" w:eastAsia="en-IE"/>
        </w:rPr>
        <w:footnoteReference w:id="29"/>
      </w:r>
      <w:r>
        <w:rPr>
          <w:rFonts w:ascii="Times New Roman" w:hAnsi="Times New Roman"/>
          <w:noProof/>
          <w:color w:val="000000" w:themeColor="text1"/>
          <w:sz w:val="24"/>
        </w:rPr>
        <w:t xml:space="preserve">, te će u većoj mjeri koristiti analitičke kapacitete i kapacitete za predviđanje Koordinacijskog centra za odgovor na hitne situacije. Komisija će poboljšati pristup korisnika, među ostalim na lokalnoj razini, i pratiti korištenje instrumenata. Tražit će bolje pokazatelje napretka u pogledu otpornosti, među ostalim u kombinaciji s drugim međusobno povezanim i relevantnim pokazateljima kako bi osigurala sustavan pristup. </w:t>
      </w:r>
    </w:p>
    <w:p w14:paraId="3065A1C5" w14:textId="1BF4C453" w:rsidR="003F1FF2" w:rsidRPr="00915255" w:rsidRDefault="00BF6EC7" w:rsidP="00804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Osnovni klimatski scenariji.</w:t>
      </w:r>
      <w:r>
        <w:rPr>
          <w:rFonts w:ascii="Times New Roman" w:hAnsi="Times New Roman"/>
          <w:noProof/>
          <w:color w:val="000000" w:themeColor="text1"/>
          <w:sz w:val="24"/>
        </w:rPr>
        <w:t xml:space="preserve"> Kako bi se smanjila složenost procjene rizika, Komisija će upotrijebiti prijelazni scenarij emisija Međuvladinog panela o klimatskim promjenama (IPCC)</w:t>
      </w:r>
      <w:r w:rsidR="00CD5F6E" w:rsidRPr="001A3A0E">
        <w:rPr>
          <w:rStyle w:val="FootnoteReference"/>
          <w:rFonts w:ascii="Times New Roman" w:eastAsia="Times New Roman" w:hAnsi="Times New Roman" w:cs="Times New Roman"/>
          <w:noProof/>
          <w:color w:val="000000" w:themeColor="text1"/>
          <w:sz w:val="24"/>
          <w:szCs w:val="24"/>
          <w:lang w:val="en-IE" w:eastAsia="en-IE"/>
        </w:rPr>
        <w:footnoteReference w:id="30"/>
      </w:r>
      <w:r>
        <w:rPr>
          <w:rFonts w:ascii="Times New Roman" w:hAnsi="Times New Roman"/>
          <w:noProof/>
          <w:color w:val="000000" w:themeColor="text1"/>
          <w:sz w:val="24"/>
        </w:rPr>
        <w:t xml:space="preserve"> kao najniži prihvatljivi osnovni klimatski scenarij za obuhvaćanje fizičkih rizika pri procjeni učinaka politika, a nepovoljnije scenarije za ispitivanje otpornosti na stres i za usporedbu mogućnosti prilagodbe. Državama članicama savjetuje se, a od privatnih se dionika očekuje da učine isto. Objavit će se interne smjernice Komisije o tom pitanju. Bolji povijesni podaci, na primjer o gubicima zbog katastrofa, korisni su kao pokazatelj i ulazni podaci za predviđanja. Međutim, odlučivanje o klimatskoj budućnosti prvenstveno na temelju ekstrapoliranih povijesnih podataka bilo bi nepromišljeno.</w:t>
      </w:r>
    </w:p>
    <w:p w14:paraId="69FBA819" w14:textId="68F815A3" w:rsidR="00B542C7" w:rsidRDefault="00BF6EC7" w:rsidP="009248B3">
      <w:pPr>
        <w:spacing w:after="120"/>
        <w:jc w:val="both"/>
        <w:textAlignment w:val="baseline"/>
        <w:rPr>
          <w:rFonts w:ascii="Times New Roman" w:eastAsiaTheme="minorHAnsi" w:hAnsi="Times New Roman" w:cs="Times New Roman"/>
          <w:noProof/>
          <w:color w:val="000000"/>
          <w:sz w:val="24"/>
          <w:szCs w:val="24"/>
        </w:rPr>
      </w:pPr>
      <w:r>
        <w:rPr>
          <w:rFonts w:ascii="Times New Roman" w:hAnsi="Times New Roman"/>
          <w:noProof/>
          <w:color w:val="000000" w:themeColor="text1"/>
          <w:sz w:val="24"/>
          <w:u w:val="single"/>
        </w:rPr>
        <w:t>Poboljšani kapaciteti javnog i privatnog sektora.</w:t>
      </w:r>
      <w:r>
        <w:rPr>
          <w:rFonts w:ascii="Times New Roman" w:hAnsi="Times New Roman"/>
          <w:noProof/>
          <w:color w:val="000000" w:themeColor="text1"/>
          <w:sz w:val="24"/>
        </w:rPr>
        <w:t xml:space="preserve"> Komisija će podupirati razvoj materijala za osposobljavanje i otvorenih internetskih tečajeva o otpornosti na klimatske promjene putem jedinstvene internetske platforme, djelomično putem Climate-ADAPT-a. Široka paleta instrumenata za planiranje prilagodbe na razini EU-a postat će dio baze znanja. Komisija će podupirati države članice u nastojanjima da osiguraju da nacionalni kurikulumi i programi osposobljavanja, uključujući one za javne administratore, budu okrenuti budućnosti te će nastaviti podupirati administrativnu suradnju među državama članicama i unutar njih</w:t>
      </w:r>
      <w:r w:rsidR="00E351C4" w:rsidRPr="001A3A0E">
        <w:rPr>
          <w:rStyle w:val="FootnoteReference"/>
          <w:rFonts w:ascii="Times New Roman" w:eastAsia="Times New Roman" w:hAnsi="Times New Roman" w:cs="Times New Roman"/>
          <w:noProof/>
          <w:color w:val="000000" w:themeColor="text1"/>
          <w:sz w:val="24"/>
          <w:szCs w:val="24"/>
          <w:lang w:val="en-IE" w:eastAsia="en-IE"/>
        </w:rPr>
        <w:footnoteReference w:id="31"/>
      </w:r>
      <w:r>
        <w:rPr>
          <w:rFonts w:ascii="Times New Roman" w:hAnsi="Times New Roman"/>
          <w:noProof/>
          <w:color w:val="000000" w:themeColor="text1"/>
          <w:sz w:val="24"/>
        </w:rPr>
        <w:t xml:space="preserve">. Na temelju daljnjih rasprava Komisija će razviti instrumente za procjenu rizika od klimatskih promjena i katastrofa kako bi pomogla državama članicama i privatnom sektoru, uključujući MSP-ove. </w:t>
      </w:r>
    </w:p>
    <w:p w14:paraId="7F543ADD" w14:textId="77777777" w:rsidR="006F1701" w:rsidRDefault="006F1701" w:rsidP="00215FB3">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Komisija će </w:t>
      </w:r>
      <w:r>
        <w:rPr>
          <w:rFonts w:ascii="Times New Roman" w:hAnsi="Times New Roman"/>
          <w:noProof/>
          <w:color w:val="000000" w:themeColor="text1"/>
          <w:sz w:val="24"/>
          <w:u w:val="single"/>
        </w:rPr>
        <w:t>iskoristiti i postojeće instrumente</w:t>
      </w:r>
      <w:r>
        <w:rPr>
          <w:rFonts w:ascii="Times New Roman" w:hAnsi="Times New Roman"/>
          <w:noProof/>
          <w:color w:val="000000" w:themeColor="text1"/>
          <w:sz w:val="24"/>
        </w:rPr>
        <w:t>:</w:t>
      </w:r>
    </w:p>
    <w:p w14:paraId="38773550" w14:textId="1B6B9363" w:rsidR="006F1701" w:rsidRPr="009248B3" w:rsidRDefault="006F1701"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Misija EU-a za prilagodbu klimatskim promjenama uvelike doprinosi izgradnji regionalnih kapaciteta. </w:t>
      </w:r>
    </w:p>
    <w:p w14:paraId="32E5AE03" w14:textId="7987582A" w:rsidR="001F48E2" w:rsidRPr="009248B3" w:rsidRDefault="007610B7"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 xml:space="preserve">Instrument za tehničku potporu pomaže državama članicama u osmišljavanju i provedbi reformi usmjerenih na </w:t>
      </w:r>
      <w:r>
        <w:rPr>
          <w:rFonts w:ascii="Times New Roman" w:hAnsi="Times New Roman"/>
          <w:noProof/>
          <w:color w:val="000000" w:themeColor="text1"/>
          <w:sz w:val="24"/>
        </w:rPr>
        <w:t>smanjenje klimatskih rizika i upravljanje njima</w:t>
      </w:r>
      <w:r>
        <w:rPr>
          <w:rFonts w:ascii="Times New Roman" w:hAnsi="Times New Roman"/>
          <w:noProof/>
          <w:sz w:val="24"/>
        </w:rPr>
        <w:t xml:space="preserve">. </w:t>
      </w:r>
    </w:p>
    <w:p w14:paraId="0EE622DA" w14:textId="721F9E29" w:rsidR="001F48E2" w:rsidRPr="009248B3" w:rsidRDefault="001F48E2"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sz w:val="24"/>
        </w:rPr>
        <w:t>Okvir kompetencija za održivost (GreenComp), objavljen 2022., temelj je za poticanje kompetencija potrebnih za borbu protiv klimatskih promjena.</w:t>
      </w:r>
      <w:r>
        <w:rPr>
          <w:rFonts w:ascii="Times New Roman" w:hAnsi="Times New Roman"/>
          <w:noProof/>
          <w:color w:val="000000"/>
          <w:sz w:val="24"/>
        </w:rPr>
        <w:t xml:space="preserve"> </w:t>
      </w:r>
    </w:p>
    <w:p w14:paraId="33F887B9" w14:textId="7727B6E6" w:rsidR="002430D4" w:rsidRPr="009248B3" w:rsidRDefault="002430D4" w:rsidP="006F1701">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sz w:val="24"/>
        </w:rPr>
        <w:t xml:space="preserve">Koristit će se inicijative i politike u području obrazovanja i osposobljavanja razvijene u okviru europskog prostora obrazovanja (na primjer u okviru Koalicije „Obrazovanje za klimu”). </w:t>
      </w:r>
    </w:p>
    <w:p w14:paraId="62A6190E" w14:textId="4405FB70" w:rsidR="001F6B5D" w:rsidRPr="00B2476E" w:rsidRDefault="003E7F0B" w:rsidP="00215FB3">
      <w:pPr>
        <w:pStyle w:val="ListParagraph"/>
        <w:numPr>
          <w:ilvl w:val="0"/>
          <w:numId w:val="65"/>
        </w:num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Od pomoći može biti jedinstveni model suradnje između akademske zajednice, istraživačkih ustanova i poduzeća razvijen u okviru Europskog instituta za inovacije i tehnologiju (EIT) i njegovih zajednica znanja i inovacija (ZZI), posebno zajednice za klimu – „EIT Climate”.</w:t>
      </w:r>
    </w:p>
    <w:p w14:paraId="6389A61C" w14:textId="55EBCFD8" w:rsidR="002D6D8B" w:rsidRPr="00B2476E" w:rsidRDefault="002D6D8B" w:rsidP="00B2476E">
      <w:pPr>
        <w:spacing w:after="120"/>
        <w:jc w:val="both"/>
        <w:textAlignment w:val="baseline"/>
        <w:rPr>
          <w:rFonts w:ascii="Times New Roman" w:hAnsi="Times New Roman" w:cs="Times New Roman"/>
          <w:noProof/>
          <w:sz w:val="24"/>
          <w:szCs w:val="24"/>
        </w:rPr>
      </w:pPr>
      <w:r>
        <w:rPr>
          <w:rFonts w:ascii="Times New Roman" w:hAnsi="Times New Roman"/>
          <w:noProof/>
          <w:sz w:val="24"/>
          <w:u w:val="single"/>
        </w:rPr>
        <w:t>Suzbijanje dezinformacija.</w:t>
      </w:r>
      <w:r>
        <w:rPr>
          <w:rFonts w:ascii="Times New Roman" w:hAnsi="Times New Roman"/>
          <w:noProof/>
          <w:sz w:val="24"/>
        </w:rPr>
        <w:t xml:space="preserve"> Komisija će pridonijeti praćenju i analizi načina na koji dezinformacijski diskurs ulazi u javni prostor i utječe na mišljenje i ponašanje. Poboljšat će primjenu relevantnih instrumenata politike, digitalnih rješenja i komunikacijskih pristupa u borbi protiv dezinformacija o klimi. To uključuje osiguravanje da poštovanje Akta o digitalnim uslugama na odgovarajući način obuhvaća i dezinformacije te da usklađenost poduzeća u području društvenih medija s Kodeksom dobre prakse u suzbijanju dezinformacija na odgovarajući način obuhvaća znanost o klimi. Surađivat će i s partnerima na međunarodnoj razini kako bi se riješilo pitanje dezinformacija kao sve većeg društvenog problema koji se temelji na iskrivljenim gospodarskim poticajima i predstavlja prijetnju funkcioniranju naših demokratskih sustava.</w:t>
      </w:r>
    </w:p>
    <w:p w14:paraId="4ED6F6AE" w14:textId="2471CDD5" w:rsidR="002D6D8B" w:rsidRPr="00F814A3" w:rsidRDefault="002D6D8B" w:rsidP="00215FB3">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BA2DB1E" w14:textId="57500011" w:rsidR="00775598" w:rsidRPr="0056758B" w:rsidRDefault="00C35222" w:rsidP="00B2476E">
      <w:pPr>
        <w:pStyle w:val="Heading2"/>
        <w:ind w:left="1565" w:hanging="431"/>
        <w:rPr>
          <w:rFonts w:ascii="Times New Roman" w:hAnsi="Times New Roman" w:cs="Times New Roman"/>
          <w:b/>
          <w:bCs/>
          <w:noProof/>
          <w:color w:val="000000" w:themeColor="text1"/>
          <w:sz w:val="24"/>
          <w:szCs w:val="24"/>
        </w:rPr>
      </w:pPr>
      <w:bookmarkStart w:id="41" w:name="_Toc159792204"/>
      <w:r>
        <w:rPr>
          <w:rFonts w:ascii="Times New Roman" w:hAnsi="Times New Roman"/>
          <w:b/>
          <w:noProof/>
          <w:color w:val="000000" w:themeColor="text1"/>
          <w:sz w:val="24"/>
        </w:rPr>
        <w:t>Iskorištavanje strukturnih politika</w:t>
      </w:r>
      <w:bookmarkEnd w:id="41"/>
    </w:p>
    <w:p w14:paraId="3D3E21EA" w14:textId="77777777" w:rsidR="00BF6EC7" w:rsidRPr="00915255" w:rsidRDefault="00BF6EC7" w:rsidP="00B11E0C">
      <w:pPr>
        <w:spacing w:line="240" w:lineRule="auto"/>
        <w:jc w:val="both"/>
        <w:rPr>
          <w:rFonts w:ascii="Times New Roman" w:eastAsiaTheme="minorHAnsi" w:hAnsi="Times New Roman" w:cs="Times New Roman"/>
          <w:bCs/>
          <w:noProof/>
          <w:color w:val="000000" w:themeColor="text1"/>
          <w:sz w:val="24"/>
          <w:szCs w:val="24"/>
        </w:rPr>
      </w:pPr>
      <w:bookmarkStart w:id="42" w:name="_Hlk153901472"/>
    </w:p>
    <w:p w14:paraId="6C1A6ACF" w14:textId="5DA52CA8" w:rsidR="00F77F36" w:rsidRPr="00915255" w:rsidRDefault="00DF3861"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rPr>
        <w:t xml:space="preserve">Iako se raspodjela odgovornosti za rizike između EU-a i njegovih država članica razlikuje među područjima politika, tri područja strukturne politike posebno su perspektivna za upravljanje klimatskim rizicima u mnogim sektorima: </w:t>
      </w:r>
    </w:p>
    <w:p w14:paraId="002FA01C" w14:textId="24AF0319" w:rsidR="008079B5" w:rsidRPr="00915255" w:rsidRDefault="00BF6EC7"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Bolje prostorno planiranje u državama članicama.</w:t>
      </w:r>
      <w:r>
        <w:rPr>
          <w:rFonts w:ascii="Times New Roman" w:hAnsi="Times New Roman"/>
          <w:noProof/>
          <w:color w:val="000000" w:themeColor="text1"/>
          <w:sz w:val="24"/>
        </w:rPr>
        <w:t xml:space="preserve"> Korištenje i planiranje zemljišta odgovornost su tijela na nacionalnoj, a često i lokalnoj razini. Zemljište nije samo imovina, već ima i lokalno specifično značenje i vrijednost osim one monetarne. Istodobno, odluke o korištenju i planiranju zemljišta utječu na otpornost širih zajednica i gospodarstava i njihovu mogućnost osiguranja od rizika. U takvim bi se odlukama trebale izričito navesti pretpostavke o klimatskim rizicima te bi ih trebala odobriti nacionalna tijela odgovorna za otpornost kritične infrastrukture i subjekata. Komisija će razmotriti mogućnosti za poticanje primjene najbolje prakse, među ostalim jačanjem veze između kvalitete prostornog planiranja i planiranja morskog područja i kohezijske, prometne, ribarstvene, financijske i poljoprivredne politike. Komisija će nastaviti rad na temelju već učinjenog i uključiti načela otpornosti u inicijativu „Novi europski Bauhaus”</w:t>
      </w:r>
      <w:r w:rsidR="006840A6" w:rsidRPr="001A3A0E">
        <w:rPr>
          <w:rStyle w:val="FootnoteReference"/>
          <w:rFonts w:ascii="Times New Roman" w:eastAsiaTheme="minorHAnsi" w:hAnsi="Times New Roman" w:cs="Times New Roman"/>
          <w:bCs/>
          <w:noProof/>
          <w:color w:val="000000" w:themeColor="text1"/>
          <w:sz w:val="24"/>
          <w:szCs w:val="24"/>
        </w:rPr>
        <w:footnoteReference w:id="32"/>
      </w:r>
      <w:r>
        <w:rPr>
          <w:rFonts w:ascii="Times New Roman" w:hAnsi="Times New Roman"/>
          <w:noProof/>
          <w:color w:val="000000" w:themeColor="text1"/>
          <w:sz w:val="24"/>
        </w:rPr>
        <w:t xml:space="preserve"> kako bi se olakšalo planiranje otpornih zajednica.</w:t>
      </w:r>
    </w:p>
    <w:bookmarkEnd w:id="42"/>
    <w:p w14:paraId="4E7EAE16" w14:textId="135781C8" w:rsidR="000444E6" w:rsidRPr="009248B3" w:rsidRDefault="009A34E2" w:rsidP="00A632E5">
      <w:pPr>
        <w:spacing w:after="120"/>
        <w:jc w:val="both"/>
        <w:rPr>
          <w:rFonts w:ascii="Times New Roman" w:eastAsiaTheme="minorHAnsi" w:hAnsi="Times New Roman" w:cs="Times New Roman"/>
          <w:bCs/>
          <w:noProof/>
          <w:color w:val="000000" w:themeColor="text1"/>
          <w:sz w:val="24"/>
          <w:szCs w:val="24"/>
          <w:u w:val="single"/>
        </w:rPr>
      </w:pPr>
      <w:r>
        <w:rPr>
          <w:rFonts w:ascii="Times New Roman" w:hAnsi="Times New Roman"/>
          <w:noProof/>
          <w:color w:val="000000" w:themeColor="text1"/>
          <w:sz w:val="24"/>
          <w:u w:val="single"/>
        </w:rPr>
        <w:t>Uzimanje u obzir klimatskih rizika u planiranju i održavanju kritične infrastrukture.</w:t>
      </w:r>
      <w:r>
        <w:rPr>
          <w:rFonts w:ascii="Times New Roman" w:hAnsi="Times New Roman"/>
          <w:noProof/>
          <w:color w:val="000000" w:themeColor="text1"/>
          <w:sz w:val="24"/>
        </w:rPr>
        <w:t xml:space="preserve"> Sposobnost vlada da održavaju društvene funkcije, usko povezana s prostornim planiranjem, ovisi o otpornosti subjekata koji upravljaju kritičnom infrastrukturom kako bi pružali svoje važne usluge društvu i gospodarstvu. Direktivom o otpornosti kritičnih subjekata olakšava se koordinacija među državama članicama i utvrđuju postupci procjene rizika za njih i kritične subjekte. Komisija poziva svaku državu članicu da osigura da njezina nacionalna procjena rizika u skladu s Direktivom o otpornosti kritičnih subjekata</w:t>
      </w:r>
      <w:r w:rsidR="002743A3">
        <w:rPr>
          <w:rStyle w:val="FootnoteReference"/>
          <w:rFonts w:ascii="Times New Roman" w:eastAsiaTheme="minorHAnsi" w:hAnsi="Times New Roman" w:cs="Times New Roman"/>
          <w:bCs/>
          <w:noProof/>
          <w:color w:val="000000" w:themeColor="text1"/>
          <w:sz w:val="24"/>
          <w:szCs w:val="24"/>
          <w:lang w:val="en-IE"/>
        </w:rPr>
        <w:footnoteReference w:id="33"/>
      </w:r>
      <w:r>
        <w:rPr>
          <w:rFonts w:ascii="Times New Roman" w:hAnsi="Times New Roman"/>
          <w:noProof/>
          <w:color w:val="000000" w:themeColor="text1"/>
          <w:sz w:val="24"/>
        </w:rPr>
        <w:t xml:space="preserve"> bude izričito usmjerena na dugoročnu otpornost obuhvaćenih subjekata na klimatske rizike i da to učini prije roka 2026. utvrđenog u Direktivi. Određena kritična infrastruktura dogovorena je i sufinancira se na razini EU-a, na primjer transeuropske mreže TEN-T i TEN-E, ali i bolnice i škole koje financira EU. Komisija će ažurirati i izraditi relevantne sektorske smjernice. Dostupni satelitski podaci i usluge trebali bi se u potpunosti iskoristiti za povećanje otpornosti kritične infrastrukture na klimatske rizike.</w:t>
      </w:r>
    </w:p>
    <w:p w14:paraId="070CC3E5" w14:textId="089567BE" w:rsidR="00206BE3" w:rsidRPr="00915255" w:rsidRDefault="00493B26" w:rsidP="00A632E5">
      <w:pPr>
        <w:spacing w:after="120"/>
        <w:jc w:val="both"/>
        <w:rPr>
          <w:rFonts w:ascii="Times New Roman" w:eastAsiaTheme="minorHAnsi" w:hAnsi="Times New Roman" w:cs="Times New Roman"/>
          <w:bCs/>
          <w:noProof/>
          <w:color w:val="000000" w:themeColor="text1"/>
          <w:sz w:val="24"/>
          <w:szCs w:val="24"/>
        </w:rPr>
      </w:pPr>
      <w:r>
        <w:rPr>
          <w:rFonts w:ascii="Times New Roman" w:hAnsi="Times New Roman"/>
          <w:noProof/>
          <w:color w:val="000000" w:themeColor="text1"/>
          <w:sz w:val="24"/>
          <w:u w:val="single"/>
        </w:rPr>
        <w:t>Povezivanje solidarnosti na razini EU-a s odgovarajućim nacionalnim mjerama otpornosti.</w:t>
      </w:r>
      <w:r>
        <w:rPr>
          <w:rFonts w:ascii="Times New Roman" w:hAnsi="Times New Roman"/>
          <w:noProof/>
          <w:color w:val="000000" w:themeColor="text1"/>
          <w:sz w:val="24"/>
        </w:rPr>
        <w:t xml:space="preserve"> Ako su nacionalni kapaciteti preopterećeni, mogu se mobilizirati kapaciteti civilne zaštite i drugi mehanizmi solidarnosti na razini EU-a (uključujući Mehanizam Unije za civilnu zaštitu, Fond solidarnosti EU-a, strukturna ulaganja kohezijske politike, određene alate u okviru zajedničke poljoprivredne politike i druge pakete sektorske potpore) kako bi se ljude zaštitilo od utjecaja klimatskih promjena i pomoglo im se da se brže oporave. Međutim, kapaciteti na nacionalnoj razini i na razini EU-a već su preopterećeni, a pritisci povezani s rizicima i dalje će rasti. Od 2019. Mehanizam Unije za civilnu zaštitu aktiviran je i koordinirao je pomoć u državama članicama EU-a i trećim zemljama u kriznim situacijama povezanima s klimom (ekstremne poplave, požari u prirodi, oluje i akutna suša) 76 puta. Putem Fonda solidarnosti EU-a utrošeno je više od 8,6 milijardi eura za potporu 24 države članice i četiri zemlje pristupnice nakon 110 katastrofa uzrokovanih prirodnim opasnostima.</w:t>
      </w:r>
    </w:p>
    <w:p w14:paraId="15F9BD92" w14:textId="5B1F4B96" w:rsidR="00953775" w:rsidRPr="001A3A0E" w:rsidRDefault="00992300" w:rsidP="00A632E5">
      <w:pPr>
        <w:spacing w:after="120"/>
        <w:jc w:val="both"/>
        <w:rPr>
          <w:rFonts w:ascii="Times New Roman" w:eastAsiaTheme="minorHAnsi" w:hAnsi="Times New Roman" w:cs="Times New Roman"/>
          <w:noProof/>
          <w:sz w:val="24"/>
          <w:szCs w:val="24"/>
        </w:rPr>
      </w:pPr>
      <w:r>
        <w:rPr>
          <w:rFonts w:ascii="Times New Roman" w:hAnsi="Times New Roman"/>
          <w:noProof/>
          <w:color w:val="000000" w:themeColor="text1"/>
          <w:sz w:val="24"/>
        </w:rPr>
        <w:t>Potrebno je osigurati odgovarajuća sredstva za mehanizme solidarnosti kako bi se osiguralo da EU može pomoći onima kojima je pomoć potrebna. Sustavi i sredstva civilne zaštite moraju biti otporni na promjene u budućnosti, a to se može osigurati ulaganjem u upravljanje rizicima od katastrofa, kapacitete za odgovor i stručno znanje EU-a i država članica koji se mogu brzo primijeniti u više zemalja. Pritom bi trebalo u potpunosti integrirati pitanje klimatskih rizika u postupke upravljanja rizicima od katastrofa, kako je utvrđeno u ciljevima Unije u pogledu otpornosti na katastrofe</w:t>
      </w:r>
      <w:r w:rsidR="009C6C0A" w:rsidRPr="00915255">
        <w:rPr>
          <w:rStyle w:val="FootnoteReference"/>
          <w:rFonts w:ascii="Times New Roman" w:hAnsi="Times New Roman" w:cs="Times New Roman"/>
          <w:noProof/>
          <w:color w:val="000000" w:themeColor="text1"/>
          <w:sz w:val="24"/>
          <w:szCs w:val="24"/>
          <w:lang w:val="en-IE"/>
        </w:rPr>
        <w:footnoteReference w:id="34"/>
      </w:r>
      <w:r>
        <w:rPr>
          <w:rFonts w:ascii="Times New Roman" w:hAnsi="Times New Roman"/>
          <w:noProof/>
          <w:color w:val="000000" w:themeColor="text1"/>
          <w:sz w:val="24"/>
        </w:rPr>
        <w:t xml:space="preserve"> i izvješću Komisije o sprečavanju rizika od katastrofa u Europi</w:t>
      </w:r>
      <w:r w:rsidR="009C6C0A" w:rsidRPr="00915255">
        <w:rPr>
          <w:rFonts w:ascii="Times New Roman" w:hAnsi="Times New Roman" w:cs="Times New Roman"/>
          <w:noProof/>
          <w:color w:val="000000" w:themeColor="text1"/>
          <w:sz w:val="24"/>
          <w:szCs w:val="24"/>
          <w:vertAlign w:val="superscript"/>
          <w:lang w:val="en-IE"/>
        </w:rPr>
        <w:footnoteReference w:id="35"/>
      </w:r>
      <w:r>
        <w:rPr>
          <w:rFonts w:ascii="Times New Roman" w:hAnsi="Times New Roman"/>
          <w:noProof/>
          <w:color w:val="000000" w:themeColor="text1"/>
          <w:sz w:val="24"/>
        </w:rPr>
        <w:t xml:space="preserve">. Budući da se uz sve veće rizike kapaciteti EU-a za odgovor i oporavak mogu iscrpiti, Komisija će razmotriti kako mehanizmi solidarnosti mogu bolje potaknuti odgovarajuće anticipativne mjere država članica u pogledu najvećih rizika, što je i u interesu fiskalne održivosti, uz istodobno unapređenje upravljanja rizicima od katastrofa, pripravnosti i odgovora EU-a. </w:t>
      </w:r>
    </w:p>
    <w:p w14:paraId="7A258CF1" w14:textId="5AA3A89C" w:rsidR="00114A90" w:rsidRPr="00F814A3" w:rsidRDefault="00114A90" w:rsidP="004615FF">
      <w:pPr>
        <w:spacing w:after="120" w:line="240" w:lineRule="auto"/>
        <w:jc w:val="both"/>
        <w:rPr>
          <w:rFonts w:ascii="Times New Roman" w:eastAsiaTheme="minorHAnsi" w:hAnsi="Times New Roman" w:cs="Times New Roman"/>
          <w:bCs/>
          <w:noProof/>
          <w:color w:val="000000" w:themeColor="text1"/>
          <w:sz w:val="24"/>
          <w:szCs w:val="24"/>
        </w:rPr>
      </w:pPr>
    </w:p>
    <w:p w14:paraId="1DB84872" w14:textId="538850D2" w:rsidR="00775598" w:rsidRPr="00420C4C" w:rsidRDefault="009D7A8F" w:rsidP="00B2476E">
      <w:pPr>
        <w:pStyle w:val="Heading2"/>
        <w:ind w:left="1565" w:hanging="431"/>
        <w:rPr>
          <w:rFonts w:ascii="Times New Roman" w:hAnsi="Times New Roman" w:cs="Times New Roman"/>
          <w:b/>
          <w:bCs/>
          <w:noProof/>
          <w:color w:val="000000" w:themeColor="text1"/>
          <w:sz w:val="24"/>
          <w:szCs w:val="24"/>
        </w:rPr>
      </w:pPr>
      <w:bookmarkStart w:id="43" w:name="_Toc157700411"/>
      <w:bookmarkStart w:id="44" w:name="_Toc159792205"/>
      <w:bookmarkEnd w:id="43"/>
      <w:r>
        <w:rPr>
          <w:rFonts w:ascii="Times New Roman" w:hAnsi="Times New Roman"/>
          <w:b/>
          <w:noProof/>
          <w:color w:val="000000" w:themeColor="text1"/>
          <w:sz w:val="24"/>
        </w:rPr>
        <w:t>Odgovarajući preduvjeti za financiranje otpornosti na klimatske promjene</w:t>
      </w:r>
      <w:bookmarkEnd w:id="44"/>
    </w:p>
    <w:p w14:paraId="5C66F85A" w14:textId="77777777" w:rsidR="00BF6EC7" w:rsidRPr="00F814A3" w:rsidRDefault="00BF6EC7" w:rsidP="00B11E0C">
      <w:pPr>
        <w:jc w:val="both"/>
        <w:textAlignment w:val="baseline"/>
        <w:rPr>
          <w:rFonts w:ascii="Times New Roman" w:eastAsia="Times New Roman" w:hAnsi="Times New Roman" w:cs="Times New Roman"/>
          <w:noProof/>
          <w:color w:val="000000" w:themeColor="text1"/>
          <w:sz w:val="24"/>
          <w:szCs w:val="24"/>
          <w:lang w:eastAsia="en-IE"/>
        </w:rPr>
      </w:pPr>
    </w:p>
    <w:p w14:paraId="3FED802B" w14:textId="0974F746" w:rsidR="00CC5085" w:rsidRPr="00915255" w:rsidRDefault="00EE0C15" w:rsidP="41D030ED">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Oblikovatelji politika, ulagači i poduzeća moraju razumjeti potrebe i nedostatke u pogledu ulaganja i zaštite, osmisliti ciljane intervencije na temelju njihova potencijalnog učinka i hitnosti, angažirati one koji preuzimaju odgovornost za rizike i izraditi dugoročne strategije financiranja. Kako bi se djelotvorno upravljalo klimatskim rizicima, javno financiranje na razini EU-a i na nacionalnoj razini, uključujući socijalna ulaganja, i poticaji za privatna ulaganja trebali bi biti osmišljeni tako da sprečavanje poremećaja i šteta povezanih s klimom bude najbolji izbor u gospodarskom smislu. Potrebno je osigurati usklađenost s pravilima o državnim potporama. To podrazumijeva sljedeće:</w:t>
      </w:r>
    </w:p>
    <w:p w14:paraId="249B7C70" w14:textId="20FF077E" w:rsidR="008733E5" w:rsidRPr="00BE25FA" w:rsidRDefault="008733E5" w:rsidP="00774220">
      <w:pPr>
        <w:spacing w:after="120"/>
        <w:jc w:val="both"/>
        <w:textAlignment w:val="baseline"/>
        <w:rPr>
          <w:rFonts w:ascii="Times New Roman" w:hAnsi="Times New Roman"/>
          <w:noProof/>
          <w:color w:val="000000" w:themeColor="text1"/>
          <w:sz w:val="24"/>
          <w:highlight w:val="yellow"/>
          <w:u w:val="single"/>
        </w:rPr>
      </w:pPr>
      <w:r>
        <w:rPr>
          <w:rFonts w:ascii="Times New Roman" w:hAnsi="Times New Roman"/>
          <w:noProof/>
          <w:color w:val="000000" w:themeColor="text1"/>
          <w:sz w:val="24"/>
          <w:u w:val="single"/>
        </w:rPr>
        <w:t xml:space="preserve">Osiguravanje otpornosti financiranja EU-a na klimatske promjene. </w:t>
      </w:r>
      <w:r>
        <w:rPr>
          <w:rFonts w:ascii="Times New Roman" w:hAnsi="Times New Roman"/>
          <w:noProof/>
          <w:color w:val="000000" w:themeColor="text1"/>
          <w:sz w:val="24"/>
        </w:rPr>
        <w:t>Komisija će uključiti pitanja prilagodbe klimatskim promjenama u provedbu programa i aktivnosti EU-a kao dio načela „ne nanosi bitnu štetu”, utvrđenog u Financijskoj uredbi za višegodišnji financijski okvir za razdoblje nakon 2027., ako je to izvedivo i primjereno. Time će se osigurati da svi relevantni programi EU-a doprinose otpornosti na klimatske promjene.</w:t>
      </w:r>
    </w:p>
    <w:p w14:paraId="36554D86" w14:textId="1B61B347" w:rsidR="00E06696" w:rsidRPr="001A3A0E" w:rsidRDefault="0004542D" w:rsidP="00B160B9">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Uključivanje otpornosti na klimatske promjene u javnu nabavu.</w:t>
      </w:r>
      <w:r>
        <w:rPr>
          <w:rFonts w:ascii="Times New Roman" w:hAnsi="Times New Roman"/>
          <w:noProof/>
          <w:color w:val="000000" w:themeColor="text1"/>
          <w:sz w:val="24"/>
        </w:rPr>
        <w:t xml:space="preserve"> Javna nabava čini 14 % BDP-a EU-a i u njoj treba uzeti u obzir pitanje klimatskih rizika. Posebno kad je riječ o infrastrukturnim odlukama, ta politika ima važnu ulogu u doprinosu otpornosti imovine na klimatske promjene te informiranosti i znanju poduzeća koja podnose ponude o otpornosti na klimatske promjene. Komisija će klimatske rizike smatrati jednim od elemenata u slučaju preispitivanja regulatornog okvira za javnu nabavu. Istodobno poziva države članice da, među ostalim, uzimaju u obzir klimatske rizike pri uključivanju kriterija okolišne održivosti u natječajne postupke, primjerice ubrzanom provedbom odredaba Akta o industriji s nultom neto stopom emisija</w:t>
      </w:r>
      <w:r w:rsidR="00CA7DFD">
        <w:rPr>
          <w:rStyle w:val="FootnoteReference"/>
          <w:rFonts w:ascii="Times New Roman" w:eastAsia="Times New Roman" w:hAnsi="Times New Roman" w:cs="Times New Roman"/>
          <w:noProof/>
          <w:color w:val="000000" w:themeColor="text1"/>
          <w:sz w:val="24"/>
          <w:szCs w:val="24"/>
          <w:lang w:val="en-IE" w:eastAsia="en-IE"/>
        </w:rPr>
        <w:footnoteReference w:id="36"/>
      </w:r>
      <w:r>
        <w:rPr>
          <w:rFonts w:ascii="Times New Roman" w:hAnsi="Times New Roman"/>
          <w:noProof/>
          <w:color w:val="000000" w:themeColor="text1"/>
          <w:sz w:val="24"/>
        </w:rPr>
        <w:t xml:space="preserve"> koje se odnose na necjenovne kriterije u natječajima. </w:t>
      </w:r>
    </w:p>
    <w:p w14:paraId="0AC87FEC" w14:textId="43E7AD9A" w:rsidR="003E4442" w:rsidRPr="000B0E9A" w:rsidRDefault="003E4442" w:rsidP="00D70311">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u w:val="single"/>
        </w:rPr>
        <w:t>Mobilizacija financijskih sredstava za izgradnju otpornosti.</w:t>
      </w:r>
      <w:r>
        <w:rPr>
          <w:rFonts w:ascii="Times New Roman" w:hAnsi="Times New Roman"/>
          <w:noProof/>
          <w:color w:val="000000" w:themeColor="text1"/>
          <w:sz w:val="24"/>
        </w:rPr>
        <w:t xml:space="preserve"> Privlačenje i olakšavanje privatnih ulaganja neizostavno je za uspješno ublažavanje klimatskih rizika i izgradnju otpornosti na klimatske promjene. Polazeći od rada u okviru dijaloga o otpornosti na klimatske promjene i drugih relevantnih aktivnosti, Komisija će sazvati privremenu skupinu za razmatranje o mobilizaciji financijskih sredstava za otpornost na klimatske promjene da razmotri kako olakšati financiranje otpornosti na klimatske promjene. Skupina za razmatranje okupit će glavne industrijske aktere i predstavnike javnih i privatnih financijskih institucija. Može se koristiti i znanjem Europske investicijske banke i Europskog nadzornog tijela za osiguranje i strukovno mirovinsko osiguranje u području financiranja prilagodbe i izgradnje otpornosti. Skupina će zabilježiti najbolje prakse te utvrditi prepreke i poticajne uvjete za financiranje otpornosti na klimatske promjene. Komisija će uzeti u obzir ishod tih rasprava u cilju povećanja financiranja za otpornost na klimatske promjene. </w:t>
      </w:r>
    </w:p>
    <w:p w14:paraId="413219F1" w14:textId="07145287"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45" w:name="_Toc159792206"/>
      <w:r>
        <w:rPr>
          <w:rFonts w:ascii="Times New Roman" w:hAnsi="Times New Roman"/>
          <w:b/>
          <w:noProof/>
          <w:color w:val="000000" w:themeColor="text1"/>
          <w:sz w:val="24"/>
        </w:rPr>
        <w:t>Ključne mjere EU-a u glavnim pogođenim područjima</w:t>
      </w:r>
      <w:bookmarkEnd w:id="45"/>
      <w:r>
        <w:rPr>
          <w:rFonts w:ascii="Times New Roman" w:hAnsi="Times New Roman"/>
          <w:b/>
          <w:noProof/>
          <w:color w:val="000000" w:themeColor="text1"/>
          <w:sz w:val="24"/>
        </w:rPr>
        <w:t xml:space="preserve"> </w:t>
      </w:r>
    </w:p>
    <w:p w14:paraId="6E37C4D5" w14:textId="77777777" w:rsidR="0004542D" w:rsidRPr="00F814A3" w:rsidRDefault="0004542D" w:rsidP="00B11E0C">
      <w:pPr>
        <w:jc w:val="both"/>
        <w:textAlignment w:val="baseline"/>
        <w:rPr>
          <w:rFonts w:ascii="Times New Roman" w:eastAsia="Times New Roman" w:hAnsi="Times New Roman" w:cs="Times New Roman"/>
          <w:noProof/>
          <w:color w:val="000000" w:themeColor="text1"/>
          <w:sz w:val="24"/>
          <w:szCs w:val="24"/>
          <w:lang w:eastAsia="en-IE"/>
        </w:rPr>
      </w:pPr>
    </w:p>
    <w:p w14:paraId="4F10C5A6" w14:textId="62891F93" w:rsidR="00F435E9" w:rsidRDefault="00782A85" w:rsidP="00FE40B8">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Klimatski rizici i politike EU-a međusobno su povezani na mnogo načina. </w:t>
      </w:r>
      <w:bookmarkStart w:id="46" w:name="_Hlk157872449"/>
      <w:r>
        <w:rPr>
          <w:rFonts w:ascii="Times New Roman" w:hAnsi="Times New Roman"/>
          <w:b/>
          <w:noProof/>
          <w:color w:val="000000" w:themeColor="text1"/>
          <w:sz w:val="24"/>
        </w:rPr>
        <w:t>Većina politika EU-a već uključuje postupke donošenja odluka u kojima bi se mogli uzeti u obzir klimatski rizici. Obilje dokaza iz izvješća o prvoj europskoj procjeni klimatskih rizika (EUCRA) iskoristit će se u tim postupcima</w:t>
      </w:r>
      <w:bookmarkEnd w:id="46"/>
      <w:r>
        <w:rPr>
          <w:rFonts w:ascii="Times New Roman" w:hAnsi="Times New Roman"/>
          <w:b/>
          <w:noProof/>
          <w:color w:val="000000" w:themeColor="text1"/>
          <w:sz w:val="24"/>
        </w:rPr>
        <w:t xml:space="preserve">. </w:t>
      </w:r>
      <w:r>
        <w:rPr>
          <w:rFonts w:ascii="Times New Roman" w:hAnsi="Times New Roman"/>
          <w:noProof/>
          <w:color w:val="000000" w:themeColor="text1"/>
          <w:sz w:val="24"/>
        </w:rPr>
        <w:t>U ovom se odjeljku utvrđuju konkretne mjere za odabrana pogođena područja koje će Komisija poduzeti, uz rad koji je već u tijeku.</w:t>
      </w:r>
    </w:p>
    <w:p w14:paraId="2EE6E041" w14:textId="77777777" w:rsidR="00234B23" w:rsidRPr="00F814A3" w:rsidRDefault="00234B23" w:rsidP="00FE40B8">
      <w:pPr>
        <w:spacing w:after="120"/>
        <w:jc w:val="both"/>
        <w:textAlignment w:val="baseline"/>
        <w:rPr>
          <w:rFonts w:ascii="Times New Roman" w:eastAsia="Times New Roman" w:hAnsi="Times New Roman" w:cs="Times New Roman"/>
          <w:noProof/>
          <w:color w:val="000000" w:themeColor="text1"/>
          <w:sz w:val="24"/>
          <w:szCs w:val="24"/>
          <w:lang w:eastAsia="en-IE"/>
        </w:rPr>
      </w:pPr>
    </w:p>
    <w:p w14:paraId="5FBDAE14" w14:textId="57546045" w:rsidR="004E2378" w:rsidRPr="00420C4C" w:rsidRDefault="007965EF"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47" w:name="_Toc159792207"/>
      <w:r>
        <w:rPr>
          <w:rFonts w:ascii="Times New Roman" w:hAnsi="Times New Roman"/>
          <w:b/>
          <w:noProof/>
          <w:color w:val="000000" w:themeColor="text1"/>
          <w:sz w:val="24"/>
        </w:rPr>
        <w:t>Prirodni ekosustavi</w:t>
      </w:r>
      <w:bookmarkEnd w:id="47"/>
    </w:p>
    <w:p w14:paraId="48EEF110" w14:textId="77777777" w:rsidR="00C4304F" w:rsidRPr="00915255" w:rsidRDefault="00C4304F" w:rsidP="00291D56">
      <w:pPr>
        <w:spacing w:line="240" w:lineRule="auto"/>
        <w:jc w:val="both"/>
        <w:rPr>
          <w:rFonts w:ascii="Times New Roman" w:hAnsi="Times New Roman" w:cs="Times New Roman"/>
          <w:noProof/>
          <w:color w:val="000000" w:themeColor="text1"/>
          <w:sz w:val="24"/>
          <w:szCs w:val="24"/>
          <w:lang w:val="en-IE" w:eastAsia="en-IE"/>
        </w:rPr>
      </w:pPr>
    </w:p>
    <w:p w14:paraId="0C89F8C2" w14:textId="41831237" w:rsidR="00291D56" w:rsidRPr="00915255" w:rsidRDefault="0031372F" w:rsidP="00A632E5">
      <w:pPr>
        <w:spacing w:after="120"/>
        <w:jc w:val="both"/>
        <w:rPr>
          <w:rFonts w:ascii="Times New Roman" w:hAnsi="Times New Roman" w:cs="Times New Roman"/>
          <w:noProof/>
          <w:color w:val="000000" w:themeColor="text1"/>
          <w:sz w:val="24"/>
          <w:szCs w:val="24"/>
        </w:rPr>
      </w:pPr>
      <w:bookmarkStart w:id="48" w:name="_Hlk158191442"/>
      <w:r>
        <w:rPr>
          <w:rFonts w:ascii="Times New Roman" w:hAnsi="Times New Roman"/>
          <w:noProof/>
          <w:sz w:val="24"/>
        </w:rPr>
        <w:t xml:space="preserve">Osim održavanja bioraznolikosti, prirodni </w:t>
      </w:r>
      <w:r>
        <w:rPr>
          <w:rFonts w:ascii="Times New Roman" w:hAnsi="Times New Roman"/>
          <w:noProof/>
          <w:color w:val="000000" w:themeColor="text1"/>
          <w:sz w:val="24"/>
        </w:rPr>
        <w:t xml:space="preserve">ekosustavi pružaju i usluge bitne za život, kao što su slatka voda, hrana i biomaterijal, sekvestracija ugljika, kontrola erozije tla i obale, sprečavanje poplava i suša i hlađenje gusto naseljenih urbanih područja. Procjenjuje se da više od polovine ukupnog svjetskog BDP-a donekle ili u velikoj mjeri ovisi o prirodi i bioraznolikosti. Kad su zdravi, ekosustavi sami održavaju svoju unutarnju ravnotežu, ali mogu se i vrlo brzo raspasti ako se prijeđu kritični pragovi. </w:t>
      </w:r>
      <w:r>
        <w:rPr>
          <w:rFonts w:ascii="Times New Roman" w:hAnsi="Times New Roman"/>
          <w:noProof/>
          <w:sz w:val="24"/>
        </w:rPr>
        <w:t>To najviše utječe na sigurnost opskrbe hranom, lokalne zajednice i gospodarske sektore koji najviše ovise o zdravoj prirodi.</w:t>
      </w:r>
      <w:r>
        <w:rPr>
          <w:rFonts w:ascii="Times New Roman" w:hAnsi="Times New Roman"/>
          <w:noProof/>
          <w:color w:val="000000" w:themeColor="text1"/>
          <w:sz w:val="24"/>
        </w:rPr>
        <w:t xml:space="preserve"> Kako bi se održala i obnovila otpornost ekosustava i usluga koje oni pružaju, bit će potrebno djelotvorno i pravedno očuvati 30 – 50 % kopna, slatkih voda i oceana na Zemlji</w:t>
      </w:r>
      <w:r>
        <w:rPr>
          <w:rStyle w:val="FootnoteReference"/>
          <w:rFonts w:ascii="Times New Roman" w:hAnsi="Times New Roman"/>
          <w:noProof/>
          <w:color w:val="000000" w:themeColor="text1"/>
          <w:sz w:val="24"/>
        </w:rPr>
        <w:t xml:space="preserve"> </w:t>
      </w:r>
      <w:r w:rsidR="00CA14DC" w:rsidRPr="00915255">
        <w:rPr>
          <w:rStyle w:val="FootnoteReference"/>
          <w:rFonts w:ascii="Times New Roman" w:hAnsi="Times New Roman" w:cs="Times New Roman"/>
          <w:noProof/>
          <w:color w:val="000000" w:themeColor="text1"/>
          <w:sz w:val="24"/>
          <w:szCs w:val="24"/>
          <w:lang w:val="en-IE" w:eastAsia="en-IE"/>
        </w:rPr>
        <w:footnoteReference w:id="37"/>
      </w:r>
      <w:r>
        <w:rPr>
          <w:rFonts w:ascii="Times New Roman" w:hAnsi="Times New Roman"/>
          <w:noProof/>
          <w:color w:val="000000" w:themeColor="text1"/>
          <w:sz w:val="24"/>
        </w:rPr>
        <w:t xml:space="preserve">.  </w:t>
      </w:r>
    </w:p>
    <w:bookmarkEnd w:id="48"/>
    <w:p w14:paraId="52571491" w14:textId="629103B5" w:rsidR="00295851" w:rsidRPr="001A3A0E" w:rsidRDefault="0046383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Prirodna rješenja otporna na promjene u budućnosti mogu biti troškovno učinkovita i povećati otpornost te bi trebala biti prvi izbor za prilagodbu klimatskim promjenama kad god je to moguće. Za djelotvorno upravljanje klimatskim rizicima potrebno je zaštititi ekosustave i njima upravljati na sveobuhvatan način, a </w:t>
      </w:r>
      <w:r>
        <w:rPr>
          <w:rFonts w:ascii="Times New Roman" w:hAnsi="Times New Roman"/>
          <w:noProof/>
          <w:color w:val="000000" w:themeColor="text1"/>
          <w:sz w:val="24"/>
          <w:u w:val="single"/>
        </w:rPr>
        <w:t>procjene bogatstva i gospodarske aktivnosti trebale bi u potpunosti uključivati prirodni kapital</w:t>
      </w:r>
      <w:r w:rsidR="00E01EF8" w:rsidRPr="000C2827">
        <w:rPr>
          <w:rStyle w:val="FootnoteReference"/>
          <w:rFonts w:ascii="Times New Roman" w:hAnsi="Times New Roman" w:cs="Times New Roman"/>
          <w:noProof/>
          <w:color w:val="000000" w:themeColor="text1"/>
          <w:sz w:val="24"/>
          <w:szCs w:val="24"/>
          <w:u w:val="single"/>
          <w:lang w:val="en-IE" w:eastAsia="en-IE"/>
        </w:rPr>
        <w:footnoteReference w:id="38"/>
      </w:r>
      <w:r>
        <w:rPr>
          <w:rFonts w:ascii="Times New Roman" w:hAnsi="Times New Roman"/>
          <w:noProof/>
          <w:color w:val="000000" w:themeColor="text1"/>
          <w:sz w:val="24"/>
        </w:rPr>
        <w:t xml:space="preserve"> koristeći se nedavnim metodološkim napretkom.</w:t>
      </w:r>
      <w:r>
        <w:rPr>
          <w:rFonts w:ascii="Times New Roman" w:hAnsi="Times New Roman"/>
          <w:noProof/>
          <w:sz w:val="24"/>
        </w:rPr>
        <w:t xml:space="preserve"> </w:t>
      </w:r>
      <w:r>
        <w:rPr>
          <w:rFonts w:ascii="Times New Roman" w:hAnsi="Times New Roman"/>
          <w:noProof/>
          <w:color w:val="000000" w:themeColor="text1"/>
          <w:sz w:val="24"/>
        </w:rPr>
        <w:t>Provedbom Direktive o pticama i Direktive o staništima te izradom nacionalnih planova obnove na temelju predstojećeg Akta o obnovi prirode trebale bi se osigurati sinergije s otpornošću na klimatske promjene. Kako bi poduprla prilagodbu klimatskim promjenama u zaštićenim područjima, Komisija će ažurirati smjernice o mreži Natura 2000 i klimatskim promjenama.</w:t>
      </w:r>
    </w:p>
    <w:p w14:paraId="4AB37EB7" w14:textId="17E52691" w:rsidR="00352E3B" w:rsidRPr="00915255" w:rsidRDefault="00C14B2C"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Potrebno je uložiti dodatne napore kako bi se </w:t>
      </w:r>
      <w:r>
        <w:rPr>
          <w:rFonts w:ascii="Times New Roman" w:hAnsi="Times New Roman"/>
          <w:noProof/>
          <w:color w:val="000000" w:themeColor="text1"/>
          <w:sz w:val="24"/>
          <w:u w:val="single"/>
        </w:rPr>
        <w:t>spriječili veliki poremećaji u šumama i povećala pripravnost za njih</w:t>
      </w:r>
      <w:r>
        <w:rPr>
          <w:rFonts w:ascii="Times New Roman" w:hAnsi="Times New Roman"/>
          <w:noProof/>
          <w:color w:val="000000" w:themeColor="text1"/>
          <w:sz w:val="24"/>
        </w:rPr>
        <w:t xml:space="preserve">. Komisija će mjerama Mehanizma Unije za civilnu zaštitu promicati sprečavanje rizika od požara u prirodi, koristit će se predloženim propisima o okviru za praćenje radi otpornosti europskih šuma i o šumskom reprodukcijskom materijalu te će u procjeni potencijalnih doprinosa ponora ugljika ciljevima EU-a za nultu neto stopu emisija uzeti u obzir klimatske pritiske. </w:t>
      </w:r>
    </w:p>
    <w:p w14:paraId="2BACEF58" w14:textId="5D31F238" w:rsidR="002A4652" w:rsidRPr="005120FA" w:rsidRDefault="002D71AA" w:rsidP="00A632E5">
      <w:pPr>
        <w:spacing w:after="120"/>
        <w:jc w:val="both"/>
        <w:rPr>
          <w:rFonts w:ascii="Times New Roman" w:hAnsi="Times New Roman" w:cs="Times New Roman"/>
          <w:noProof/>
          <w:sz w:val="24"/>
          <w:szCs w:val="24"/>
        </w:rPr>
      </w:pPr>
      <w:r>
        <w:rPr>
          <w:rFonts w:ascii="Times New Roman" w:hAnsi="Times New Roman"/>
          <w:noProof/>
          <w:sz w:val="24"/>
        </w:rPr>
        <w:t>Države članice moraju</w:t>
      </w:r>
      <w:r>
        <w:rPr>
          <w:rFonts w:ascii="Times New Roman" w:hAnsi="Times New Roman"/>
          <w:noProof/>
          <w:sz w:val="24"/>
          <w:u w:val="single"/>
        </w:rPr>
        <w:t xml:space="preserve"> poboljšati zdravlje morskih ekosustava</w:t>
      </w:r>
      <w:r>
        <w:rPr>
          <w:rFonts w:ascii="Times New Roman" w:hAnsi="Times New Roman"/>
          <w:noProof/>
          <w:sz w:val="24"/>
        </w:rPr>
        <w:t>. Komisija poziva države članice da na najbolji mogući način iskoriste Okvirnu direktivu o morskoj strategiji, Akt o obnovi prirode i Akcijski plan o moru</w:t>
      </w:r>
      <w:r w:rsidR="002A4652" w:rsidRPr="001A3A0E">
        <w:rPr>
          <w:rStyle w:val="FootnoteReference"/>
          <w:rFonts w:ascii="Times New Roman" w:hAnsi="Times New Roman" w:cs="Times New Roman"/>
          <w:noProof/>
          <w:sz w:val="24"/>
          <w:szCs w:val="24"/>
        </w:rPr>
        <w:footnoteReference w:id="39"/>
      </w:r>
      <w:r>
        <w:rPr>
          <w:rFonts w:ascii="Times New Roman" w:hAnsi="Times New Roman"/>
          <w:noProof/>
          <w:sz w:val="24"/>
        </w:rPr>
        <w:t xml:space="preserve"> za povećanje otpornosti i očuvanje raznolikosti svih morskih ekosustava kako bi se održali njihovi proizvodni kapaciteti za osiguravanje hrane, materijala i usluga ekosustava. Djelovanjima u okviru misije EU-a za oceane i vode</w:t>
      </w:r>
      <w:r w:rsidR="00507E1A">
        <w:rPr>
          <w:rStyle w:val="FootnoteReference"/>
          <w:rFonts w:ascii="Times New Roman" w:hAnsi="Times New Roman" w:cs="Times New Roman"/>
          <w:noProof/>
          <w:sz w:val="24"/>
          <w:szCs w:val="24"/>
        </w:rPr>
        <w:footnoteReference w:id="40"/>
      </w:r>
      <w:r>
        <w:rPr>
          <w:rFonts w:ascii="Times New Roman" w:hAnsi="Times New Roman"/>
          <w:noProof/>
          <w:sz w:val="24"/>
        </w:rPr>
        <w:t xml:space="preserve"> doprinosi se širokoj paleti takvih rješenja. Kako bi se osiguralo održivo ribarstvo u kontekstu klimatskih promjena, sinergije između zajedničke ribarstvene politike i zakonodavstva u području okoliša, kako je predloženo u Paktu za ribarstvo i oceane, trebalo bi u potpunosti iskoristiti kako bi se zajamčila sigurnost opskrbe hranom i osigurala egzistencija ribara i obalnih zajednica.</w:t>
      </w:r>
    </w:p>
    <w:p w14:paraId="2466D47E" w14:textId="6026276F" w:rsidR="002A4652" w:rsidRPr="001A3A0E" w:rsidRDefault="00C512C3" w:rsidP="00A632E5">
      <w:pPr>
        <w:spacing w:after="120"/>
        <w:jc w:val="both"/>
        <w:rPr>
          <w:rFonts w:ascii="Times New Roman" w:hAnsi="Times New Roman" w:cs="Times New Roman"/>
          <w:noProof/>
          <w:sz w:val="24"/>
          <w:szCs w:val="24"/>
        </w:rPr>
      </w:pPr>
      <w:r>
        <w:rPr>
          <w:rFonts w:ascii="Times New Roman" w:hAnsi="Times New Roman"/>
          <w:noProof/>
          <w:sz w:val="24"/>
        </w:rPr>
        <w:t xml:space="preserve">Ključnim elementima </w:t>
      </w:r>
      <w:r>
        <w:rPr>
          <w:rFonts w:ascii="Times New Roman" w:hAnsi="Times New Roman"/>
          <w:noProof/>
          <w:sz w:val="24"/>
          <w:u w:val="single"/>
        </w:rPr>
        <w:t>krajobraza otpornog na klimatske promjene</w:t>
      </w:r>
      <w:r>
        <w:rPr>
          <w:rFonts w:ascii="Times New Roman" w:hAnsi="Times New Roman"/>
          <w:noProof/>
          <w:sz w:val="24"/>
        </w:rPr>
        <w:t xml:space="preserve"> treba pristupati istodobno kako bi se očuvao kapacitet krajobraza za smanjenje rizika od suša, poplava, olujnih udara, požara u prirodi ili erozije, uz pružanje drugih usluga ekosustava. Ruralna područja zauzimaju većinu europskog zemljišta, a izoliran pristup upravljanju tlom, vodom i šumama na istom području više nije dostatan. Potreban je sveobuhvatan i integriran pristup kako bi se osiguralo da se ekosustavi na velikim područjima mogu nositi s višestrukim prijetnjama. Kako bi poduprla što veće korištenje postojećih dokumenata za planiranje te u sinergiji s prostornim planiranjem država članica i njihovim planovima za obnovu prirode, </w:t>
      </w:r>
      <w:r>
        <w:rPr>
          <w:rFonts w:ascii="Times New Roman" w:hAnsi="Times New Roman"/>
          <w:noProof/>
          <w:sz w:val="24"/>
          <w:u w:val="single"/>
        </w:rPr>
        <w:t>Komisija će u suradnji s državama članicama izraditi smjernice za razvoj otpornih krajobraza</w:t>
      </w:r>
      <w:r>
        <w:rPr>
          <w:rFonts w:ascii="Times New Roman" w:hAnsi="Times New Roman"/>
          <w:noProof/>
          <w:sz w:val="24"/>
        </w:rPr>
        <w:t xml:space="preserve"> koji mogu ublažiti učinke klimatskih promjena. </w:t>
      </w:r>
    </w:p>
    <w:p w14:paraId="61E8835D" w14:textId="77777777" w:rsidR="0049438C" w:rsidRPr="00F814A3" w:rsidRDefault="0049438C" w:rsidP="00B11E0C">
      <w:pPr>
        <w:spacing w:after="120" w:line="240" w:lineRule="auto"/>
        <w:rPr>
          <w:rFonts w:ascii="Times New Roman" w:hAnsi="Times New Roman" w:cs="Times New Roman"/>
          <w:noProof/>
          <w:color w:val="000000" w:themeColor="text1"/>
          <w:sz w:val="24"/>
          <w:szCs w:val="24"/>
          <w:lang w:eastAsia="en-IE"/>
        </w:rPr>
      </w:pPr>
    </w:p>
    <w:p w14:paraId="587C50CD" w14:textId="39987522" w:rsidR="003664D6" w:rsidRPr="00420C4C" w:rsidRDefault="003F09F0"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0" w:name="_Toc159792208"/>
      <w:r>
        <w:rPr>
          <w:rFonts w:ascii="Times New Roman" w:hAnsi="Times New Roman"/>
          <w:b/>
          <w:noProof/>
          <w:color w:val="000000" w:themeColor="text1"/>
          <w:sz w:val="24"/>
        </w:rPr>
        <w:t>Voda</w:t>
      </w:r>
      <w:bookmarkEnd w:id="50"/>
    </w:p>
    <w:p w14:paraId="600A86CE" w14:textId="77777777" w:rsidR="00B2476E" w:rsidRDefault="00B2476E" w:rsidP="0016331B">
      <w:pPr>
        <w:jc w:val="both"/>
        <w:textAlignment w:val="baseline"/>
        <w:rPr>
          <w:rFonts w:ascii="Times New Roman" w:eastAsia="Times New Roman" w:hAnsi="Times New Roman" w:cs="Times New Roman"/>
          <w:noProof/>
          <w:color w:val="000000" w:themeColor="text1"/>
          <w:sz w:val="24"/>
          <w:szCs w:val="24"/>
          <w:lang w:val="en-IE" w:eastAsia="en-IE"/>
        </w:rPr>
      </w:pPr>
    </w:p>
    <w:p w14:paraId="03AA7CB2" w14:textId="399E0CFD" w:rsidR="0016331B" w:rsidRDefault="0016331B" w:rsidP="00A632E5">
      <w:pPr>
        <w:spacing w:after="120"/>
        <w:jc w:val="both"/>
        <w:textAlignment w:val="baseline"/>
        <w:rPr>
          <w:rFonts w:ascii="Times New Roman" w:hAnsi="Times New Roman" w:cs="Times New Roman"/>
          <w:noProof/>
          <w:color w:val="000000" w:themeColor="text1"/>
          <w:sz w:val="24"/>
          <w:szCs w:val="24"/>
        </w:rPr>
      </w:pPr>
      <w:r>
        <w:rPr>
          <w:rFonts w:ascii="Times New Roman" w:hAnsi="Times New Roman"/>
          <w:noProof/>
          <w:color w:val="000000" w:themeColor="text1"/>
          <w:sz w:val="24"/>
        </w:rPr>
        <w:t>Voda je neophodan resurs, koji je već pod pritiskom u mnogim dijelovima Europe zbog lošeg strukturnog upravljanja</w:t>
      </w:r>
      <w:r>
        <w:rPr>
          <w:rFonts w:ascii="Times New Roman" w:hAnsi="Times New Roman"/>
          <w:noProof/>
          <w:sz w:val="24"/>
        </w:rPr>
        <w:t>, neodrživog korištenja zemljišta, hidromorfoloških promjena i onečišćenja.</w:t>
      </w:r>
      <w:r>
        <w:rPr>
          <w:rFonts w:ascii="Times New Roman" w:hAnsi="Times New Roman"/>
          <w:noProof/>
          <w:color w:val="000000" w:themeColor="text1"/>
          <w:sz w:val="24"/>
        </w:rPr>
        <w:t xml:space="preserve"> Klimatske promjene povećavaju te pritiske i rizike povezane s vodom u obliku češćih ili dugotrajnijih suša ili ekstremnih oborina. Ti će pritisci u budućnosti dodatno rasti jer će veći dijelovi Europe biti pogođeni nestašicom vode, kao i sve većim rizikom od velikih suša (koje obuhvaćaju velike regije i traju nekoliko godina), požara u prirodi, sve većih poplava i porasta razine mora, zbog kojeg se povećava rizik od poplava i olujnih udara, erozije obale i prodora slane vode.</w:t>
      </w:r>
    </w:p>
    <w:p w14:paraId="13FBC7C3" w14:textId="38129A7E"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 prvoj europskoj procjeni klimatskih rizika (EUCRA) naglašava se da su rizici povezani s vodom prisutni u svim glavnim sektorima koji se razmatraju u ovoj Komunikaciji te da velike poplave, suše i šumski požari postaju prijetnja zdravlju i opetovan uzrok socijalnih, okolišnih i gospodarskih gubitaka. Ti se rizici mogu očitovati u više oblika; neki od njih su suše koje bi mogle pogađati velika područja tijekom duljih razdoblja, što negativno utječe na proizvodnju usjeva, sigurnost opskrbe hranom, opskrbu pitkom vodom, proizvodnju energije i upotrebljivost plovnih putova te povećava rizik od požara u prirodi, zatim rizici za kritičnu infrastrukturu, gospodarske aktivnosti i zdravlje ljudi povezani s poplavama te općenito povećano tržišno natjecanje za vodne resurse u svim sektorima i oblicima upotrebe, uključujući mogući rizik od sukoba unutar država članica i među njima zbog prekograničnih vodnih resursa. EUCRA pokazuje da troškove nedovoljne ili odgođene provedbe integriranog upravljanja vodama neće biti moguće pokriti. Procjenjuje se da troškovi zbog suša iznose 9 milijardi EUR godišnje, a ukupni troškovi zbog poplava od 1980. više od 170 milijardi EUR. </w:t>
      </w:r>
    </w:p>
    <w:p w14:paraId="3D24198A" w14:textId="0A98BDBC" w:rsidR="0016331B" w:rsidRDefault="0016331B" w:rsidP="00A632E5">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Zaštita i obnova ciklusa vode, promicanje gospodarstva EU-a s pametnim upravljanjem vodnim resursima i </w:t>
      </w:r>
      <w:r>
        <w:rPr>
          <w:rFonts w:ascii="Times New Roman" w:hAnsi="Times New Roman"/>
          <w:noProof/>
          <w:color w:val="000000" w:themeColor="text1"/>
          <w:sz w:val="24"/>
          <w:u w:val="single"/>
        </w:rPr>
        <w:t>očuvanje kvalitetnih, cjenovno pristupačnih i dostupnih zaliha slatke vode za sve</w:t>
      </w:r>
      <w:r>
        <w:rPr>
          <w:rFonts w:ascii="Times New Roman" w:hAnsi="Times New Roman"/>
          <w:noProof/>
          <w:color w:val="000000" w:themeColor="text1"/>
          <w:sz w:val="24"/>
        </w:rPr>
        <w:t xml:space="preserve"> neophodni su za osiguravanje Europe otporne na vodne krize. Za postizanje otpornosti na vodne krize potrebno je povećati našu kolektivnu sposobnost upravljanja vodom i koristiti vodu na prilagodljiviji način s obzirom na brze i djelomično nepredvidive geopolitičke, gospodarske, društvene i okolišne promjene.</w:t>
      </w:r>
      <w:r>
        <w:rPr>
          <w:rFonts w:ascii="Times New Roman" w:hAnsi="Times New Roman"/>
          <w:noProof/>
          <w:color w:val="000000" w:themeColor="text1"/>
          <w:sz w:val="24"/>
          <w:u w:val="single"/>
        </w:rPr>
        <w:t xml:space="preserve"> </w:t>
      </w:r>
      <w:r>
        <w:rPr>
          <w:rFonts w:ascii="Times New Roman" w:hAnsi="Times New Roman"/>
          <w:noProof/>
          <w:color w:val="000000" w:themeColor="text1"/>
          <w:sz w:val="24"/>
        </w:rPr>
        <w:t xml:space="preserve">Vodom treba upravljati, a ljudsku potražnju prilagoditi novoj i oskudnijoj opskrbi. </w:t>
      </w:r>
    </w:p>
    <w:p w14:paraId="65198D33" w14:textId="23A0B11E" w:rsidR="00E60205" w:rsidRDefault="00760A8B" w:rsidP="00FE74B1">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S obzirom na temeljnu ulogu koju voda ima u održavanju života i kao gospodarski resurs, </w:t>
      </w:r>
      <w:r>
        <w:rPr>
          <w:rFonts w:ascii="Times New Roman" w:hAnsi="Times New Roman"/>
          <w:noProof/>
          <w:color w:val="000000" w:themeColor="text1"/>
          <w:sz w:val="24"/>
          <w:u w:val="single"/>
        </w:rPr>
        <w:t>Komisija će sveobuhvatno sagledati pitanja povezana s vodom</w:t>
      </w:r>
      <w:r>
        <w:rPr>
          <w:rFonts w:ascii="Times New Roman" w:hAnsi="Times New Roman"/>
          <w:noProof/>
          <w:color w:val="000000" w:themeColor="text1"/>
          <w:sz w:val="24"/>
        </w:rPr>
        <w:t>, polazeći od rezultata tekućih procjena planova upravljanja riječnim sljevovima i poplavnim rizicima, kao i programa mjera za more koje su uspostavile države članice, te na temelju toga razmotriti potrebu za djelovanjem.</w:t>
      </w:r>
    </w:p>
    <w:p w14:paraId="05410DDA" w14:textId="77777777" w:rsidR="00CB66D1" w:rsidRPr="00A632E5" w:rsidRDefault="00CB66D1" w:rsidP="00BE25FA">
      <w:pPr>
        <w:spacing w:after="200" w:line="276" w:lineRule="auto"/>
        <w:rPr>
          <w:rFonts w:ascii="Times New Roman" w:eastAsia="Times New Roman" w:hAnsi="Times New Roman" w:cs="Times New Roman"/>
          <w:noProof/>
          <w:color w:val="000000" w:themeColor="text1"/>
          <w:sz w:val="24"/>
          <w:szCs w:val="24"/>
          <w:lang w:eastAsia="en-IE"/>
        </w:rPr>
      </w:pPr>
    </w:p>
    <w:p w14:paraId="141F1ABA" w14:textId="0AEA4596"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1" w:name="_Toc159792209"/>
      <w:r>
        <w:rPr>
          <w:rFonts w:ascii="Times New Roman" w:hAnsi="Times New Roman"/>
          <w:b/>
          <w:noProof/>
          <w:color w:val="000000" w:themeColor="text1"/>
          <w:sz w:val="24"/>
        </w:rPr>
        <w:t>Zdravlje</w:t>
      </w:r>
      <w:bookmarkEnd w:id="51"/>
    </w:p>
    <w:p w14:paraId="4257B5F7" w14:textId="77777777" w:rsidR="00ED251E" w:rsidRDefault="00ED251E" w:rsidP="00FE40B8">
      <w:pPr>
        <w:spacing w:line="240" w:lineRule="auto"/>
        <w:jc w:val="both"/>
        <w:rPr>
          <w:rFonts w:ascii="Times New Roman" w:hAnsi="Times New Roman" w:cs="Times New Roman"/>
          <w:noProof/>
          <w:color w:val="000000" w:themeColor="text1"/>
          <w:sz w:val="24"/>
          <w:szCs w:val="24"/>
          <w:lang w:val="en-IE" w:eastAsia="en-IE"/>
        </w:rPr>
      </w:pPr>
    </w:p>
    <w:p w14:paraId="4D21F872" w14:textId="364ADEDF" w:rsidR="00DA1886" w:rsidRDefault="00FB12B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Klimatske promjene utječu na zdravlje ljudi. </w:t>
      </w:r>
      <w:bookmarkStart w:id="52" w:name="_Hlk160816429"/>
      <w:r>
        <w:rPr>
          <w:rFonts w:ascii="Times New Roman" w:hAnsi="Times New Roman"/>
          <w:noProof/>
          <w:color w:val="000000" w:themeColor="text1"/>
          <w:sz w:val="24"/>
        </w:rPr>
        <w:t>Toplinski val 2022. uzrokovao je preuranjenju smrt 60 000 – 70 000 osoba samo u Europi.</w:t>
      </w:r>
      <w:bookmarkEnd w:id="52"/>
      <w:r>
        <w:rPr>
          <w:rFonts w:ascii="Times New Roman" w:hAnsi="Times New Roman"/>
          <w:noProof/>
          <w:color w:val="000000" w:themeColor="text1"/>
          <w:sz w:val="24"/>
        </w:rPr>
        <w:t xml:space="preserve"> Predviđa se da će stopa smrtnosti povezane s temperaturom već do sredine stoljeća znatno porasti</w:t>
      </w:r>
      <w:r w:rsidR="00C879A9" w:rsidRPr="00100668">
        <w:rPr>
          <w:rStyle w:val="FootnoteReference"/>
          <w:rFonts w:ascii="Times New Roman" w:hAnsi="Times New Roman" w:cs="Times New Roman"/>
          <w:noProof/>
          <w:color w:val="000000" w:themeColor="text1"/>
          <w:sz w:val="24"/>
          <w:szCs w:val="24"/>
          <w:lang w:val="en-IE" w:eastAsia="en-IE"/>
        </w:rPr>
        <w:footnoteReference w:id="41"/>
      </w:r>
      <w:r>
        <w:rPr>
          <w:rFonts w:ascii="Times New Roman" w:hAnsi="Times New Roman"/>
          <w:noProof/>
          <w:color w:val="000000" w:themeColor="text1"/>
          <w:sz w:val="24"/>
        </w:rPr>
        <w:t>. Stalnim zagrijavanjem i ekstremnim vremenskim uvjetima klimatske promjene mogu doprinijeti nezaraznim bolestima ili ih pogoršati, a te su bolesti odgovorne za oko dvije trećine svih smrtnih slučajeva u europskoj regiji. Inicijativa EU-a za nezarazne bolesti „Zdravije zajedno”</w:t>
      </w:r>
      <w:r w:rsidR="0016213D">
        <w:rPr>
          <w:rStyle w:val="FootnoteReference"/>
          <w:rFonts w:ascii="Times New Roman" w:hAnsi="Times New Roman" w:cs="Times New Roman"/>
          <w:noProof/>
          <w:color w:val="000000" w:themeColor="text1"/>
          <w:sz w:val="24"/>
          <w:szCs w:val="24"/>
          <w:lang w:val="en-IE" w:eastAsia="en-IE"/>
        </w:rPr>
        <w:footnoteReference w:id="42"/>
      </w:r>
      <w:r>
        <w:rPr>
          <w:rFonts w:ascii="Times New Roman" w:hAnsi="Times New Roman"/>
          <w:noProof/>
          <w:color w:val="000000" w:themeColor="text1"/>
          <w:sz w:val="24"/>
        </w:rPr>
        <w:t xml:space="preserve"> podupire države članice u poduzimanju odgovarajućih preventivnih mjera. </w:t>
      </w:r>
    </w:p>
    <w:p w14:paraId="785A1026" w14:textId="7A80C290" w:rsidR="00DE54C7" w:rsidRDefault="00660C6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Produktivnost rada smanjit će se i riskira se gubitak radnog vremena ako se ne poduzmu djelotvorne mjere prilagodbe. Individualna i regionalna ranjivost i najprikladnije mjere ovise o čimbenicima kao što su razina pripravnosti, stupanj urbanizacije, dobna struktura i istodobna izloženost onečišćenju zraka. Kako je potvrđeno u Komunikaciji o sveobuhvatnom pristupu mentalnom zdravlju</w:t>
      </w:r>
      <w:r w:rsidR="00CE4000">
        <w:rPr>
          <w:rStyle w:val="FootnoteReference"/>
          <w:rFonts w:ascii="Times New Roman" w:hAnsi="Times New Roman" w:cs="Times New Roman"/>
          <w:noProof/>
          <w:color w:val="000000" w:themeColor="text1"/>
          <w:sz w:val="24"/>
          <w:szCs w:val="24"/>
          <w:lang w:val="en-IE" w:eastAsia="en-IE"/>
        </w:rPr>
        <w:footnoteReference w:id="43"/>
      </w:r>
      <w:r>
        <w:rPr>
          <w:rFonts w:ascii="Times New Roman" w:hAnsi="Times New Roman"/>
          <w:noProof/>
          <w:color w:val="000000" w:themeColor="text1"/>
          <w:sz w:val="24"/>
        </w:rPr>
        <w:t xml:space="preserve">, klimatska kriza ozbiljno utječe na mentalno zdravlje. </w:t>
      </w:r>
    </w:p>
    <w:p w14:paraId="27BDB047" w14:textId="1698A0B5" w:rsidR="00660C68" w:rsidRDefault="007F71D3"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Povećat će se pojavnost zaraznih bolesti osjetljivih na klimatske promjene, pa će bolesti kao što su virus zapadnog Nila, denga i chikungunya postati endemske u dijelovima Europe, a patogeni koji se prenose hranom i vodom lakše se širiti. U većini su slučajeva djelotvorne medicinske protumjere za odgovor na te bolesti oskudne ili ih tek treba razviti. Ekstremni vremenski obrasci mogu dovesti i do širenja otpornih bakterija i većeg prijenosa gena te tako do povećanja broja infekcija otpornim bakterijama i gljivicama. </w:t>
      </w:r>
    </w:p>
    <w:p w14:paraId="3C940946" w14:textId="38B506F3" w:rsidR="00F77E66" w:rsidRPr="00915255" w:rsidRDefault="008579C7"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Ti i drugi rizici dodatno će opteretiti već opterećene zdravstvene sustave, zdravstvene djelatnike i proračune za zdravstvo. Primarna su rješenja u politikama kojima se može smanjiti osjetljivost i ograničiti izloženost ljudi. Radnicima i zgradama u zdravstvenom sektoru koji su izravno izloženi klimatskim rizicima trebalo bi upravljati na odgovarajući način. Kako bi dodatno ojačala svoje djelovanje i u praksi provela ciljeve i obveze utvrđene u izjavama iz Budimpešte i s konferencije COP 28</w:t>
      </w:r>
      <w:r w:rsidR="002E16D5" w:rsidRPr="00915255">
        <w:rPr>
          <w:rStyle w:val="FootnoteReference"/>
          <w:rFonts w:ascii="Times New Roman" w:hAnsi="Times New Roman" w:cs="Times New Roman"/>
          <w:bCs/>
          <w:noProof/>
          <w:color w:val="000000" w:themeColor="text1"/>
          <w:sz w:val="24"/>
          <w:szCs w:val="24"/>
          <w:lang w:eastAsia="en-IE"/>
        </w:rPr>
        <w:footnoteReference w:id="44"/>
      </w:r>
      <w:r>
        <w:rPr>
          <w:rFonts w:ascii="Times New Roman" w:hAnsi="Times New Roman"/>
          <w:noProof/>
          <w:color w:val="000000" w:themeColor="text1"/>
          <w:sz w:val="24"/>
        </w:rPr>
        <w:t xml:space="preserve"> o klimi i zdravlju, </w:t>
      </w:r>
      <w:r>
        <w:rPr>
          <w:rFonts w:ascii="Times New Roman" w:hAnsi="Times New Roman"/>
          <w:noProof/>
          <w:color w:val="000000" w:themeColor="text1"/>
          <w:sz w:val="24"/>
          <w:u w:val="single"/>
        </w:rPr>
        <w:t>Komisija će poduzeti sljedeće</w:t>
      </w:r>
      <w:r>
        <w:rPr>
          <w:rFonts w:ascii="Times New Roman" w:hAnsi="Times New Roman"/>
          <w:noProof/>
          <w:color w:val="000000" w:themeColor="text1"/>
          <w:sz w:val="24"/>
        </w:rPr>
        <w:t>:</w:t>
      </w:r>
    </w:p>
    <w:p w14:paraId="30CEA357" w14:textId="0803FAA5" w:rsidR="004E167D" w:rsidRPr="009248B3" w:rsidRDefault="280FBBC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Pojačati mjere kako bi se osigurala odgovarajuća zaštita radnika izloženih klimatskim rizicima</w:t>
      </w:r>
      <w:r>
        <w:rPr>
          <w:rFonts w:ascii="Times New Roman" w:hAnsi="Times New Roman"/>
          <w:noProof/>
          <w:color w:val="000000" w:themeColor="text1"/>
          <w:sz w:val="24"/>
        </w:rPr>
        <w:t>. Pri preispitivanju zakonodavstva o sigurnosti i zdravlju na radu</w:t>
      </w:r>
      <w:r>
        <w:rPr>
          <w:rFonts w:ascii="Times New Roman" w:hAnsi="Times New Roman"/>
          <w:noProof/>
          <w:sz w:val="24"/>
        </w:rPr>
        <w:t xml:space="preserve">, kojim se radnici štite od svih rizika na radu, uključujući rizike povezane s povećanim temperaturama okoline i toplinskim stresom, </w:t>
      </w:r>
      <w:r>
        <w:rPr>
          <w:rFonts w:ascii="Times New Roman" w:hAnsi="Times New Roman"/>
          <w:noProof/>
          <w:color w:val="000000" w:themeColor="text1"/>
          <w:sz w:val="24"/>
        </w:rPr>
        <w:t>Komisija će razmotriti potrebu za dodatnim mjerama za zaštitu radnika od klimatskih rizika, među ostalim na temelju postojećih smjernica i instrumenata</w:t>
      </w:r>
      <w:r w:rsidR="006E78CB" w:rsidRPr="00915255">
        <w:rPr>
          <w:rStyle w:val="FootnoteReference"/>
          <w:rFonts w:ascii="Times New Roman" w:hAnsi="Times New Roman" w:cs="Times New Roman"/>
          <w:noProof/>
          <w:color w:val="000000" w:themeColor="text1"/>
          <w:sz w:val="24"/>
          <w:szCs w:val="24"/>
          <w:lang w:val="en-IE" w:eastAsia="en-IE"/>
        </w:rPr>
        <w:footnoteReference w:id="45"/>
      </w:r>
      <w:r>
        <w:rPr>
          <w:rFonts w:ascii="Times New Roman" w:hAnsi="Times New Roman"/>
          <w:noProof/>
          <w:color w:val="000000" w:themeColor="text1"/>
          <w:sz w:val="24"/>
        </w:rPr>
        <w:t>. Komisija je uspostavila novi dijalog s dionicima</w:t>
      </w:r>
      <w:r w:rsidR="005848F9">
        <w:rPr>
          <w:rStyle w:val="FootnoteReference"/>
          <w:rFonts w:ascii="Times New Roman" w:hAnsi="Times New Roman" w:cs="Times New Roman"/>
          <w:noProof/>
          <w:color w:val="000000" w:themeColor="text1"/>
          <w:sz w:val="24"/>
          <w:szCs w:val="24"/>
          <w:lang w:val="en-IE" w:eastAsia="en-IE"/>
        </w:rPr>
        <w:footnoteReference w:id="46"/>
      </w:r>
      <w:r>
        <w:rPr>
          <w:rFonts w:ascii="Times New Roman" w:hAnsi="Times New Roman"/>
          <w:noProof/>
          <w:color w:val="000000" w:themeColor="text1"/>
          <w:sz w:val="24"/>
        </w:rPr>
        <w:t>. Europska agencija za sigurnost i zdravlje na radu (EU-OSHA) unapređuje predviđanja o povezanosti klime i sigurnosti i zdravlja na radu</w:t>
      </w:r>
      <w:r w:rsidR="007A6FC7" w:rsidRPr="007A6FC7">
        <w:rPr>
          <w:rFonts w:ascii="Times New Roman" w:hAnsi="Times New Roman" w:cs="Times New Roman"/>
          <w:noProof/>
          <w:color w:val="000000" w:themeColor="text1"/>
          <w:sz w:val="24"/>
          <w:szCs w:val="24"/>
          <w:vertAlign w:val="superscript"/>
          <w:lang w:eastAsia="en-IE"/>
        </w:rPr>
        <w:footnoteReference w:id="47"/>
      </w:r>
      <w:r>
        <w:rPr>
          <w:rFonts w:ascii="Times New Roman" w:hAnsi="Times New Roman"/>
          <w:noProof/>
          <w:color w:val="000000" w:themeColor="text1"/>
          <w:sz w:val="24"/>
        </w:rPr>
        <w:t xml:space="preserve"> te će 2025. pokrenuti projekt za povećanje otpornosti na klimatske promjene na radnim mjestima.</w:t>
      </w:r>
    </w:p>
    <w:p w14:paraId="4496ABC6" w14:textId="667CF84F" w:rsidR="0060302A" w:rsidRPr="00915255" w:rsidRDefault="00DC3522"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Unaprijediti Europski opservatorij za klimu i zdravlje</w:t>
      </w:r>
      <w:r>
        <w:rPr>
          <w:rFonts w:ascii="Times New Roman" w:hAnsi="Times New Roman"/>
          <w:noProof/>
          <w:color w:val="000000" w:themeColor="text1"/>
          <w:sz w:val="24"/>
        </w:rPr>
        <w:t>, koji pomaže u pripremi lokalnih i nacionalnih zdravstvenih sustava za klimatske promjene, izgradnji dodatnih kapaciteta, jačanju mehanizama praćenja i ranog upozoravanja, osposobljavanju i obrazovanju radne snage u zdravstvu te promicanju rješenja za prilagodbu i zdravstvenih intervencija utemeljenih na dokazima.</w:t>
      </w:r>
    </w:p>
    <w:p w14:paraId="51FEC4ED" w14:textId="1A5BB866" w:rsidR="00EF5B4A" w:rsidRDefault="00EF5B4A" w:rsidP="00A632E5">
      <w:pPr>
        <w:spacing w:after="120"/>
        <w:jc w:val="both"/>
        <w:rPr>
          <w:rFonts w:ascii="Times New Roman" w:hAnsi="Times New Roman" w:cs="Times New Roman"/>
          <w:noProof/>
          <w:color w:val="000000"/>
          <w:sz w:val="24"/>
          <w:szCs w:val="24"/>
        </w:rPr>
      </w:pPr>
      <w:r>
        <w:rPr>
          <w:rFonts w:ascii="Times New Roman" w:hAnsi="Times New Roman"/>
          <w:noProof/>
          <w:color w:val="000000"/>
          <w:sz w:val="24"/>
          <w:u w:val="single"/>
        </w:rPr>
        <w:t>Ojačati mehanizme nadzora i odgovora na prijetnje zdravlju povezane s klimom</w:t>
      </w:r>
      <w:r>
        <w:rPr>
          <w:rFonts w:ascii="Times New Roman" w:hAnsi="Times New Roman"/>
          <w:noProof/>
          <w:color w:val="000000"/>
          <w:sz w:val="24"/>
        </w:rPr>
        <w:t>, i to provedbom Uredbe o ozbiljnim prekograničnim prijetnjama zdravlju, odnosno povezivanjem sustava ranog upozorenja i odgovora s drugim sustavima upozoravanja (kao što su sustavi za upozoravanje na klimatske i vremenske uvjete) kako bi se olakšalo zajedničko upravljanje zdravstvenim rizicima. Nova radna skupina EU-a za zdravlje podupirat će odgovor na razini EU-a na ozbiljne prijetnje zdravlju, uključujući događaje povezane s klimom.</w:t>
      </w:r>
    </w:p>
    <w:p w14:paraId="0D5AA4A9" w14:textId="13D85CD7" w:rsidR="00FA23AA" w:rsidRPr="001A3A0E" w:rsidRDefault="00F2355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Pojačati prekograničnu mobilizaciju medicinskog osoblja i prekogranični transfer pacijenata</w:t>
      </w:r>
      <w:r>
        <w:rPr>
          <w:rFonts w:ascii="Times New Roman" w:hAnsi="Times New Roman"/>
          <w:noProof/>
          <w:color w:val="000000" w:themeColor="text1"/>
          <w:sz w:val="24"/>
        </w:rPr>
        <w:t xml:space="preserve">, primjerice razvojem okvira za potporu državama članicama s preopterećenim zdravstvenim uslugama. </w:t>
      </w:r>
    </w:p>
    <w:p w14:paraId="5CD4C242" w14:textId="5F333800" w:rsidR="00A632E5" w:rsidRPr="00B2476E" w:rsidRDefault="00934538"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Osigurati pristup najvažnijim medicinskim protumjerama i njihov razvoj</w:t>
      </w:r>
      <w:r>
        <w:rPr>
          <w:rFonts w:ascii="Times New Roman" w:hAnsi="Times New Roman"/>
          <w:noProof/>
          <w:color w:val="000000" w:themeColor="text1"/>
          <w:sz w:val="24"/>
        </w:rPr>
        <w:t>. Porast temperature i češći ekstremni vremenski uvjeti mogu poremetiti proizvodnju ili ograničiti pristup sirovinama. Osim toga, promjene obrazaca bolesti uzrokovane klimatskim promjenama mogu dovesti do neočekivanog porasta potražnje za određenim lijekovima ili do potražnje za potpuno novim proizvodima, što bi moglo preopteretiti postojeće lance opskrbe ili dovesti do potrebe za ulaganjem u nove lance opskrbe. Kako bi se smanjile slabosti, Komisija će procijeniti relevantne rizike i dodatno razviti strateške zalihe za ključne protumjere. U okviru programa Obzor Europa i „EU za zdravlje” Komisija podupire razvoj novih cjepiva i terapeutika protiv zanemarenih tropskih i novih zaraznih bolesti. To je, primjerice, omogućilo nedavni napredak u razvoju cjepiva protiv virusa chikungunya.</w:t>
      </w:r>
    </w:p>
    <w:p w14:paraId="686FCC0B" w14:textId="77777777" w:rsidR="00FE74B1" w:rsidRPr="00B2476E" w:rsidRDefault="00FE74B1" w:rsidP="00A632E5">
      <w:pPr>
        <w:spacing w:after="120"/>
        <w:jc w:val="both"/>
        <w:rPr>
          <w:rFonts w:ascii="Times New Roman" w:hAnsi="Times New Roman" w:cs="Times New Roman"/>
          <w:noProof/>
          <w:color w:val="000000" w:themeColor="text1"/>
          <w:sz w:val="24"/>
          <w:szCs w:val="24"/>
          <w:lang w:eastAsia="en-IE"/>
        </w:rPr>
      </w:pPr>
    </w:p>
    <w:p w14:paraId="73172863" w14:textId="761F2B3B"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54" w:name="_Toc159792210"/>
      <w:r>
        <w:rPr>
          <w:rFonts w:ascii="Times New Roman" w:hAnsi="Times New Roman"/>
          <w:b/>
          <w:noProof/>
          <w:color w:val="000000" w:themeColor="text1"/>
          <w:sz w:val="24"/>
        </w:rPr>
        <w:t>Hrana</w:t>
      </w:r>
      <w:bookmarkEnd w:id="54"/>
    </w:p>
    <w:p w14:paraId="4324F463" w14:textId="77777777" w:rsidR="00ED251E" w:rsidRDefault="00ED251E" w:rsidP="00A63CA1">
      <w:pPr>
        <w:spacing w:line="240" w:lineRule="auto"/>
        <w:jc w:val="both"/>
        <w:rPr>
          <w:rFonts w:ascii="Times New Roman" w:hAnsi="Times New Roman" w:cs="Times New Roman"/>
          <w:bCs/>
          <w:noProof/>
          <w:sz w:val="24"/>
          <w:szCs w:val="24"/>
          <w:lang w:val="en-IE" w:eastAsia="en-IE"/>
        </w:rPr>
      </w:pPr>
    </w:p>
    <w:p w14:paraId="3138714A" w14:textId="630A19A3" w:rsidR="00625A71" w:rsidRDefault="00D02150" w:rsidP="00A632E5">
      <w:pPr>
        <w:spacing w:after="120"/>
        <w:jc w:val="both"/>
        <w:rPr>
          <w:rFonts w:ascii="Times New Roman" w:hAnsi="Times New Roman" w:cs="Times New Roman"/>
          <w:bCs/>
          <w:noProof/>
          <w:sz w:val="24"/>
          <w:szCs w:val="24"/>
        </w:rPr>
      </w:pPr>
      <w:r>
        <w:rPr>
          <w:rFonts w:ascii="Times New Roman" w:hAnsi="Times New Roman"/>
          <w:noProof/>
          <w:sz w:val="24"/>
        </w:rPr>
        <w:t xml:space="preserve">Opskrba hranom u EU-u sve je više izložena klimatskim rizicima, od poljoprivredne proizvodnje, posebno u južnoj Europi, ribarstva i akvakulture do prerade hrane i međunarodnih lanaca opskrbe. Klimatske promjene utječu na četiri stupa sigurnosti opskrbe hranom u kratkoročnom, srednjoročnom i dugoročnom razdoblju: dostupnost, pristup, korištenje i stabilnost. U interakciji su, na više načina i kaskadno, s mnogim drugim čimbenicima sigurnosti opskrbe hranom, kao što su nestašica vode, višak hranjivih tvari, zdravlje tla, prehrana i zdravlje. Proizvodnja hrane posebno je ugrožena zbog poplava, toplinskih valova, suša, sve većih pritisaka nametnika i bolesti, kao i zbog gubitka bioraznolikosti, degradacije tla i promjena u migraciji riba. </w:t>
      </w:r>
    </w:p>
    <w:p w14:paraId="43C5B7A5" w14:textId="6E6E5F4C" w:rsidR="00B0505E" w:rsidRPr="00915255" w:rsidRDefault="00F81F9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Poljoprivrednicima će toplina otežati rad na otvorenom. Promjene u agroklimatskim zonama otežat će odabir usjeva i povećati stopu propadanja usjeva, dok će cijene inputa i promjenjivost svjetskih tržišta smanjiti bilancu. Kad je riječ o ribarstvu, dodatni pritisci klimatskih promjena, eutrofikacije i zakiseljavanja oceana mogu smanjiti produktivnost ribljih stokova, zbog čega bi ulov bio puno manji, i to povrh prelova nekih stokova. </w:t>
      </w:r>
      <w:bookmarkStart w:id="55" w:name="_Hlk160442132"/>
      <w:r>
        <w:rPr>
          <w:rFonts w:ascii="Times New Roman" w:hAnsi="Times New Roman"/>
          <w:noProof/>
          <w:color w:val="000000" w:themeColor="text1"/>
          <w:sz w:val="24"/>
        </w:rPr>
        <w:t>S obzirom na to da je ugrožena egzistencija i održivost proizvodnje hrane u EU-u, stvaranje mogućnosti za mjere prilagodbe na razini poljoprivrednih gospodarstava ili ribolovnih operacija neće biti dovoljno i morat će se dopuniti odgovarajućim mjerama potpore</w:t>
      </w:r>
      <w:bookmarkEnd w:id="55"/>
      <w:r>
        <w:rPr>
          <w:rFonts w:ascii="Times New Roman" w:hAnsi="Times New Roman"/>
          <w:noProof/>
          <w:color w:val="000000" w:themeColor="text1"/>
          <w:sz w:val="24"/>
        </w:rPr>
        <w:t xml:space="preserve"> za prijelaz na otpornu poljoprivredu i ribarstvo. </w:t>
      </w:r>
      <w:r>
        <w:rPr>
          <w:rFonts w:ascii="Times New Roman" w:hAnsi="Times New Roman"/>
          <w:noProof/>
          <w:sz w:val="24"/>
        </w:rPr>
        <w:t xml:space="preserve">Takvim mjerama potpore trebalo bi osigurati i da zdrava i održiva hrana i dalje bude cjenovno pristupačna i dostupna potrošačima te da poljoprivrednici imaju održive prihode. </w:t>
      </w:r>
    </w:p>
    <w:p w14:paraId="55B47773" w14:textId="5024BAD2" w:rsidR="003641C6" w:rsidRPr="00915255" w:rsidRDefault="006C1C31"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Iako uvoz hrane u EU još nije bitno ugrožen, ako dođe do istodobnog propadanja usjeva u nekoliko svjetskih regija „žitnica” ili nedostatnog ulova u velikim ribolovnim operacijama, to može potaknuti povećanje cijena hrane u EU-u (jer proizvođači iz EU-a prodaju po globalnim cijenama)</w:t>
      </w:r>
      <w:r>
        <w:rPr>
          <w:rFonts w:ascii="Times New Roman" w:hAnsi="Times New Roman"/>
          <w:noProof/>
          <w:sz w:val="24"/>
        </w:rPr>
        <w:t xml:space="preserve"> te tako utjecati na kupovnu moć potrošača i </w:t>
      </w:r>
      <w:r>
        <w:rPr>
          <w:rFonts w:ascii="Times New Roman" w:hAnsi="Times New Roman"/>
          <w:noProof/>
          <w:color w:val="000000" w:themeColor="text1"/>
          <w:sz w:val="24"/>
        </w:rPr>
        <w:t xml:space="preserve">ugroziti sigurnost opskrbe hranom i cjenovnu pristupačnost zdrave prehrane za najsiromašnija kućanstva u EU-u. Osim toga, iako to još nije sustavno, sigurnost hrane već je izložena većem riziku od toplinskih i drugih patogena. </w:t>
      </w:r>
    </w:p>
    <w:p w14:paraId="23EF1797" w14:textId="7FD8A25D" w:rsidR="00567CC4" w:rsidRDefault="00567CC4" w:rsidP="00A632E5">
      <w:pPr>
        <w:spacing w:after="120"/>
        <w:jc w:val="both"/>
        <w:rPr>
          <w:rFonts w:ascii="Times New Roman" w:hAnsi="Times New Roman" w:cs="Times New Roman"/>
          <w:bCs/>
          <w:noProof/>
          <w:sz w:val="24"/>
          <w:szCs w:val="24"/>
        </w:rPr>
      </w:pPr>
      <w:r>
        <w:rPr>
          <w:rFonts w:ascii="Times New Roman" w:hAnsi="Times New Roman"/>
          <w:noProof/>
          <w:sz w:val="24"/>
        </w:rPr>
        <w:t>Tehnološki napredak, poboljšanja u upravljanju poljoprivrednim gospodarstvima i kontinuirana prilagodba poljoprivredne prakse pridonijeli su kratkoročnoj prilagodbi klimatskim promjenama. Strategija EU-a za prilagodbu i zajednička poljoprivredna politika omogućile su mjere prilagodbe, ali vidljiva je tek ograničena strukturna pripravnost za katastrofe povezane s klimatskim promjenama. Uz to, bolje korištenje genetske raznolikosti i neštetnih biljnih genetskih resursa za prilagodbu klimatskim promjenama i otpornost na njih može pomoći poljoprivrednicima i upraviteljima zemljišta u pristupu klimatskim rizicima. Takva rješenja može poduprijeti Prijedlog uredbe o biljkama dobivenima određenim novim genomskim tehnikama te o hrani i hrani za životinje od njih</w:t>
      </w:r>
      <w:r w:rsidR="00C04ACD">
        <w:rPr>
          <w:rStyle w:val="FootnoteReference"/>
          <w:rFonts w:ascii="Times New Roman" w:hAnsi="Times New Roman" w:cs="Times New Roman"/>
          <w:bCs/>
          <w:noProof/>
          <w:sz w:val="24"/>
          <w:szCs w:val="24"/>
          <w:lang w:val="en-IE" w:eastAsia="en-IE"/>
        </w:rPr>
        <w:footnoteReference w:id="48"/>
      </w:r>
      <w:r>
        <w:rPr>
          <w:rFonts w:ascii="Times New Roman" w:hAnsi="Times New Roman"/>
          <w:noProof/>
          <w:sz w:val="24"/>
        </w:rPr>
        <w:t>.</w:t>
      </w:r>
    </w:p>
    <w:p w14:paraId="09DB08DE" w14:textId="5E10C9DB" w:rsidR="00BB3E81" w:rsidRPr="00915255" w:rsidRDefault="004840A1"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Osiguranje otpornosti proizvodnje hrane u EU-u na buduće promjene</w:t>
      </w:r>
      <w:r>
        <w:rPr>
          <w:rFonts w:ascii="Times New Roman" w:hAnsi="Times New Roman"/>
          <w:noProof/>
          <w:color w:val="000000" w:themeColor="text1"/>
          <w:sz w:val="24"/>
        </w:rPr>
        <w:t xml:space="preserve"> bit će prioritet Komisije. Komisija će nastaviti surađivati s državama članicama kako bi se iskoristio puni potencijal </w:t>
      </w:r>
      <w:r>
        <w:rPr>
          <w:rFonts w:ascii="Times New Roman" w:hAnsi="Times New Roman"/>
          <w:noProof/>
          <w:color w:val="000000" w:themeColor="text1"/>
          <w:sz w:val="24"/>
          <w:u w:val="single"/>
        </w:rPr>
        <w:t>strateških planova zajedničke poljoprivredne politike</w:t>
      </w:r>
      <w:r>
        <w:rPr>
          <w:rFonts w:ascii="Times New Roman" w:hAnsi="Times New Roman"/>
          <w:noProof/>
          <w:color w:val="000000" w:themeColor="text1"/>
          <w:sz w:val="24"/>
        </w:rPr>
        <w:t xml:space="preserve"> za povećanje otpornosti na klimatske promjene i širu upotrebu instrumenata za upravljanje rizicima. Budući da degradacija tla predstavlja veliku prijetnju našoj proizvodnji hrane, Komisija će u suradnji s državama članicama pojačati </w:t>
      </w:r>
      <w:r>
        <w:rPr>
          <w:rFonts w:ascii="Times New Roman" w:hAnsi="Times New Roman"/>
          <w:noProof/>
          <w:color w:val="000000" w:themeColor="text1"/>
          <w:sz w:val="24"/>
          <w:u w:val="single"/>
        </w:rPr>
        <w:t>praćenje zdravlja tla</w:t>
      </w:r>
      <w:r>
        <w:rPr>
          <w:rFonts w:ascii="Times New Roman" w:hAnsi="Times New Roman"/>
          <w:noProof/>
          <w:color w:val="000000" w:themeColor="text1"/>
          <w:sz w:val="24"/>
        </w:rPr>
        <w:t xml:space="preserve">. Trebalo bi bolje vrednovati doprinos poljoprivrednika zaštiti usluga ekosustava. Komisija će provesti i </w:t>
      </w:r>
      <w:r>
        <w:rPr>
          <w:rFonts w:ascii="Times New Roman" w:hAnsi="Times New Roman"/>
          <w:noProof/>
          <w:color w:val="000000" w:themeColor="text1"/>
          <w:sz w:val="24"/>
          <w:u w:val="single"/>
        </w:rPr>
        <w:t>studiju o prilagodbi u poljoprivredi</w:t>
      </w:r>
      <w:r>
        <w:rPr>
          <w:rFonts w:ascii="Times New Roman" w:hAnsi="Times New Roman"/>
          <w:noProof/>
          <w:color w:val="000000" w:themeColor="text1"/>
          <w:sz w:val="24"/>
        </w:rPr>
        <w:t>, koja će biti dovršena do kraja 2025.</w:t>
      </w:r>
    </w:p>
    <w:p w14:paraId="73E0C565" w14:textId="0FB6E462" w:rsidR="00203897" w:rsidRPr="00B2476E" w:rsidRDefault="001E4A34"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Zagrijavanje i zakiseljavanje oceana, uključujući sve više toplinskih valova i područja s niskim razinama kisika u moru, već mijenjaju konfiguraciju vrsta i utječu na riblje stokove jer se oni kreću u dublje vode i u smjeru polova. To će dovesti do nerazmjera između utvrđenih kvota i stvarnih ribolovnih mogućnosti. </w:t>
      </w:r>
      <w:r>
        <w:rPr>
          <w:rFonts w:ascii="Times New Roman" w:hAnsi="Times New Roman"/>
          <w:noProof/>
          <w:color w:val="000000" w:themeColor="text1"/>
          <w:sz w:val="24"/>
          <w:u w:val="single"/>
        </w:rPr>
        <w:t>Zajednička ribarstvena politika trebala bi uključivati pitanje utjecaja klimatskih promjena.</w:t>
      </w:r>
      <w:r>
        <w:rPr>
          <w:rFonts w:ascii="Times New Roman" w:hAnsi="Times New Roman"/>
          <w:noProof/>
          <w:color w:val="000000" w:themeColor="text1"/>
          <w:sz w:val="24"/>
        </w:rPr>
        <w:t xml:space="preserve"> U prognozama za riblje stokove potrebno je uzeti u obzir niz mogućih budućih utjecaja klimatskih promjena, a prakse upravljanja ribarstvom trebale bi biti otporne na buduće ekološke promjene. U ažuriranjima Europskog fonda za pomorstvo, ribarstvo i akvakulturu trebalo bi pitanje klimatskih rizika u potpunosti integrirati u potporu održivim praksama ribarstva i akvakulture kojima se gradi otpornost. </w:t>
      </w:r>
    </w:p>
    <w:p w14:paraId="77B59E5C" w14:textId="77777777" w:rsidR="00A632E5" w:rsidRPr="00B2476E" w:rsidRDefault="00A632E5" w:rsidP="00A632E5">
      <w:pPr>
        <w:spacing w:after="120" w:line="22" w:lineRule="atLeast"/>
        <w:jc w:val="both"/>
        <w:rPr>
          <w:rFonts w:ascii="Times New Roman" w:hAnsi="Times New Roman" w:cs="Times New Roman"/>
          <w:noProof/>
          <w:color w:val="000000" w:themeColor="text1"/>
          <w:sz w:val="24"/>
          <w:szCs w:val="24"/>
        </w:rPr>
      </w:pPr>
    </w:p>
    <w:p w14:paraId="788882B3" w14:textId="6E199F54" w:rsidR="00F94DC6" w:rsidRPr="00420C4C" w:rsidRDefault="00F94DC6" w:rsidP="00B11E0C">
      <w:pPr>
        <w:pStyle w:val="Heading3"/>
        <w:numPr>
          <w:ilvl w:val="1"/>
          <w:numId w:val="1"/>
        </w:numPr>
        <w:spacing w:line="259" w:lineRule="auto"/>
        <w:ind w:left="1565" w:hanging="431"/>
        <w:rPr>
          <w:rFonts w:ascii="Times New Roman" w:eastAsia="Times New Roman" w:hAnsi="Times New Roman" w:cs="Times New Roman"/>
          <w:b/>
          <w:bCs/>
          <w:noProof/>
          <w:color w:val="000000" w:themeColor="text1"/>
          <w:sz w:val="24"/>
          <w:szCs w:val="24"/>
        </w:rPr>
      </w:pPr>
      <w:bookmarkStart w:id="56" w:name="_Toc157586314"/>
      <w:bookmarkStart w:id="57" w:name="_Toc157587675"/>
      <w:bookmarkStart w:id="58" w:name="_Toc157587791"/>
      <w:bookmarkStart w:id="59" w:name="_Toc159792211"/>
      <w:bookmarkEnd w:id="56"/>
      <w:bookmarkEnd w:id="57"/>
      <w:bookmarkEnd w:id="58"/>
      <w:r>
        <w:rPr>
          <w:rFonts w:ascii="Times New Roman" w:hAnsi="Times New Roman"/>
          <w:b/>
          <w:noProof/>
          <w:color w:val="000000" w:themeColor="text1"/>
          <w:sz w:val="24"/>
        </w:rPr>
        <w:t>Infrastruktura i izgrađeni okoliš</w:t>
      </w:r>
      <w:bookmarkEnd w:id="59"/>
      <w:r>
        <w:rPr>
          <w:rFonts w:ascii="Times New Roman" w:hAnsi="Times New Roman"/>
          <w:b/>
          <w:noProof/>
          <w:color w:val="000000" w:themeColor="text1"/>
          <w:sz w:val="24"/>
        </w:rPr>
        <w:t xml:space="preserve"> </w:t>
      </w:r>
    </w:p>
    <w:p w14:paraId="1C395910" w14:textId="77777777" w:rsidR="00ED251E" w:rsidRPr="00420C4C" w:rsidRDefault="00ED251E" w:rsidP="00FE40B8">
      <w:pPr>
        <w:spacing w:line="240" w:lineRule="auto"/>
        <w:jc w:val="both"/>
        <w:rPr>
          <w:rFonts w:ascii="Times New Roman" w:hAnsi="Times New Roman" w:cs="Times New Roman"/>
          <w:b/>
          <w:bCs/>
          <w:noProof/>
          <w:color w:val="000000" w:themeColor="text1"/>
          <w:sz w:val="24"/>
          <w:szCs w:val="24"/>
          <w:lang w:val="en-IE" w:eastAsia="en-IE"/>
        </w:rPr>
      </w:pPr>
    </w:p>
    <w:p w14:paraId="3C96E1D3" w14:textId="76644C0E" w:rsidR="00610647" w:rsidRDefault="002A7034"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Infrastrukturna imovina izložena je znatnom riziku od poplava, požara u prirodi, visokih temperatura i drugih ekstremnih događaja, koji mogu nanijeti golemu štetu. Gubitak pristupa energiji, prijevozu i sredstvima komunikacije može brzo poremetiti društva. Trenutačno ne postoje pouzdane procjene kako će infrastruktura EU-a moći funkcionirati u promjenjivim klimatskim uvjetima. Kritična infrastruktura i fond zgrada brzo stare. S obzirom na nedostatak znanja i dojam da su troškovi previsoki, državama članicama teško je planirati i poduzimati velike radove za prilagodbu infrastrukture, čak i ako šteta uzrokovana samo jednom katastrofom može prouzročiti troškove višestruko veće od dostupnih infrastrukturnih fondova EU-a.</w:t>
      </w:r>
    </w:p>
    <w:p w14:paraId="462DD9E2" w14:textId="225B4505" w:rsidR="00B0505E" w:rsidRPr="00915255" w:rsidRDefault="002E08D6"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 xml:space="preserve">EU-ovi ciljevi povećanja stopa obnove i dekarbonizacije gospodarstva prilika su za povećanje otpornosti na klimatske promjene. Prilikom projektiranja izgrađenog okoliša određuje se otpornost samih zgrada i njihovih stanovnika. Trebalo bi maksimalno povećati dodatne koristi od prilagodbe stambenih objekata na klimatske promjene u smislu cjenovne pristupačnosti, zdravijeg životnog okruženja i poboljšane energetske učinkovitosti. Uz snažan horizontalni nadzor sistemskih rizika povezanih s infrastrukturom i njezinom lokacijom u sklopu prostornog planiranja, potrebna su i rješenja specifičnija za pojedine sektore. </w:t>
      </w:r>
    </w:p>
    <w:p w14:paraId="168B4D7D" w14:textId="2F2E7B73" w:rsidR="001C34D5" w:rsidRDefault="006C33BE" w:rsidP="00A632E5">
      <w:pPr>
        <w:pStyle w:val="Text1"/>
        <w:spacing w:after="120" w:line="259" w:lineRule="auto"/>
        <w:ind w:left="0"/>
        <w:rPr>
          <w:rFonts w:eastAsiaTheme="minorEastAsia"/>
          <w:noProof/>
          <w:color w:val="000000" w:themeColor="text1"/>
        </w:rPr>
      </w:pPr>
      <w:r>
        <w:rPr>
          <w:noProof/>
          <w:color w:val="000000" w:themeColor="text1"/>
          <w:u w:val="single"/>
        </w:rPr>
        <w:t>Potrebno je postrožiti standarde za infrastrukturu.</w:t>
      </w:r>
      <w:r>
        <w:rPr>
          <w:noProof/>
          <w:color w:val="000000" w:themeColor="text1"/>
        </w:rPr>
        <w:t xml:space="preserve"> Komisija će od europskih organizacija za normizaciju zatražiti da pitanja prilagodbe klimatskim promjenama i otpornosti na njih uključe u europske norme za projektiranje infrastrukture sa životnim ciklusom duljim od 30 godina, kao što su elektrane ili željeznice, i da razviju nove standarde za klimatske usluge. </w:t>
      </w:r>
    </w:p>
    <w:p w14:paraId="1E299923" w14:textId="188D20CD" w:rsidR="002E08D6" w:rsidRPr="0044238F" w:rsidRDefault="008C1507" w:rsidP="00A632E5">
      <w:pPr>
        <w:pStyle w:val="Text1"/>
        <w:spacing w:after="120" w:line="259" w:lineRule="auto"/>
        <w:ind w:left="0"/>
        <w:rPr>
          <w:noProof/>
          <w:color w:val="000000" w:themeColor="text1"/>
          <w:u w:val="single"/>
        </w:rPr>
      </w:pPr>
      <w:r>
        <w:rPr>
          <w:noProof/>
          <w:color w:val="000000" w:themeColor="text1"/>
        </w:rPr>
        <w:t>Za 2026. planira se ažuriranje standarda (Eurocodes</w:t>
      </w:r>
      <w:r w:rsidR="005D61D6" w:rsidRPr="00C72C70">
        <w:rPr>
          <w:rStyle w:val="FootnoteReference"/>
          <w:noProof/>
          <w:color w:val="000000" w:themeColor="text1"/>
        </w:rPr>
        <w:footnoteReference w:id="49"/>
      </w:r>
      <w:r>
        <w:rPr>
          <w:noProof/>
          <w:color w:val="000000" w:themeColor="text1"/>
        </w:rPr>
        <w:t>) za zgrade, kojima se utvrđuju minimalni zahtjevi za projektiranje konstrukcija u EU-u, i tada će se uvesti obveza uzimanja u obzir budućih klimatskih opasnosti za konstrukcije zgrada. Komisija provodi pilot-studije i pripremit će smjernice za države članice o upotrebi slobodno dostupnih skupova podataka o klimi kako bi se definiralo očekivano klimatsko opterećenje na njihovu državnom području.</w:t>
      </w:r>
    </w:p>
    <w:p w14:paraId="2704B49F" w14:textId="3E7C843D" w:rsidR="00755280" w:rsidRPr="00212438" w:rsidRDefault="006805D3" w:rsidP="0044238F">
      <w:pPr>
        <w:pStyle w:val="Text1"/>
        <w:spacing w:after="120" w:line="259" w:lineRule="auto"/>
        <w:ind w:left="0"/>
        <w:rPr>
          <w:noProof/>
          <w:color w:val="000000" w:themeColor="text1"/>
        </w:rPr>
      </w:pPr>
      <w:r>
        <w:rPr>
          <w:noProof/>
          <w:color w:val="000000" w:themeColor="text1"/>
        </w:rPr>
        <w:t xml:space="preserve">Festival novog europskog Bauhausa u travnju 2024. odlična je prilika za dijalog s raznim dionicima u građevinskoj industriji kako bi se promicalo bolje uključivanje pitanja prilagodbe klimatskim promjenama i otpornosti na njih u taj sektor. </w:t>
      </w:r>
    </w:p>
    <w:p w14:paraId="24F619D5" w14:textId="703471F5" w:rsidR="00B2668D" w:rsidRPr="00B2668D" w:rsidRDefault="00B2668D" w:rsidP="0044238F">
      <w:pPr>
        <w:pStyle w:val="Text1"/>
        <w:spacing w:after="120" w:line="259" w:lineRule="auto"/>
        <w:ind w:left="0"/>
        <w:rPr>
          <w:noProof/>
          <w:color w:val="000000" w:themeColor="text1"/>
          <w:szCs w:val="24"/>
        </w:rPr>
      </w:pPr>
      <w:r>
        <w:rPr>
          <w:noProof/>
          <w:color w:val="000000" w:themeColor="text1"/>
        </w:rPr>
        <w:t xml:space="preserve">Svoj </w:t>
      </w:r>
      <w:r>
        <w:rPr>
          <w:noProof/>
          <w:color w:val="000000" w:themeColor="text1"/>
          <w:u w:val="single"/>
        </w:rPr>
        <w:t>prometnoj infrastrukturi</w:t>
      </w:r>
      <w:r>
        <w:rPr>
          <w:noProof/>
          <w:color w:val="000000" w:themeColor="text1"/>
        </w:rPr>
        <w:t xml:space="preserve"> prijete rizici povezani s klimatskim promjenama. Međutim, kad je riječ o otpornosti europske prometne infrastrukture na utjecaje klimatskih promjena, u EU-u postoje nedostaci u znanju u smislu izloženosti riziku, potreba za prilagodbom i rješenja te potreba za ulaganjem u rješavanje tih pitanja. Komisija će svojim revidiranim smjernicama za razvoj transeuropske prometne mreže (TEN-T) podupirati procjene klimatskih rizika i pripremu za klimatske promjene. Pokrenula je studiju</w:t>
      </w:r>
      <w:r w:rsidRPr="00B2668D">
        <w:rPr>
          <w:noProof/>
          <w:color w:val="000000" w:themeColor="text1"/>
          <w:szCs w:val="24"/>
          <w:vertAlign w:val="superscript"/>
        </w:rPr>
        <w:footnoteReference w:id="50"/>
      </w:r>
      <w:r>
        <w:rPr>
          <w:noProof/>
          <w:color w:val="000000" w:themeColor="text1"/>
        </w:rPr>
        <w:t xml:space="preserve"> o otpornosti mreže TEN-T na klimatske promjene kao prvi korak prema uklanjanju utvrđenih nedostataka u znanju i utvrđivanju potreba za prilagodbom i prioriteta ulaganja.</w:t>
      </w:r>
    </w:p>
    <w:p w14:paraId="5502F2B0" w14:textId="1B4AD37C" w:rsidR="00203897" w:rsidRDefault="00661145"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Potrebno je pojačati planiranje s obzirom na klimatske rizike u energetskom sektoru.</w:t>
      </w:r>
      <w:r>
        <w:rPr>
          <w:rFonts w:ascii="Times New Roman" w:hAnsi="Times New Roman"/>
          <w:noProof/>
          <w:color w:val="000000" w:themeColor="text1"/>
          <w:sz w:val="24"/>
        </w:rPr>
        <w:t xml:space="preserve"> Klimatske promjene donose povećane rizike za energetsku sigurnost, posebno veći rizik od poremećaja u opskrbi električnom energijom zbog vrućine, požara, suša i poplava, koji utječu na vršno opterećenje, kao i na proizvodnju, skladištenje, prijevoz i distribuciju. Tek je nekoliko država članica u svoje nacrte ažuriranih nacionalnih energetskih i klimatskih planova uključilo detaljne planove za razmatranje prilagodbe klimatskim promjenama u kontekstu otpornosti svojih energetskih sustava. Komisija će razmotriti mogućnosti za šire uključivanje pitanja klimatskih rizika, primjerice u kontekstu tekućeg preispitivanja Uredbe o upravljanju energetskom unijom i djelovanjem u području klime. Na temelju nacionalnih planova pripravnosti u sektoru električne energije Komisija će razmotriti i pokretanje dijaloga o klimatskim rizicima s odabranim dionicima u energetskom sektoru te poziva zainteresirane dionike (npr. sektor električne energije) da iznesu prijedloge.</w:t>
      </w:r>
    </w:p>
    <w:p w14:paraId="2B70AB80" w14:textId="77777777" w:rsidR="00A632E5" w:rsidRPr="00A632E5" w:rsidRDefault="00A632E5" w:rsidP="00A632E5">
      <w:pPr>
        <w:spacing w:after="120"/>
        <w:jc w:val="both"/>
        <w:rPr>
          <w:rFonts w:ascii="Times New Roman" w:hAnsi="Times New Roman" w:cs="Times New Roman"/>
          <w:noProof/>
          <w:color w:val="000000" w:themeColor="text1"/>
          <w:sz w:val="24"/>
          <w:szCs w:val="24"/>
        </w:rPr>
      </w:pPr>
    </w:p>
    <w:p w14:paraId="7105C662" w14:textId="2DAAFFE2" w:rsidR="00F94DC6" w:rsidRPr="00420C4C" w:rsidRDefault="00F94DC6" w:rsidP="00B2476E">
      <w:pPr>
        <w:pStyle w:val="Heading3"/>
        <w:numPr>
          <w:ilvl w:val="1"/>
          <w:numId w:val="1"/>
        </w:numPr>
        <w:ind w:left="1565" w:hanging="431"/>
        <w:rPr>
          <w:rFonts w:ascii="Times New Roman" w:eastAsia="Times New Roman" w:hAnsi="Times New Roman" w:cs="Times New Roman"/>
          <w:b/>
          <w:bCs/>
          <w:noProof/>
          <w:color w:val="000000" w:themeColor="text1"/>
          <w:sz w:val="24"/>
          <w:szCs w:val="24"/>
        </w:rPr>
      </w:pPr>
      <w:bookmarkStart w:id="60" w:name="_Toc157587793"/>
      <w:bookmarkStart w:id="61" w:name="_Toc159792212"/>
      <w:bookmarkEnd w:id="60"/>
      <w:r>
        <w:rPr>
          <w:rFonts w:ascii="Times New Roman" w:hAnsi="Times New Roman"/>
          <w:b/>
          <w:noProof/>
          <w:color w:val="000000" w:themeColor="text1"/>
          <w:sz w:val="24"/>
        </w:rPr>
        <w:t>Gospodarstvo</w:t>
      </w:r>
      <w:bookmarkEnd w:id="61"/>
    </w:p>
    <w:p w14:paraId="11C6503F" w14:textId="77777777" w:rsidR="00ED251E" w:rsidRDefault="00ED251E" w:rsidP="00FE40B8">
      <w:pPr>
        <w:spacing w:line="240" w:lineRule="auto"/>
        <w:jc w:val="both"/>
        <w:rPr>
          <w:rFonts w:ascii="Times New Roman" w:hAnsi="Times New Roman" w:cs="Times New Roman"/>
          <w:bCs/>
          <w:noProof/>
          <w:color w:val="000000" w:themeColor="text1"/>
          <w:sz w:val="24"/>
          <w:szCs w:val="24"/>
          <w:lang w:val="en-IE" w:eastAsia="en-IE"/>
        </w:rPr>
      </w:pPr>
    </w:p>
    <w:p w14:paraId="4483C1FD" w14:textId="7BC3D33C" w:rsidR="003538B8" w:rsidRDefault="00363162" w:rsidP="00A632E5">
      <w:pPr>
        <w:spacing w:after="120"/>
        <w:jc w:val="both"/>
        <w:rPr>
          <w:rFonts w:ascii="Times New Roman" w:hAnsi="Times New Roman" w:cs="Times New Roman"/>
          <w:bCs/>
          <w:noProof/>
          <w:color w:val="000000" w:themeColor="text1"/>
          <w:sz w:val="24"/>
          <w:szCs w:val="24"/>
        </w:rPr>
      </w:pPr>
      <w:r>
        <w:rPr>
          <w:rFonts w:ascii="Times New Roman" w:hAnsi="Times New Roman"/>
          <w:noProof/>
          <w:color w:val="000000" w:themeColor="text1"/>
          <w:sz w:val="24"/>
        </w:rPr>
        <w:t>Svaka katastrofa povezana s klimatskim promjenama dodatno će opteretiti gospodarstvo zbog gubitka produktivnosti i života, izravne štete, smanjenog potencijala za rast i pritiska na javne proračune. Ako se ulaganje preusmjeri na obnovu nakon nastanka štete, smanjuje se iznos raspoloživ za produktivna ulaganja. Interakcije među raznim dijelovima financijskog sustava nisu potpuno jasne, a postojeća osjetljivost tih sustava može zbog klimatskih rizika premašiti kritične pragove. Državni proračuni glavni su izvor pokrića za te rizike, ali već su opterećeni velikim dugovima. Implicitne nepredviđene obveze koje proizlaze iz klimatskih rizika mogle bi ugroziti fiskalnu stabilnost i održivost država članica. Rizici za gospodarstvo EU-a mogli bi biti znatni</w:t>
      </w:r>
      <w:r w:rsidR="003057A0" w:rsidRPr="00915255">
        <w:rPr>
          <w:rStyle w:val="FootnoteReference"/>
          <w:rFonts w:ascii="Times New Roman" w:hAnsi="Times New Roman" w:cs="Times New Roman"/>
          <w:bCs/>
          <w:noProof/>
          <w:color w:val="000000" w:themeColor="text1"/>
          <w:sz w:val="24"/>
          <w:szCs w:val="24"/>
          <w:lang w:val="en-IE" w:eastAsia="en-IE"/>
        </w:rPr>
        <w:footnoteReference w:id="51"/>
      </w:r>
      <w:r>
        <w:rPr>
          <w:rFonts w:ascii="Times New Roman" w:hAnsi="Times New Roman"/>
          <w:noProof/>
          <w:color w:val="000000" w:themeColor="text1"/>
          <w:sz w:val="24"/>
        </w:rPr>
        <w:t xml:space="preserve">. </w:t>
      </w:r>
    </w:p>
    <w:p w14:paraId="723168AD" w14:textId="65AE64DE" w:rsidR="00463C23" w:rsidRPr="00915255" w:rsidRDefault="006A2290"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Gospodarska sigurnost EU-a također je izložena klimatskim rizicima u lancima opskrbe, posebno za lijekove i poluvodiče. S obzirom na postojeće nedostatke u podacima i znanju, nije isključeno da se rizici povezani s klimom trenutačno podcjenjuju. To može dovesti do neurednih reakcija na tržištu, na primjer kada dođe ili postane vjerojatno da će doći do ekstremnog događaja. Pokrivenost osiguranjem imovine izložene klimatskim promjenama u EU-u je niska, uz znatne razlike među državama članicama i opasnostima povezanima s klimom, te će se vjerojatno dodatno smanjiti s obzirom na porast premija zbog povećanja učestalosti i ozbiljnosti događaja povezanih s klimom. Poduzima se mnogo toga u području raznih rizika za održivost, posebno u okviru strategije EU-a za održivo financiranje i dijaloga o otpornosti na klimatske promjene, kojim se želi premostiti jaz u osiguranju za zaštitu od klime</w:t>
      </w:r>
      <w:r w:rsidR="00FD6FC6">
        <w:rPr>
          <w:rStyle w:val="FootnoteReference"/>
          <w:rFonts w:ascii="Times New Roman" w:hAnsi="Times New Roman" w:cs="Times New Roman"/>
          <w:bCs/>
          <w:noProof/>
          <w:color w:val="000000" w:themeColor="text1"/>
          <w:sz w:val="24"/>
          <w:szCs w:val="24"/>
          <w:lang w:val="en-IE" w:eastAsia="en-IE"/>
        </w:rPr>
        <w:footnoteReference w:id="52"/>
      </w:r>
      <w:r>
        <w:rPr>
          <w:rFonts w:ascii="Times New Roman" w:hAnsi="Times New Roman"/>
          <w:noProof/>
          <w:color w:val="000000" w:themeColor="text1"/>
          <w:sz w:val="24"/>
        </w:rPr>
        <w:t xml:space="preserve">. </w:t>
      </w:r>
    </w:p>
    <w:p w14:paraId="70E72712" w14:textId="6E60782E" w:rsidR="003C5D9C" w:rsidRDefault="00453D4B"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EU je već poduzeo važne korake za mobilizaciju globalnog djelovanja u području klime i trgovine. Koalicija ministara trgovine za klimu</w:t>
      </w:r>
      <w:r w:rsidRPr="00915255">
        <w:rPr>
          <w:rFonts w:ascii="Times New Roman" w:hAnsi="Times New Roman" w:cs="Times New Roman"/>
          <w:noProof/>
          <w:color w:val="000000" w:themeColor="text1"/>
          <w:sz w:val="24"/>
          <w:szCs w:val="24"/>
          <w:vertAlign w:val="superscript"/>
          <w:lang w:val="en-IE" w:eastAsia="en-IE"/>
        </w:rPr>
        <w:footnoteReference w:id="53"/>
      </w:r>
      <w:r>
        <w:rPr>
          <w:rFonts w:ascii="Times New Roman" w:hAnsi="Times New Roman"/>
          <w:noProof/>
          <w:color w:val="000000" w:themeColor="text1"/>
          <w:sz w:val="24"/>
        </w:rPr>
        <w:t>, koju su pokrenuli i zajedno predvode Europska unija, Ekvador, Kenija i Novi Zeland, odraz je sve veće spoznaje među vladama da im je zbog povezanosti klime i trgovine u zajedničkom interesu da se poveća doprinos trgovine i trgovinske politike borbi protiv klimatskih promjena. Bilateralni trgovinski sporazumi EU-a mogu poslužiti kao važne platforme za suradnju s trgovinskim partnerima u pogledu djelovanja u području klime i okoliša</w:t>
      </w:r>
      <w:r w:rsidR="00FE4D6B" w:rsidRPr="00C25C60">
        <w:rPr>
          <w:rFonts w:ascii="Times New Roman" w:hAnsi="Times New Roman" w:cs="Times New Roman"/>
          <w:noProof/>
          <w:color w:val="000000" w:themeColor="text1"/>
          <w:sz w:val="24"/>
          <w:szCs w:val="24"/>
          <w:vertAlign w:val="superscript"/>
          <w:lang w:eastAsia="en-IE"/>
        </w:rPr>
        <w:footnoteReference w:id="54"/>
      </w:r>
      <w:r>
        <w:rPr>
          <w:rFonts w:ascii="Times New Roman" w:hAnsi="Times New Roman"/>
          <w:noProof/>
          <w:color w:val="000000" w:themeColor="text1"/>
          <w:sz w:val="24"/>
        </w:rPr>
        <w:t xml:space="preserve">. </w:t>
      </w:r>
    </w:p>
    <w:p w14:paraId="46F23799" w14:textId="258ED593" w:rsidR="007D4C6B" w:rsidRPr="00915255" w:rsidRDefault="001C7367"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rPr>
        <w:t xml:space="preserve">Rizici povezani s klimom velika su opasnost za </w:t>
      </w:r>
      <w:r>
        <w:rPr>
          <w:rFonts w:ascii="Times New Roman" w:hAnsi="Times New Roman"/>
          <w:noProof/>
          <w:color w:val="000000" w:themeColor="text1"/>
          <w:sz w:val="24"/>
          <w:u w:val="single"/>
        </w:rPr>
        <w:t>otpornost poduzeća iz EU-a, posebno MSP-ova</w:t>
      </w:r>
      <w:r>
        <w:rPr>
          <w:rFonts w:ascii="Times New Roman" w:hAnsi="Times New Roman"/>
          <w:noProof/>
          <w:color w:val="000000" w:themeColor="text1"/>
          <w:sz w:val="24"/>
        </w:rPr>
        <w:t>. Klimatski rizici utječu na pristup MSP-ova financiranju, njihov trošak kapitala i njihovu sposobnost otplate dugova</w:t>
      </w:r>
      <w:r w:rsidR="00F74E4A">
        <w:rPr>
          <w:rStyle w:val="FootnoteReference"/>
          <w:rFonts w:ascii="Times New Roman" w:hAnsi="Times New Roman" w:cs="Times New Roman"/>
          <w:noProof/>
          <w:color w:val="000000" w:themeColor="text1"/>
          <w:sz w:val="24"/>
          <w:szCs w:val="24"/>
          <w:lang w:val="en-IE" w:eastAsia="en-IE"/>
        </w:rPr>
        <w:footnoteReference w:id="55"/>
      </w:r>
      <w:r>
        <w:rPr>
          <w:rFonts w:ascii="Times New Roman" w:hAnsi="Times New Roman"/>
          <w:noProof/>
          <w:color w:val="000000" w:themeColor="text1"/>
          <w:sz w:val="24"/>
        </w:rPr>
        <w:t>. Gotovo polovina poduzeća iz EU-a zabrinuta je zbog prirodnih opasnosti, ali manje od trećine njih ulaže ili planira ulagati u ublažavanje utjecaja rizika od prirodnih opasnosti</w:t>
      </w:r>
      <w:r w:rsidR="001A31EC" w:rsidRPr="00915255">
        <w:rPr>
          <w:rFonts w:ascii="Times New Roman" w:hAnsi="Times New Roman" w:cs="Times New Roman"/>
          <w:noProof/>
          <w:color w:val="000000" w:themeColor="text1"/>
          <w:sz w:val="24"/>
          <w:szCs w:val="24"/>
          <w:vertAlign w:val="superscript"/>
          <w:lang w:val="en-IE" w:eastAsia="en-IE"/>
        </w:rPr>
        <w:footnoteReference w:id="56"/>
      </w:r>
      <w:r>
        <w:rPr>
          <w:rFonts w:ascii="Times New Roman" w:hAnsi="Times New Roman"/>
          <w:noProof/>
          <w:color w:val="000000" w:themeColor="text1"/>
          <w:sz w:val="24"/>
        </w:rPr>
        <w:t>.</w:t>
      </w:r>
      <w:r>
        <w:rPr>
          <w:rFonts w:ascii="Times New Roman" w:hAnsi="Times New Roman"/>
          <w:noProof/>
          <w:color w:val="000000" w:themeColor="text1"/>
          <w:sz w:val="24"/>
          <w:vertAlign w:val="superscript"/>
        </w:rPr>
        <w:t xml:space="preserve"> </w:t>
      </w:r>
      <w:r>
        <w:rPr>
          <w:rFonts w:ascii="Times New Roman" w:hAnsi="Times New Roman"/>
          <w:noProof/>
          <w:color w:val="000000" w:themeColor="text1"/>
          <w:sz w:val="24"/>
        </w:rPr>
        <w:t>Kako je utvrđeno u strategiji EU-a za MSP-ove, bitno je pružiti potporu MSP-ovima u razumijevanju i ublažavanju rizika za okoliš</w:t>
      </w:r>
      <w:r w:rsidR="00BD486C" w:rsidRPr="001A3A0E">
        <w:rPr>
          <w:rStyle w:val="FootnoteReference"/>
          <w:rFonts w:ascii="Times New Roman" w:hAnsi="Times New Roman" w:cs="Times New Roman"/>
          <w:noProof/>
          <w:color w:val="000000" w:themeColor="text1"/>
          <w:sz w:val="24"/>
          <w:szCs w:val="24"/>
          <w:lang w:val="en-IE" w:eastAsia="en-IE"/>
        </w:rPr>
        <w:footnoteReference w:id="57"/>
      </w:r>
      <w:r>
        <w:rPr>
          <w:rFonts w:ascii="Times New Roman" w:hAnsi="Times New Roman"/>
          <w:noProof/>
          <w:color w:val="000000" w:themeColor="text1"/>
          <w:sz w:val="24"/>
        </w:rPr>
        <w:t>. U okviru provedbe europske strategije gospodarske sigurnosti</w:t>
      </w:r>
      <w:r w:rsidR="00D95E11" w:rsidRPr="001A3A0E">
        <w:rPr>
          <w:rStyle w:val="FootnoteReference"/>
          <w:rFonts w:ascii="Times New Roman" w:hAnsi="Times New Roman" w:cs="Times New Roman"/>
          <w:noProof/>
          <w:color w:val="000000" w:themeColor="text1"/>
          <w:sz w:val="24"/>
          <w:szCs w:val="24"/>
          <w:lang w:val="en-IE" w:eastAsia="en-IE"/>
        </w:rPr>
        <w:footnoteReference w:id="58"/>
      </w:r>
      <w:r>
        <w:rPr>
          <w:rFonts w:ascii="Times New Roman" w:hAnsi="Times New Roman"/>
          <w:noProof/>
          <w:color w:val="000000" w:themeColor="text1"/>
          <w:sz w:val="24"/>
        </w:rPr>
        <w:t xml:space="preserve"> Komisija će razmotriti i klimatske rizike. Mjere utvrđene u paketu olakšica za MSP-ove</w:t>
      </w:r>
      <w:r w:rsidR="0086628C" w:rsidRPr="00D45989">
        <w:rPr>
          <w:rStyle w:val="FootnoteReference"/>
          <w:rFonts w:ascii="Times New Roman" w:hAnsi="Times New Roman"/>
          <w:noProof/>
          <w:color w:val="000000" w:themeColor="text1"/>
          <w:sz w:val="24"/>
          <w:lang w:val="en-IE"/>
        </w:rPr>
        <w:footnoteReference w:id="59"/>
      </w:r>
      <w:r>
        <w:rPr>
          <w:rFonts w:ascii="Times New Roman" w:hAnsi="Times New Roman"/>
          <w:noProof/>
          <w:color w:val="000000" w:themeColor="text1"/>
          <w:sz w:val="24"/>
        </w:rPr>
        <w:t>, kojima se nastoji, među ostalim, MSP-ovima olakšati pristup održivom financiranju uz istodobno smanjenje administrativnog opterećenja, pomoći će poduzećima iz EU-a i da zadrže svoj konkurentni položaj i potencijalno potaknu i predvode razvoj tržišta u segmentima u kojima se izgrađuje otpornost na klimatske promjene. To obuhvaća potporu društvu i zauzimanje znatnog udjela na globalnom tržištu tehnologija i informacijskih sustava za otpornost na klimatske promjene i upravljanje klimatskim rizicima. Kako bi se poboljšala sustavna otpornost lanaca opskrbe EU-a, Komisija će razmotriti potencijal provjere fizičkih klimatskih rizika u kontekstu praćenja osjetljivosti lanaca opskrbe.</w:t>
      </w:r>
    </w:p>
    <w:p w14:paraId="77DF6DCE" w14:textId="29FBD71F" w:rsidR="00211506" w:rsidRPr="001A3A0E" w:rsidRDefault="00211506" w:rsidP="00A632E5">
      <w:pPr>
        <w:spacing w:after="120"/>
        <w:jc w:val="both"/>
        <w:rPr>
          <w:rFonts w:ascii="Times New Roman" w:hAnsi="Times New Roman" w:cs="Times New Roman"/>
          <w:noProof/>
          <w:color w:val="000000" w:themeColor="text1"/>
          <w:sz w:val="24"/>
          <w:szCs w:val="24"/>
        </w:rPr>
      </w:pPr>
      <w:bookmarkStart w:id="62" w:name="_Hlk160800506"/>
      <w:r>
        <w:rPr>
          <w:rFonts w:ascii="Times New Roman" w:hAnsi="Times New Roman"/>
          <w:noProof/>
          <w:color w:val="000000" w:themeColor="text1"/>
          <w:sz w:val="24"/>
          <w:u w:val="single"/>
        </w:rPr>
        <w:t>Postoji jasna potreba za povećanjem fiskalne održivosti</w:t>
      </w:r>
      <w:r>
        <w:rPr>
          <w:rFonts w:ascii="Times New Roman" w:hAnsi="Times New Roman"/>
          <w:noProof/>
          <w:color w:val="000000" w:themeColor="text1"/>
          <w:sz w:val="24"/>
        </w:rPr>
        <w:t>. Očekuje se da će privremeni dogovor o novom okviru za gospodarsko upravljanje</w:t>
      </w:r>
      <w:r>
        <w:rPr>
          <w:rFonts w:ascii="Times New Roman" w:hAnsi="Times New Roman"/>
          <w:noProof/>
          <w:color w:val="000000"/>
          <w:sz w:val="24"/>
        </w:rPr>
        <w:t xml:space="preserve"> povećati fiskalnu održivost i promicati rast provedbom reformi i ulaganja, posebno onih usmjerenih na zajedničke prioritete EU-a, kao što je klimatska tranzicija</w:t>
      </w:r>
      <w:r w:rsidRPr="00915255">
        <w:rPr>
          <w:rFonts w:ascii="Times New Roman" w:hAnsi="Times New Roman" w:cs="Times New Roman"/>
          <w:noProof/>
          <w:color w:val="000000" w:themeColor="text1"/>
          <w:sz w:val="24"/>
          <w:szCs w:val="24"/>
          <w:vertAlign w:val="superscript"/>
          <w:lang w:val="en-IE" w:eastAsia="en-IE"/>
        </w:rPr>
        <w:footnoteReference w:id="60"/>
      </w:r>
      <w:r>
        <w:rPr>
          <w:rFonts w:ascii="Times New Roman" w:hAnsi="Times New Roman"/>
          <w:noProof/>
          <w:color w:val="000000"/>
          <w:sz w:val="24"/>
        </w:rPr>
        <w:t>.</w:t>
      </w:r>
      <w:r>
        <w:rPr>
          <w:rFonts w:ascii="Times New Roman" w:hAnsi="Times New Roman"/>
          <w:noProof/>
          <w:color w:val="000000" w:themeColor="text1"/>
          <w:sz w:val="24"/>
        </w:rPr>
        <w:t xml:space="preserve"> U tijeku je rad na razvoju predviđanja utjecaja klimatskih promjena na održivost dugova. U okviru privremenog dogovora izmjenama Direktive o nacionalnim proračunskim okvirima u nacionalne godišnje i višegodišnje proračunske planove uključuju se zahtjevi za izvješćivanje povezano s klimom. Te odredbe obuhvaćaju prijašnje podatke o gubicima uslijed katastrofa povezanih s klimatskim promjenama i procjene fiskalnih rizika od klimatskih promjena. Kako bi se izrada proračuna za klimatske rizike poboljšala i uključila u nacionalne proračunske postupke, Komisija je spremna poduprijeti države članice u razmjeni najbolje prakse te pružiti tehničku potporu i osposobljavanje. Radi se na poboljšanju procjena potreba za ulaganjima u prilagodbu</w:t>
      </w:r>
      <w:r w:rsidR="006F47E3" w:rsidRPr="006F47E3">
        <w:rPr>
          <w:rFonts w:ascii="Times New Roman" w:hAnsi="Times New Roman" w:cs="Times New Roman"/>
          <w:noProof/>
          <w:color w:val="000000" w:themeColor="text1"/>
          <w:sz w:val="24"/>
          <w:szCs w:val="24"/>
          <w:vertAlign w:val="superscript"/>
          <w:lang w:val="en-IE" w:eastAsia="en-IE"/>
        </w:rPr>
        <w:footnoteReference w:id="61"/>
      </w:r>
      <w:r>
        <w:rPr>
          <w:rFonts w:ascii="Times New Roman" w:hAnsi="Times New Roman"/>
          <w:noProof/>
          <w:color w:val="000000" w:themeColor="text1"/>
          <w:sz w:val="24"/>
        </w:rPr>
        <w:t xml:space="preserve">, a Komisija će surađivati s državama članicama i kako bi se pribavili podaci koji nedostaju, među ostalim za procjenu nacionalnih potreba za ulaganjima u prilagodbu. Komisija je spremna poduprijeti ministarstva financija država članica koja žele razmjenjivati informacije o svojoj ulozi u koordinaciji, oblikovanju i provedbi politika prilagodbe. </w:t>
      </w:r>
    </w:p>
    <w:bookmarkEnd w:id="62"/>
    <w:p w14:paraId="77A2ACA8" w14:textId="5E6E8800" w:rsidR="008C27E2" w:rsidRDefault="00867C89" w:rsidP="00A632E5">
      <w:pPr>
        <w:spacing w:after="120"/>
        <w:jc w:val="both"/>
        <w:rPr>
          <w:rFonts w:ascii="Times New Roman" w:hAnsi="Times New Roman" w:cs="Times New Roman"/>
          <w:noProof/>
          <w:color w:val="000000" w:themeColor="text1"/>
          <w:sz w:val="24"/>
          <w:szCs w:val="24"/>
        </w:rPr>
      </w:pPr>
      <w:r>
        <w:rPr>
          <w:rFonts w:ascii="Times New Roman" w:hAnsi="Times New Roman"/>
          <w:noProof/>
          <w:color w:val="000000" w:themeColor="text1"/>
          <w:sz w:val="24"/>
          <w:u w:val="single"/>
        </w:rPr>
        <w:t xml:space="preserve">U politikama financijskih tržišta mora se primijeniti razborit pristup klimatskim rizicima kako bi se očuvala financijska stabilnost. </w:t>
      </w:r>
      <w:r>
        <w:rPr>
          <w:rFonts w:ascii="Times New Roman" w:hAnsi="Times New Roman"/>
          <w:noProof/>
          <w:color w:val="000000" w:themeColor="text1"/>
          <w:sz w:val="24"/>
        </w:rPr>
        <w:t>Strategijom EU-a za održivo financiranje nastoji se povećati transparentnost klimatskih i drugih rizika za okoliš, a financijski sustav EU-a učiniti sigurnijim.</w:t>
      </w:r>
      <w:bookmarkStart w:id="63" w:name="_Hlk160823229"/>
      <w:r>
        <w:rPr>
          <w:rFonts w:ascii="Times New Roman" w:hAnsi="Times New Roman"/>
          <w:noProof/>
          <w:color w:val="000000" w:themeColor="text1"/>
          <w:sz w:val="24"/>
        </w:rPr>
        <w:t xml:space="preserve"> Komisija će i dalje osiguravati da se svi relevantni rizici na odgovarajući način odražavaju u bonitetnim okvirima, npr. u Prijedlogu o izmjeni Direktive Solventnost II i Prijedlogu o izmjeni Uredbe o kapitalnim zahtjevima, o kojima je nedavno postignut dogovor i koji čine osnovu za uključivanje klimatskih rizika u okvire banaka i osiguravatelja. Komisija će osigurati njihovu brzu provedbu.</w:t>
      </w:r>
    </w:p>
    <w:bookmarkEnd w:id="63"/>
    <w:p w14:paraId="42859B86" w14:textId="657A5CC7" w:rsidR="00FE74B1" w:rsidRPr="00915255" w:rsidRDefault="00FE74B1" w:rsidP="00FE74B1">
      <w:pPr>
        <w:spacing w:after="120"/>
        <w:jc w:val="both"/>
        <w:rPr>
          <w:rFonts w:ascii="Times New Roman" w:hAnsi="Times New Roman" w:cs="Times New Roman"/>
          <w:noProof/>
          <w:color w:val="000000" w:themeColor="text1"/>
          <w:sz w:val="24"/>
          <w:szCs w:val="24"/>
          <w:u w:val="single"/>
          <w:lang w:val="en-IE" w:eastAsia="en-IE"/>
        </w:rPr>
      </w:pPr>
    </w:p>
    <w:p w14:paraId="4E4E36AE" w14:textId="53B0D8EE" w:rsidR="0053389F" w:rsidRPr="00420C4C" w:rsidRDefault="0053389F" w:rsidP="00B2476E">
      <w:pPr>
        <w:pStyle w:val="Heading1"/>
        <w:numPr>
          <w:ilvl w:val="0"/>
          <w:numId w:val="1"/>
        </w:numPr>
        <w:ind w:left="357" w:hanging="357"/>
        <w:rPr>
          <w:rFonts w:ascii="Times New Roman" w:hAnsi="Times New Roman" w:cs="Times New Roman"/>
          <w:b/>
          <w:bCs/>
          <w:noProof/>
          <w:color w:val="000000" w:themeColor="text1"/>
          <w:sz w:val="24"/>
          <w:szCs w:val="24"/>
        </w:rPr>
      </w:pPr>
      <w:bookmarkStart w:id="64" w:name="_Toc159792213"/>
      <w:r>
        <w:rPr>
          <w:rFonts w:ascii="Times New Roman" w:hAnsi="Times New Roman"/>
          <w:b/>
          <w:noProof/>
          <w:color w:val="000000" w:themeColor="text1"/>
          <w:sz w:val="24"/>
        </w:rPr>
        <w:t>Sljedeći koraci</w:t>
      </w:r>
      <w:bookmarkEnd w:id="64"/>
      <w:r>
        <w:rPr>
          <w:rFonts w:ascii="Times New Roman" w:hAnsi="Times New Roman"/>
          <w:b/>
          <w:noProof/>
          <w:color w:val="000000" w:themeColor="text1"/>
          <w:sz w:val="24"/>
        </w:rPr>
        <w:t xml:space="preserve"> </w:t>
      </w:r>
    </w:p>
    <w:p w14:paraId="22937A63" w14:textId="77777777" w:rsidR="00420C4C" w:rsidRDefault="00420C4C" w:rsidP="006A5049">
      <w:pPr>
        <w:jc w:val="both"/>
        <w:textAlignment w:val="baseline"/>
        <w:rPr>
          <w:rFonts w:ascii="Times New Roman" w:eastAsia="Times New Roman" w:hAnsi="Times New Roman" w:cs="Times New Roman"/>
          <w:noProof/>
          <w:color w:val="000000" w:themeColor="text1"/>
          <w:sz w:val="24"/>
          <w:szCs w:val="24"/>
          <w:lang w:val="en-IE" w:eastAsia="en-IE"/>
        </w:rPr>
      </w:pPr>
    </w:p>
    <w:p w14:paraId="1F616742" w14:textId="11E1FCE1" w:rsidR="00363162" w:rsidRPr="00915255" w:rsidRDefault="0049025D"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Kao dio provedbe strategije EU-a za prilagodbu klimatskim promjenama u ovoj se Komunikaciji ističu najvažnije mjere koje EU i njegove države članice trebaju poduzeti radi boljeg upravljanja rastućim klimatskim rizicima, posebno kako bi se provele postojeće politike i pojasnilo preuzimanje odgovornosti za rizike u postupcima upravljanja. Cilj je pružiti snažan i pravodoban odgovor na jasnu i neposrednu opasnost od još većeg broja klimatskih katastrofa. </w:t>
      </w:r>
    </w:p>
    <w:p w14:paraId="43AC9216" w14:textId="63125849" w:rsidR="00F370B9" w:rsidRPr="00915255" w:rsidRDefault="49C48264" w:rsidP="00BB3B6A">
      <w:pPr>
        <w:spacing w:after="120"/>
        <w:jc w:val="both"/>
        <w:textAlignment w:val="baseline"/>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 xml:space="preserve">U Komunikaciji se naglašava potreba za dokazima koji su korisni za donošenje odluka, kao što su prva europska procjena klimatskih rizika (EUCRA), najnoviji podaci o temperaturama, izvješća o napretku i informacije o troškovima šteta uzrokovanih klimatskim promjenama. Naglašava se da pri donošenju političkih odluka u svim sektorima treba u potpunosti iskoristiti dostupne informacije. U narednim bi se godinama oblikovatelji politika na svim razinama upravljanja trebali proaktivno baviti prilagodbom klimatskim promjenama i pritom se koristiti instrumentima, tehnologijama i drugim resursima koji već postoje. </w:t>
      </w:r>
      <w:r>
        <w:rPr>
          <w:rFonts w:ascii="Times New Roman" w:hAnsi="Times New Roman"/>
          <w:b/>
          <w:noProof/>
          <w:color w:val="000000" w:themeColor="text1"/>
          <w:sz w:val="24"/>
        </w:rPr>
        <w:t>Za to je potrebno usklađeno djelovanje na svim razinama i jasan put prema povećanju pripravnosti i otpornosti.</w:t>
      </w:r>
    </w:p>
    <w:p w14:paraId="15BAA7F0" w14:textId="1734C501" w:rsidR="00831DA5" w:rsidRPr="001A3A0E" w:rsidRDefault="00831DA5" w:rsidP="00831DA5">
      <w:pPr>
        <w:spacing w:after="120"/>
        <w:jc w:val="both"/>
        <w:rPr>
          <w:rFonts w:ascii="Times New Roman" w:eastAsia="Times New Roman" w:hAnsi="Times New Roman" w:cs="Times New Roman"/>
          <w:noProof/>
          <w:color w:val="000000" w:themeColor="text1"/>
          <w:sz w:val="24"/>
          <w:szCs w:val="24"/>
        </w:rPr>
      </w:pPr>
      <w:r>
        <w:rPr>
          <w:rFonts w:ascii="Times New Roman" w:hAnsi="Times New Roman"/>
          <w:noProof/>
          <w:color w:val="000000" w:themeColor="text1"/>
          <w:sz w:val="24"/>
        </w:rPr>
        <w:t>Iako je ova Komunikacija usmjerena na djelovanje u Europskoj uniji, njome se predviđa i razmjena iskustva i informacija s EU-ovim partnerskim zemljama</w:t>
      </w:r>
      <w:r>
        <w:rPr>
          <w:rFonts w:ascii="Times New Roman" w:hAnsi="Times New Roman"/>
          <w:noProof/>
          <w:sz w:val="24"/>
        </w:rPr>
        <w:t xml:space="preserve">. Sektor i područje djelovanja obuhvaćeni ovim dokumentom uglavnom su usklađeni s odlukama o prilagodbi klimatskim promjenama s 28. konferencije stranaka UNFCCC-a u Dubaiju. Komisija će putem zelenih saveza i zelenih partnerstava proaktivno uključivati relevantne teme </w:t>
      </w:r>
      <w:r>
        <w:rPr>
          <w:rFonts w:ascii="Times New Roman" w:hAnsi="Times New Roman"/>
          <w:noProof/>
          <w:color w:val="000000" w:themeColor="text1"/>
          <w:sz w:val="24"/>
        </w:rPr>
        <w:t xml:space="preserve">u bilateralne dijaloge i u relevantne UN-ove i druge multilateralne forume (kao što su G7, G20, OECD, WEF, WTO). Razmotrit će i mogućnost da 2025. organizira međunarodni simpozij o upravljanju globalnim klimatskim rizicima, na kojem bi se okupili predstavnici vlada, financijeri i stručne organizacije iz cijelog svijeta. </w:t>
      </w:r>
    </w:p>
    <w:p w14:paraId="0FB24F29" w14:textId="60280C48" w:rsidR="003B472B" w:rsidRPr="00755240" w:rsidRDefault="005D1C82" w:rsidP="00F01461">
      <w:pPr>
        <w:spacing w:after="120"/>
        <w:jc w:val="both"/>
        <w:textAlignment w:val="baseline"/>
        <w:rPr>
          <w:rFonts w:ascii="Times New Roman" w:hAnsi="Times New Roman"/>
          <w:b/>
          <w:noProof/>
          <w:sz w:val="24"/>
        </w:rPr>
      </w:pPr>
      <w:r>
        <w:rPr>
          <w:rFonts w:ascii="Times New Roman" w:hAnsi="Times New Roman"/>
          <w:b/>
          <w:noProof/>
          <w:sz w:val="24"/>
        </w:rPr>
        <w:t>Komisija će nastaviti surađivati s državama članicama, javnošću, poduzećima i drugim institucijama EU-a kako bi se povećala otpornost društva i gospodarstva EU-a.</w:t>
      </w:r>
      <w:r>
        <w:rPr>
          <w:rFonts w:ascii="Times New Roman" w:hAnsi="Times New Roman"/>
          <w:b/>
          <w:noProof/>
          <w:color w:val="000000" w:themeColor="text1"/>
          <w:sz w:val="24"/>
        </w:rPr>
        <w:t xml:space="preserve"> Zajedno možemo zaštititi naše ljude i očuvati blagostanje.</w:t>
      </w:r>
    </w:p>
    <w:sectPr w:rsidR="003B472B" w:rsidRPr="00755240" w:rsidSect="00915255">
      <w:headerReference w:type="even" r:id="rId22"/>
      <w:headerReference w:type="default" r:id="rId23"/>
      <w:footerReference w:type="even" r:id="rId24"/>
      <w:footerReference w:type="default" r:id="rId25"/>
      <w:headerReference w:type="first" r:id="rId26"/>
      <w:footerReference w:type="first" r:id="rId2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4E61BB" w14:textId="77777777" w:rsidR="00F615A1" w:rsidRDefault="00F615A1" w:rsidP="003F1FF2">
      <w:pPr>
        <w:spacing w:after="0" w:line="240" w:lineRule="auto"/>
      </w:pPr>
      <w:r>
        <w:separator/>
      </w:r>
    </w:p>
  </w:endnote>
  <w:endnote w:type="continuationSeparator" w:id="0">
    <w:p w14:paraId="1CDF0938" w14:textId="77777777" w:rsidR="00F615A1" w:rsidRDefault="00F615A1" w:rsidP="003F1FF2">
      <w:pPr>
        <w:spacing w:after="0" w:line="240" w:lineRule="auto"/>
      </w:pPr>
      <w:r>
        <w:continuationSeparator/>
      </w:r>
    </w:p>
  </w:endnote>
  <w:endnote w:type="continuationNotice" w:id="1">
    <w:p w14:paraId="234FA46E" w14:textId="77777777" w:rsidR="00F615A1" w:rsidRDefault="00F615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EEE38" w14:textId="64DECB04" w:rsidR="008510D3" w:rsidRPr="008510D3" w:rsidRDefault="008510D3" w:rsidP="008510D3">
    <w:pPr>
      <w:pStyle w:val="FooterCoverPage"/>
      <w:rPr>
        <w:rFonts w:ascii="Arial" w:hAnsi="Arial" w:cs="Arial"/>
        <w:b/>
        <w:sz w:val="48"/>
      </w:rPr>
    </w:pPr>
    <w:r w:rsidRPr="008510D3">
      <w:rPr>
        <w:rFonts w:ascii="Arial" w:hAnsi="Arial" w:cs="Arial"/>
        <w:b/>
        <w:sz w:val="48"/>
      </w:rPr>
      <w:t>HR</w:t>
    </w:r>
    <w:r w:rsidRPr="008510D3">
      <w:rPr>
        <w:rFonts w:ascii="Arial" w:hAnsi="Arial" w:cs="Arial"/>
        <w:b/>
        <w:sz w:val="48"/>
      </w:rPr>
      <w:tab/>
    </w:r>
    <w:r w:rsidRPr="008510D3">
      <w:rPr>
        <w:rFonts w:ascii="Arial" w:hAnsi="Arial" w:cs="Arial"/>
        <w:b/>
        <w:sz w:val="48"/>
      </w:rPr>
      <w:tab/>
    </w:r>
    <w:r w:rsidRPr="008510D3">
      <w:tab/>
    </w:r>
    <w:r w:rsidRPr="008510D3">
      <w:rPr>
        <w:rFonts w:ascii="Arial" w:hAnsi="Arial" w:cs="Arial"/>
        <w:b/>
        <w:sz w:val="48"/>
      </w:rPr>
      <w:t>HR</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18209" w14:textId="2E4FE8FC" w:rsidR="008510D3" w:rsidRPr="008510D3" w:rsidRDefault="008510D3" w:rsidP="008510D3">
    <w:pPr>
      <w:pStyle w:val="FooterCoverPage"/>
      <w:rPr>
        <w:rFonts w:ascii="Arial" w:hAnsi="Arial" w:cs="Arial"/>
        <w:b/>
        <w:sz w:val="48"/>
      </w:rPr>
    </w:pPr>
    <w:r w:rsidRPr="008510D3">
      <w:rPr>
        <w:rFonts w:ascii="Arial" w:hAnsi="Arial" w:cs="Arial"/>
        <w:b/>
        <w:sz w:val="48"/>
      </w:rPr>
      <w:t>HR</w:t>
    </w:r>
    <w:r w:rsidRPr="008510D3">
      <w:rPr>
        <w:rFonts w:ascii="Arial" w:hAnsi="Arial" w:cs="Arial"/>
        <w:b/>
        <w:sz w:val="48"/>
      </w:rPr>
      <w:tab/>
    </w:r>
    <w:r w:rsidRPr="008510D3">
      <w:rPr>
        <w:rFonts w:ascii="Arial" w:hAnsi="Arial" w:cs="Arial"/>
        <w:b/>
        <w:sz w:val="48"/>
      </w:rPr>
      <w:tab/>
    </w:r>
    <w:r w:rsidRPr="008510D3">
      <w:tab/>
    </w:r>
    <w:r w:rsidRPr="008510D3">
      <w:rPr>
        <w:rFonts w:ascii="Arial" w:hAnsi="Arial" w:cs="Arial"/>
        <w:b/>
        <w:sz w:val="48"/>
      </w:rPr>
      <w:t>HR</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0157E" w14:textId="77777777" w:rsidR="008510D3" w:rsidRPr="008510D3" w:rsidRDefault="008510D3" w:rsidP="008510D3">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01DD3" w14:textId="77777777" w:rsidR="00915255" w:rsidRDefault="0091525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5407010"/>
      <w:docPartObj>
        <w:docPartGallery w:val="Page Numbers (Bottom of Page)"/>
        <w:docPartUnique/>
      </w:docPartObj>
    </w:sdtPr>
    <w:sdtEndPr>
      <w:rPr>
        <w:noProof/>
      </w:rPr>
    </w:sdtEndPr>
    <w:sdtContent>
      <w:p w14:paraId="65F03D3E" w14:textId="0DB3602F" w:rsidR="00915255" w:rsidRDefault="00915255">
        <w:pPr>
          <w:pStyle w:val="Footer"/>
          <w:jc w:val="center"/>
        </w:pPr>
        <w:r>
          <w:fldChar w:fldCharType="begin"/>
        </w:r>
        <w:r>
          <w:instrText xml:space="preserve"> PAGE   \* MERGEFORMAT </w:instrText>
        </w:r>
        <w:r>
          <w:fldChar w:fldCharType="separate"/>
        </w:r>
        <w:r w:rsidR="008510D3">
          <w:rPr>
            <w:noProof/>
          </w:rPr>
          <w:t>1</w:t>
        </w:r>
        <w:r>
          <w:fldChar w:fldCharType="end"/>
        </w:r>
      </w:p>
    </w:sdtContent>
  </w:sdt>
  <w:p w14:paraId="4C6A6D95" w14:textId="77777777" w:rsidR="00915255" w:rsidRDefault="0091525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3DA1DE" w14:textId="77777777" w:rsidR="00915255" w:rsidRDefault="0091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A23F6" w14:textId="77777777" w:rsidR="00F615A1" w:rsidRDefault="00F615A1" w:rsidP="003F1FF2">
      <w:pPr>
        <w:spacing w:after="0" w:line="240" w:lineRule="auto"/>
      </w:pPr>
      <w:r>
        <w:separator/>
      </w:r>
    </w:p>
  </w:footnote>
  <w:footnote w:type="continuationSeparator" w:id="0">
    <w:p w14:paraId="32559B00" w14:textId="77777777" w:rsidR="00F615A1" w:rsidRDefault="00F615A1" w:rsidP="003F1FF2">
      <w:pPr>
        <w:spacing w:after="0" w:line="240" w:lineRule="auto"/>
      </w:pPr>
      <w:r>
        <w:continuationSeparator/>
      </w:r>
    </w:p>
  </w:footnote>
  <w:footnote w:type="continuationNotice" w:id="1">
    <w:p w14:paraId="3060E392" w14:textId="77777777" w:rsidR="00F615A1" w:rsidRDefault="00F615A1">
      <w:pPr>
        <w:spacing w:after="0" w:line="240" w:lineRule="auto"/>
      </w:pPr>
    </w:p>
  </w:footnote>
  <w:footnote w:id="2">
    <w:p w14:paraId="2FB16C84" w14:textId="17F779A7" w:rsidR="0049438C" w:rsidRPr="0049438C" w:rsidRDefault="0049438C">
      <w:pPr>
        <w:pStyle w:val="FootnoteText"/>
      </w:pPr>
      <w:r>
        <w:rPr>
          <w:rStyle w:val="FootnoteReference"/>
        </w:rPr>
        <w:footnoteRef/>
      </w:r>
      <w:r>
        <w:t xml:space="preserve"> COM(2024) 63 final. </w:t>
      </w:r>
      <w:hyperlink r:id="rId1" w:history="1">
        <w:r>
          <w:rPr>
            <w:rStyle w:val="Hyperlink"/>
          </w:rPr>
          <w:t>https://eur-lex.europa.eu/legal-content/HR/TXT/?uri=COM%3A2024%3A63%3AFIN</w:t>
        </w:r>
      </w:hyperlink>
    </w:p>
  </w:footnote>
  <w:footnote w:id="3">
    <w:p w14:paraId="174C2E86" w14:textId="52D8D331" w:rsidR="00A002CB" w:rsidRPr="00F434C8" w:rsidRDefault="00A002CB">
      <w:pPr>
        <w:pStyle w:val="FootnoteText"/>
      </w:pPr>
      <w:r>
        <w:rPr>
          <w:rStyle w:val="FootnoteReference"/>
        </w:rPr>
        <w:footnoteRef/>
      </w:r>
      <w:r>
        <w:t xml:space="preserve"> </w:t>
      </w:r>
      <w:hyperlink r:id="rId2" w:history="1">
        <w:r>
          <w:rPr>
            <w:rStyle w:val="Hyperlink"/>
          </w:rPr>
          <w:t>https://climate.copernicus.eu/copernicus-2023-hottest-year-record</w:t>
        </w:r>
      </w:hyperlink>
      <w:r>
        <w:t xml:space="preserve"> </w:t>
      </w:r>
    </w:p>
  </w:footnote>
  <w:footnote w:id="4">
    <w:p w14:paraId="28C2380D" w14:textId="04D73A8B" w:rsidR="001364A4" w:rsidRPr="008B49EC" w:rsidRDefault="001364A4" w:rsidP="00701176">
      <w:pPr>
        <w:pStyle w:val="FootnoteText"/>
        <w:jc w:val="left"/>
      </w:pPr>
      <w:r>
        <w:rPr>
          <w:rStyle w:val="FootnoteReference"/>
        </w:rPr>
        <w:footnoteRef/>
      </w:r>
      <w:r>
        <w:rPr>
          <w:rFonts w:asciiTheme="minorHAnsi" w:hAnsiTheme="minorHAnsi"/>
          <w:sz w:val="22"/>
        </w:rPr>
        <w:t xml:space="preserve"> </w:t>
      </w:r>
      <w:r>
        <w:t xml:space="preserve">EEA (2024), </w:t>
      </w:r>
      <w:r>
        <w:rPr>
          <w:i/>
          <w:iCs/>
        </w:rPr>
        <w:t>European Climate Risk Assessment</w:t>
      </w:r>
      <w:r>
        <w:t xml:space="preserve">, ISSN 1977-8449. </w:t>
      </w:r>
      <w:hyperlink r:id="rId3" w:history="1">
        <w:r>
          <w:rPr>
            <w:rStyle w:val="Hyperlink"/>
          </w:rPr>
          <w:t>https://www.eea.europa.eu/publications/european-climate-risk-assessment</w:t>
        </w:r>
      </w:hyperlink>
      <w:r>
        <w:t xml:space="preserve"> </w:t>
      </w:r>
    </w:p>
  </w:footnote>
  <w:footnote w:id="5">
    <w:p w14:paraId="0F1F6333" w14:textId="77777777" w:rsidR="00202AD4" w:rsidRPr="003439FE" w:rsidRDefault="00202AD4" w:rsidP="00202AD4">
      <w:pPr>
        <w:pStyle w:val="FootnoteText"/>
      </w:pPr>
      <w:r>
        <w:rPr>
          <w:rStyle w:val="FootnoteReference"/>
        </w:rPr>
        <w:footnoteRef/>
      </w:r>
      <w:r>
        <w:t xml:space="preserve"> </w:t>
      </w:r>
      <w:hyperlink r:id="rId4" w:history="1">
        <w:r>
          <w:rPr>
            <w:rStyle w:val="Hyperlink"/>
          </w:rPr>
          <w:t>https://www.weforum.org/publications/global-risks-report-2024/</w:t>
        </w:r>
      </w:hyperlink>
      <w:r>
        <w:t xml:space="preserve"> </w:t>
      </w:r>
    </w:p>
  </w:footnote>
  <w:footnote w:id="6">
    <w:p w14:paraId="422D5DC4" w14:textId="03B0052D" w:rsidR="00202AD4" w:rsidRPr="003439FE" w:rsidRDefault="00202AD4" w:rsidP="00202AD4">
      <w:pPr>
        <w:pStyle w:val="FootnoteText"/>
      </w:pPr>
      <w:r>
        <w:rPr>
          <w:rStyle w:val="FootnoteReference"/>
        </w:rPr>
        <w:footnoteRef/>
      </w:r>
      <w:r>
        <w:t xml:space="preserve"> </w:t>
      </w:r>
      <w:hyperlink r:id="rId5" w:history="1">
        <w:r>
          <w:rPr>
            <w:rStyle w:val="Hyperlink"/>
          </w:rPr>
          <w:t>https://www.ecb.europa.eu/press/pr/date/2023/html/ecb.pr231218_1~6b3bea9532.en.html</w:t>
        </w:r>
      </w:hyperlink>
      <w:r>
        <w:t xml:space="preserve"> </w:t>
      </w:r>
    </w:p>
  </w:footnote>
  <w:footnote w:id="7">
    <w:p w14:paraId="29D84196" w14:textId="22D8E179" w:rsidR="00082DDA" w:rsidRPr="000B0E9A" w:rsidRDefault="00082DDA">
      <w:pPr>
        <w:pStyle w:val="FootnoteText"/>
      </w:pPr>
      <w:r>
        <w:rPr>
          <w:rStyle w:val="FootnoteReference"/>
        </w:rPr>
        <w:footnoteRef/>
      </w:r>
      <w:r>
        <w:t xml:space="preserve"> P9_TA(2022)0330. </w:t>
      </w:r>
      <w:hyperlink r:id="rId6" w:history="1">
        <w:r>
          <w:rPr>
            <w:rStyle w:val="Hyperlink"/>
          </w:rPr>
          <w:t>https://www.europarl.europa.eu/doceo/document/TA-9-2022-0330_HR.html</w:t>
        </w:r>
      </w:hyperlink>
      <w:r>
        <w:t xml:space="preserve"> </w:t>
      </w:r>
    </w:p>
  </w:footnote>
  <w:footnote w:id="8">
    <w:p w14:paraId="3CE6D5B0" w14:textId="77777777" w:rsidR="00566DC0" w:rsidRPr="00BB6BA8" w:rsidRDefault="00566DC0" w:rsidP="00566DC0">
      <w:pPr>
        <w:pStyle w:val="FootnoteText"/>
      </w:pPr>
      <w:r>
        <w:rPr>
          <w:rStyle w:val="FootnoteReference"/>
        </w:rPr>
        <w:footnoteRef/>
      </w:r>
      <w:r>
        <w:t xml:space="preserve"> EUCO 14/23. </w:t>
      </w:r>
      <w:hyperlink r:id="rId7" w:history="1">
        <w:r>
          <w:rPr>
            <w:rStyle w:val="Hyperlink"/>
          </w:rPr>
          <w:t>https://www.consilium.europa.eu/media/67634/20231027-european-council-conclusions-hr.pdf</w:t>
        </w:r>
      </w:hyperlink>
      <w:r>
        <w:t xml:space="preserve"> </w:t>
      </w:r>
    </w:p>
  </w:footnote>
  <w:footnote w:id="9">
    <w:p w14:paraId="7776C871" w14:textId="77777777" w:rsidR="00050DE4" w:rsidRPr="00C34A90" w:rsidRDefault="00050DE4" w:rsidP="00050DE4">
      <w:pPr>
        <w:pStyle w:val="FootnoteText"/>
        <w:rPr>
          <w:color w:val="0000FF" w:themeColor="hyperlink"/>
          <w:u w:val="single"/>
        </w:rPr>
      </w:pPr>
      <w:r>
        <w:rPr>
          <w:rStyle w:val="FootnoteReference"/>
        </w:rPr>
        <w:footnoteRef/>
      </w:r>
      <w:r>
        <w:t xml:space="preserve"> SWD(2023) 339 final. </w:t>
      </w:r>
      <w:hyperlink r:id="rId8" w:history="1">
        <w:r>
          <w:rPr>
            <w:rStyle w:val="Hyperlink"/>
          </w:rPr>
          <w:t>https://eur-lex.europa.eu/legal-content/EN/ALL/?uri=CELEX:52023SC0339</w:t>
        </w:r>
      </w:hyperlink>
    </w:p>
  </w:footnote>
  <w:footnote w:id="10">
    <w:p w14:paraId="1350A12C" w14:textId="67E89D26" w:rsidR="00050DE4" w:rsidRPr="007A20DE" w:rsidRDefault="00050DE4" w:rsidP="00050DE4">
      <w:pPr>
        <w:pStyle w:val="FootnoteText"/>
      </w:pPr>
      <w:r>
        <w:rPr>
          <w:rStyle w:val="FootnoteReference"/>
        </w:rPr>
        <w:footnoteRef/>
      </w:r>
      <w:r>
        <w:t xml:space="preserve"> SWD(2023) 932 final. </w:t>
      </w:r>
      <w:hyperlink r:id="rId9" w:history="1">
        <w:r>
          <w:rPr>
            <w:rStyle w:val="Hyperlink"/>
          </w:rPr>
          <w:t>https://climate.ec.europa.eu/system/files/2023-12/SWD_2023_932_1_EN.pdf</w:t>
        </w:r>
      </w:hyperlink>
      <w:r>
        <w:t xml:space="preserve"> </w:t>
      </w:r>
    </w:p>
  </w:footnote>
  <w:footnote w:id="11">
    <w:p w14:paraId="663AD807" w14:textId="600200B2" w:rsidR="00B809D0" w:rsidRPr="0033536B" w:rsidRDefault="00B809D0" w:rsidP="005A32D6">
      <w:pPr>
        <w:pStyle w:val="FootnoteText"/>
        <w:jc w:val="left"/>
      </w:pPr>
      <w:r>
        <w:rPr>
          <w:rStyle w:val="FootnoteReference"/>
        </w:rPr>
        <w:footnoteRef/>
      </w:r>
      <w:r>
        <w:t xml:space="preserve"> </w:t>
      </w:r>
      <w:hyperlink r:id="rId10" w:history="1">
        <w:r>
          <w:rPr>
            <w:rStyle w:val="Hyperlink"/>
          </w:rPr>
          <w:t>https://commission.europa.eu/energy-climate-change-environment/implementation-eu-countries/energy-and-climate-governance-and-reporting/national-energy-and-climate-plans_en</w:t>
        </w:r>
      </w:hyperlink>
      <w:r>
        <w:t xml:space="preserve">  </w:t>
      </w:r>
    </w:p>
  </w:footnote>
  <w:footnote w:id="12">
    <w:p w14:paraId="5B56BA62" w14:textId="4EDF2B27" w:rsidR="008573D8" w:rsidRPr="001E5576" w:rsidRDefault="008573D8" w:rsidP="008573D8">
      <w:pPr>
        <w:pStyle w:val="FootnoteText"/>
      </w:pPr>
      <w:r>
        <w:rPr>
          <w:rStyle w:val="FootnoteReference"/>
        </w:rPr>
        <w:footnoteRef/>
      </w:r>
      <w:r>
        <w:t xml:space="preserve"> COM(2024) 130 final. </w:t>
      </w:r>
      <w:hyperlink r:id="rId11" w:history="1">
        <w:r>
          <w:rPr>
            <w:rStyle w:val="Hyperlink"/>
          </w:rPr>
          <w:t>https://civil-protection-humanitarian-aid.ec.europa.eu/what/civil-protection/european-disaster-risk-management_en</w:t>
        </w:r>
      </w:hyperlink>
      <w:r>
        <w:t xml:space="preserve"> </w:t>
      </w:r>
    </w:p>
  </w:footnote>
  <w:footnote w:id="13">
    <w:p w14:paraId="415FDB94" w14:textId="5612A780" w:rsidR="008E56D1" w:rsidRPr="006008D4" w:rsidRDefault="008E56D1" w:rsidP="008E56D1">
      <w:pPr>
        <w:pStyle w:val="FootnoteText"/>
      </w:pPr>
      <w:r>
        <w:rPr>
          <w:rStyle w:val="FootnoteReference"/>
        </w:rPr>
        <w:footnoteRef/>
      </w:r>
      <w:r>
        <w:t xml:space="preserve"> JOIN(2023) 19 final. </w:t>
      </w:r>
      <w:hyperlink r:id="rId12" w:history="1">
        <w:r>
          <w:rPr>
            <w:rStyle w:val="Hyperlink"/>
          </w:rPr>
          <w:t>https://eur-lex.europa.eu/legal-content/HR/TXT/?uri=CELEX%3A52023JC0019</w:t>
        </w:r>
      </w:hyperlink>
      <w:r>
        <w:t xml:space="preserve"> </w:t>
      </w:r>
    </w:p>
  </w:footnote>
  <w:footnote w:id="14">
    <w:p w14:paraId="4C7AF43B" w14:textId="77777777" w:rsidR="00A70A3C" w:rsidRPr="00EF5256" w:rsidRDefault="00A70A3C" w:rsidP="00A70A3C">
      <w:pPr>
        <w:pStyle w:val="FootnoteText"/>
      </w:pPr>
      <w:r>
        <w:rPr>
          <w:rStyle w:val="FootnoteReference"/>
        </w:rPr>
        <w:footnoteRef/>
      </w:r>
      <w:r>
        <w:t xml:space="preserve"> COM(2021) 82 final. </w:t>
      </w:r>
      <w:hyperlink r:id="rId13" w:history="1">
        <w:r>
          <w:rPr>
            <w:rStyle w:val="Hyperlink"/>
          </w:rPr>
          <w:t>eur-lex.europa.eu/legal-content/HR/TXT/PDF/?uri=CELEX:52021DC0082&amp;from=EN</w:t>
        </w:r>
      </w:hyperlink>
    </w:p>
  </w:footnote>
  <w:footnote w:id="15">
    <w:p w14:paraId="6D62BDB8" w14:textId="0CAECF1C" w:rsidR="00D7188A" w:rsidRPr="0090450C" w:rsidRDefault="00D7188A" w:rsidP="00D7188A">
      <w:pPr>
        <w:pStyle w:val="FootnoteText"/>
      </w:pPr>
      <w:r>
        <w:rPr>
          <w:rStyle w:val="FootnoteReference"/>
        </w:rPr>
        <w:footnoteRef/>
      </w:r>
      <w:r>
        <w:t xml:space="preserve"> Odluka CMA.5 o programu rada iz Glasgowa i Sharm el-Sheikha o globalnom cilju prilagodbe. </w:t>
      </w:r>
    </w:p>
  </w:footnote>
  <w:footnote w:id="16">
    <w:p w14:paraId="67984363" w14:textId="77777777" w:rsidR="00582114" w:rsidRPr="00880DE4" w:rsidRDefault="00582114" w:rsidP="00582114">
      <w:pPr>
        <w:pStyle w:val="FootnoteText"/>
        <w:jc w:val="left"/>
      </w:pPr>
      <w:r>
        <w:rPr>
          <w:rStyle w:val="FootnoteReference"/>
        </w:rPr>
        <w:footnoteRef/>
      </w:r>
      <w:r>
        <w:t xml:space="preserve"> SWD(2024) 63 final. </w:t>
      </w:r>
      <w:hyperlink r:id="rId14" w:history="1">
        <w:r>
          <w:rPr>
            <w:rStyle w:val="Hyperlink"/>
          </w:rPr>
          <w:t>https://climate.ec.europa.eu/document/download/768bc81f-5f48-48e3-b4d4-e02ba09faca1_en</w:t>
        </w:r>
      </w:hyperlink>
      <w:r>
        <w:t xml:space="preserve"> </w:t>
      </w:r>
    </w:p>
  </w:footnote>
  <w:footnote w:id="17">
    <w:p w14:paraId="575E217A" w14:textId="70CAA85E" w:rsidR="00582114" w:rsidRPr="00525E71" w:rsidRDefault="00582114" w:rsidP="00582114">
      <w:pPr>
        <w:pStyle w:val="FootnoteText"/>
      </w:pPr>
      <w:r>
        <w:rPr>
          <w:rStyle w:val="FootnoteReference"/>
        </w:rPr>
        <w:footnoteRef/>
      </w:r>
      <w:r>
        <w:t xml:space="preserve"> </w:t>
      </w:r>
      <w:r>
        <w:rPr>
          <w:rStyle w:val="cf01"/>
          <w:rFonts w:ascii="Times New Roman" w:hAnsi="Times New Roman"/>
          <w:color w:val="0000FF"/>
          <w:sz w:val="20"/>
          <w:u w:val="single"/>
        </w:rPr>
        <w:t>https://www.nature.com/articles/s41467-020-15665-3</w:t>
      </w:r>
    </w:p>
  </w:footnote>
  <w:footnote w:id="18">
    <w:p w14:paraId="78404492" w14:textId="2F93C928" w:rsidR="000B141D" w:rsidRPr="000B141D" w:rsidRDefault="000B141D">
      <w:pPr>
        <w:pStyle w:val="FootnoteText"/>
      </w:pPr>
      <w:r>
        <w:rPr>
          <w:rStyle w:val="FootnoteReference"/>
        </w:rPr>
        <w:footnoteRef/>
      </w:r>
      <w:r>
        <w:t xml:space="preserve"> Za politike Unije, kako je navedeno u članku 191. Ugovora o funkcioniranju Europske unije.</w:t>
      </w:r>
    </w:p>
  </w:footnote>
  <w:footnote w:id="19">
    <w:p w14:paraId="4B61E419" w14:textId="62875F64" w:rsidR="00FF67E3" w:rsidRPr="00C51152" w:rsidRDefault="00FF67E3" w:rsidP="00FF67E3">
      <w:pPr>
        <w:pStyle w:val="FootnoteText"/>
      </w:pPr>
      <w:r>
        <w:rPr>
          <w:rStyle w:val="FootnoteReference"/>
        </w:rPr>
        <w:footnoteRef/>
      </w:r>
      <w:r>
        <w:t xml:space="preserve"> Međunarodna banka za obnovu i razvoj / Svjetska banka, 2021., </w:t>
      </w:r>
      <w:r>
        <w:rPr>
          <w:i/>
        </w:rPr>
        <w:t>Economics for Disaster Prevention and Preparedness:</w:t>
      </w:r>
      <w:r>
        <w:t xml:space="preserve"> </w:t>
      </w:r>
      <w:r>
        <w:rPr>
          <w:i/>
        </w:rPr>
        <w:t>Investment in Disaster Risk management in Europe Makes Economic Sense</w:t>
      </w:r>
    </w:p>
  </w:footnote>
  <w:footnote w:id="20">
    <w:p w14:paraId="05787910" w14:textId="1A5BACBA" w:rsidR="00FF67E3" w:rsidRPr="00DC1F2B" w:rsidRDefault="00FF67E3" w:rsidP="00FF67E3">
      <w:pPr>
        <w:pStyle w:val="FootnoteText"/>
      </w:pPr>
      <w:r>
        <w:rPr>
          <w:rStyle w:val="FootnoteReference"/>
        </w:rPr>
        <w:footnoteRef/>
      </w:r>
      <w:r>
        <w:t xml:space="preserve"> Preporuka o ciljevima Unije u pogledu otpornosti na katastrofe, SL C 56, 15.2.2023.</w:t>
      </w:r>
    </w:p>
  </w:footnote>
  <w:footnote w:id="21">
    <w:p w14:paraId="5E0B3D0D" w14:textId="5C857355" w:rsidR="001355AB" w:rsidRDefault="001355AB" w:rsidP="001355AB">
      <w:pPr>
        <w:pStyle w:val="FootnoteText"/>
      </w:pPr>
      <w:r>
        <w:rPr>
          <w:rStyle w:val="FootnoteReference"/>
        </w:rPr>
        <w:footnoteRef/>
      </w:r>
      <w:r>
        <w:t xml:space="preserve"> </w:t>
      </w:r>
      <w:hyperlink r:id="rId15" w:history="1">
        <w:r>
          <w:rPr>
            <w:rStyle w:val="Hyperlink"/>
          </w:rPr>
          <w:t>https://dataspace.copernicus.eu/</w:t>
        </w:r>
      </w:hyperlink>
      <w:r>
        <w:t xml:space="preserve"> </w:t>
      </w:r>
    </w:p>
  </w:footnote>
  <w:footnote w:id="22">
    <w:p w14:paraId="7031F8A2" w14:textId="6FA27646" w:rsidR="001355AB" w:rsidRDefault="001355AB" w:rsidP="001355AB">
      <w:pPr>
        <w:pStyle w:val="FootnoteText"/>
      </w:pPr>
      <w:r>
        <w:rPr>
          <w:rStyle w:val="FootnoteReference"/>
        </w:rPr>
        <w:footnoteRef/>
      </w:r>
      <w:r>
        <w:t xml:space="preserve"> </w:t>
      </w:r>
      <w:hyperlink r:id="rId16" w:history="1">
        <w:r>
          <w:rPr>
            <w:rStyle w:val="Hyperlink"/>
          </w:rPr>
          <w:t>https://www.wekeo.eu/</w:t>
        </w:r>
      </w:hyperlink>
      <w:r>
        <w:t xml:space="preserve"> </w:t>
      </w:r>
    </w:p>
  </w:footnote>
  <w:footnote w:id="23">
    <w:p w14:paraId="41EA95C6" w14:textId="482F0C74" w:rsidR="002F1D2F" w:rsidRPr="001E5576" w:rsidRDefault="002F1D2F" w:rsidP="002F1D2F">
      <w:pPr>
        <w:pStyle w:val="FootnoteText"/>
      </w:pPr>
      <w:r>
        <w:rPr>
          <w:rStyle w:val="FootnoteReference"/>
        </w:rPr>
        <w:footnoteRef/>
      </w:r>
      <w:r>
        <w:t xml:space="preserve"> COM(2023) 728 final </w:t>
      </w:r>
      <w:hyperlink r:id="rId17" w:history="1">
        <w:r>
          <w:rPr>
            <w:rStyle w:val="Hyperlink"/>
          </w:rPr>
          <w:t>https://eur-lex.europa.eu/legal-content/HR/TXT/?uri=COM%3A2023%3A728%3AFIN</w:t>
        </w:r>
      </w:hyperlink>
      <w:r>
        <w:t xml:space="preserve"> </w:t>
      </w:r>
    </w:p>
  </w:footnote>
  <w:footnote w:id="24">
    <w:p w14:paraId="5B8663C5" w14:textId="4C49A60C" w:rsidR="007B69D8" w:rsidRPr="001E5576" w:rsidRDefault="007B69D8" w:rsidP="007B69D8">
      <w:pPr>
        <w:pStyle w:val="FootnoteText"/>
      </w:pPr>
      <w:r>
        <w:rPr>
          <w:rStyle w:val="FootnoteReference"/>
        </w:rPr>
        <w:footnoteRef/>
      </w:r>
      <w:r>
        <w:t xml:space="preserve"> COM(2023) 416 final. </w:t>
      </w:r>
      <w:hyperlink r:id="rId18" w:history="1">
        <w:r>
          <w:rPr>
            <w:rStyle w:val="Hyperlink"/>
          </w:rPr>
          <w:t>https://eur-lex.europa.eu/legal-content/HR/TXT/?uri=CELEX%3A52023PC0416</w:t>
        </w:r>
      </w:hyperlink>
      <w:r>
        <w:t xml:space="preserve"> </w:t>
      </w:r>
    </w:p>
  </w:footnote>
  <w:footnote w:id="25">
    <w:p w14:paraId="78A50AC1" w14:textId="2AAA18BB" w:rsidR="00FD5E36" w:rsidRPr="00F434C8" w:rsidRDefault="00FD5E36" w:rsidP="00FD5E36">
      <w:pPr>
        <w:pStyle w:val="FootnoteText"/>
      </w:pPr>
      <w:r>
        <w:rPr>
          <w:rStyle w:val="FootnoteReference"/>
        </w:rPr>
        <w:footnoteRef/>
      </w:r>
      <w:r>
        <w:t xml:space="preserve"> Npr. EFAS, EFFIS, EDO.</w:t>
      </w:r>
    </w:p>
  </w:footnote>
  <w:footnote w:id="26">
    <w:p w14:paraId="77D728A7" w14:textId="77777777" w:rsidR="00F40219" w:rsidRPr="00F434C8" w:rsidRDefault="00F40219" w:rsidP="00F40219">
      <w:pPr>
        <w:pStyle w:val="FootnoteText"/>
      </w:pPr>
      <w:r>
        <w:rPr>
          <w:rStyle w:val="FootnoteReference"/>
        </w:rPr>
        <w:footnoteRef/>
      </w:r>
      <w:r>
        <w:t xml:space="preserve"> </w:t>
      </w:r>
      <w:hyperlink r:id="rId19" w:history="1">
        <w:r>
          <w:rPr>
            <w:rStyle w:val="Hyperlink"/>
          </w:rPr>
          <w:t>https://climate-adapt.eea.europa.eu/en/knowledge/european-climate-data-explorer/</w:t>
        </w:r>
      </w:hyperlink>
      <w:r>
        <w:t xml:space="preserve"> </w:t>
      </w:r>
    </w:p>
  </w:footnote>
  <w:footnote w:id="27">
    <w:p w14:paraId="1EFAEF15" w14:textId="79B529FB" w:rsidR="00A66FC2" w:rsidRPr="00F434C8" w:rsidRDefault="00A66FC2" w:rsidP="00A66FC2">
      <w:pPr>
        <w:pStyle w:val="FootnoteText"/>
      </w:pPr>
      <w:r>
        <w:rPr>
          <w:rStyle w:val="FootnoteReference"/>
        </w:rPr>
        <w:footnoteRef/>
      </w:r>
      <w:r>
        <w:t xml:space="preserve"> </w:t>
      </w:r>
      <w:r>
        <w:rPr>
          <w:rStyle w:val="Hyperlink"/>
        </w:rPr>
        <w:t>https://discomap.eea.europa.eu/MKH/MapViewer/index.html</w:t>
      </w:r>
    </w:p>
  </w:footnote>
  <w:footnote w:id="28">
    <w:p w14:paraId="26CF0EB1" w14:textId="2877A7E9" w:rsidR="006B0A95" w:rsidRPr="00F434C8" w:rsidRDefault="006B0A95" w:rsidP="00870A15">
      <w:pPr>
        <w:pStyle w:val="FootnoteText"/>
        <w:jc w:val="left"/>
      </w:pPr>
      <w:r>
        <w:rPr>
          <w:rStyle w:val="FootnoteReference"/>
        </w:rPr>
        <w:footnoteRef/>
      </w:r>
      <w:r>
        <w:t xml:space="preserve"> </w:t>
      </w:r>
      <w:hyperlink r:id="rId20" w:anchor="/" w:history="1">
        <w:r>
          <w:rPr>
            <w:rStyle w:val="Hyperlink"/>
          </w:rPr>
          <w:t>https://drmkc.jrc.ec.europa.eu/risk-data-hub#/</w:t>
        </w:r>
      </w:hyperlink>
      <w:r>
        <w:t xml:space="preserve"> </w:t>
      </w:r>
    </w:p>
  </w:footnote>
  <w:footnote w:id="29">
    <w:p w14:paraId="143F7925" w14:textId="77777777" w:rsidR="00F40219" w:rsidRPr="00F434C8" w:rsidRDefault="00F40219" w:rsidP="00F40219">
      <w:pPr>
        <w:pStyle w:val="FootnoteText"/>
      </w:pPr>
      <w:r>
        <w:rPr>
          <w:rStyle w:val="FootnoteReference"/>
        </w:rPr>
        <w:footnoteRef/>
      </w:r>
      <w:r>
        <w:t xml:space="preserve"> </w:t>
      </w:r>
      <w:hyperlink r:id="rId21" w:history="1">
        <w:r>
          <w:rPr>
            <w:rStyle w:val="Hyperlink"/>
          </w:rPr>
          <w:t>https://climate-risk-dashboard.climateanalytics.org/</w:t>
        </w:r>
      </w:hyperlink>
      <w:r>
        <w:t xml:space="preserve"> </w:t>
      </w:r>
    </w:p>
  </w:footnote>
  <w:footnote w:id="30">
    <w:p w14:paraId="671478EE" w14:textId="7CA052C1" w:rsidR="00CD5F6E" w:rsidRPr="00E8443B" w:rsidRDefault="00CD5F6E">
      <w:pPr>
        <w:pStyle w:val="FootnoteText"/>
      </w:pPr>
      <w:r>
        <w:rPr>
          <w:rStyle w:val="FootnoteReference"/>
        </w:rPr>
        <w:footnoteRef/>
      </w:r>
      <w:r>
        <w:t xml:space="preserve"> Opisan u IPCC-ovu 6. izvješću o procjeni kao dio scenarija SSP2-4.5, s približnim globalnim efektivnim radijativnim utjecajem od 4,5. </w:t>
      </w:r>
    </w:p>
  </w:footnote>
  <w:footnote w:id="31">
    <w:p w14:paraId="64B2A218" w14:textId="001C82BB" w:rsidR="00E351C4" w:rsidRPr="001E5576" w:rsidRDefault="00E351C4" w:rsidP="00E351C4">
      <w:pPr>
        <w:pStyle w:val="FootnoteText"/>
      </w:pPr>
      <w:r>
        <w:rPr>
          <w:rStyle w:val="FootnoteReference"/>
        </w:rPr>
        <w:footnoteRef/>
      </w:r>
      <w:r>
        <w:t xml:space="preserve"> </w:t>
      </w:r>
      <w:r>
        <w:rPr>
          <w:color w:val="000000"/>
        </w:rPr>
        <w:t xml:space="preserve">COM(2023) 667. </w:t>
      </w:r>
      <w:hyperlink r:id="rId22" w:history="1">
        <w:r>
          <w:rPr>
            <w:rStyle w:val="Hyperlink"/>
          </w:rPr>
          <w:t>https://eur-lex.europa.eu/legal-content/HR/ALL/?uri=COM:2023:667:FIN</w:t>
        </w:r>
      </w:hyperlink>
      <w:r>
        <w:rPr>
          <w:color w:val="000000"/>
        </w:rPr>
        <w:t xml:space="preserve"> </w:t>
      </w:r>
    </w:p>
  </w:footnote>
  <w:footnote w:id="32">
    <w:p w14:paraId="4E8D63CB" w14:textId="77777777" w:rsidR="006840A6" w:rsidRPr="001E5576" w:rsidRDefault="006840A6" w:rsidP="006840A6">
      <w:pPr>
        <w:pStyle w:val="FootnoteText"/>
      </w:pPr>
      <w:r>
        <w:rPr>
          <w:rStyle w:val="FootnoteReference"/>
        </w:rPr>
        <w:footnoteRef/>
      </w:r>
      <w:r>
        <w:t xml:space="preserve"> </w:t>
      </w:r>
      <w:hyperlink r:id="rId23" w:history="1">
        <w:r>
          <w:rPr>
            <w:rStyle w:val="Hyperlink"/>
          </w:rPr>
          <w:t>https://new-european-bauhaus.europa.eu/get-involved/use-compass_en</w:t>
        </w:r>
      </w:hyperlink>
      <w:r>
        <w:t xml:space="preserve"> </w:t>
      </w:r>
    </w:p>
  </w:footnote>
  <w:footnote w:id="33">
    <w:p w14:paraId="791B1005" w14:textId="062C5259" w:rsidR="002743A3" w:rsidRPr="00BB6BA8" w:rsidRDefault="002743A3">
      <w:pPr>
        <w:pStyle w:val="FootnoteText"/>
      </w:pPr>
      <w:r>
        <w:rPr>
          <w:rStyle w:val="FootnoteReference"/>
        </w:rPr>
        <w:footnoteRef/>
      </w:r>
      <w:r>
        <w:t xml:space="preserve"> Direktiva (EU) 2022/2557. SL L 333, 27.12.2022., str. 164.</w:t>
      </w:r>
    </w:p>
  </w:footnote>
  <w:footnote w:id="34">
    <w:p w14:paraId="0695C598" w14:textId="09FF3419" w:rsidR="009C6C0A" w:rsidRPr="00EF5256" w:rsidRDefault="009C6C0A" w:rsidP="000B572F">
      <w:pPr>
        <w:pStyle w:val="FootnoteText"/>
        <w:jc w:val="left"/>
      </w:pPr>
      <w:r>
        <w:rPr>
          <w:rStyle w:val="FootnoteReference"/>
        </w:rPr>
        <w:footnoteRef/>
      </w:r>
      <w:r>
        <w:t xml:space="preserve"> COM(2023) 61. Preporuka SL C 56, 15.2.2023., str. 1. </w:t>
      </w:r>
      <w:hyperlink r:id="rId24" w:history="1">
        <w:r>
          <w:rPr>
            <w:rStyle w:val="Hyperlink"/>
          </w:rPr>
          <w:t>https://eur-lex.europa.eu/legal-content/HR/TXT/?uri=CELEX:52023DC0061</w:t>
        </w:r>
      </w:hyperlink>
      <w:r>
        <w:t xml:space="preserve"> </w:t>
      </w:r>
    </w:p>
  </w:footnote>
  <w:footnote w:id="35">
    <w:p w14:paraId="3ACA03AE" w14:textId="4413A8DC" w:rsidR="009C6C0A" w:rsidRPr="001E5576" w:rsidRDefault="009C6C0A" w:rsidP="009C6C0A">
      <w:pPr>
        <w:pStyle w:val="FootnoteText"/>
      </w:pPr>
      <w:r>
        <w:rPr>
          <w:rStyle w:val="FootnoteReference"/>
        </w:rPr>
        <w:footnoteRef/>
      </w:r>
      <w:r>
        <w:t xml:space="preserve"> COM(2024) 130. </w:t>
      </w:r>
    </w:p>
  </w:footnote>
  <w:footnote w:id="36">
    <w:p w14:paraId="59A7CA8A" w14:textId="3DACFD2A" w:rsidR="00CA7DFD" w:rsidRPr="000B0E9A" w:rsidRDefault="00CA7DFD">
      <w:pPr>
        <w:pStyle w:val="FootnoteText"/>
      </w:pPr>
      <w:r>
        <w:rPr>
          <w:rStyle w:val="FootnoteReference"/>
        </w:rPr>
        <w:footnoteRef/>
      </w:r>
      <w:r>
        <w:t xml:space="preserve"> COM(2023) 161.</w:t>
      </w:r>
    </w:p>
  </w:footnote>
  <w:footnote w:id="37">
    <w:p w14:paraId="3E9387FF" w14:textId="361874AD" w:rsidR="00CA14DC" w:rsidRPr="00F434C8" w:rsidRDefault="00CA14DC">
      <w:pPr>
        <w:pStyle w:val="FootnoteText"/>
      </w:pPr>
      <w:r>
        <w:rPr>
          <w:rStyle w:val="FootnoteReference"/>
        </w:rPr>
        <w:footnoteRef/>
      </w:r>
      <w:r>
        <w:t xml:space="preserve"> IPCC AR6. </w:t>
      </w:r>
      <w:hyperlink r:id="rId25" w:history="1">
        <w:r>
          <w:rPr>
            <w:rStyle w:val="Hyperlink"/>
          </w:rPr>
          <w:t>https://www.ipcc.ch/assessment-report/ar6/</w:t>
        </w:r>
      </w:hyperlink>
      <w:r>
        <w:t xml:space="preserve"> </w:t>
      </w:r>
    </w:p>
  </w:footnote>
  <w:footnote w:id="38">
    <w:p w14:paraId="6363F420" w14:textId="6340D94D" w:rsidR="00E01EF8" w:rsidRPr="00292910" w:rsidRDefault="00E01EF8" w:rsidP="00E01EF8">
      <w:pPr>
        <w:pStyle w:val="FootnoteText"/>
      </w:pPr>
      <w:r>
        <w:rPr>
          <w:rStyle w:val="FootnoteReference"/>
        </w:rPr>
        <w:footnoteRef/>
      </w:r>
      <w:r>
        <w:t xml:space="preserve"> Dasgupta, P. (2021.), </w:t>
      </w:r>
      <w:r>
        <w:rPr>
          <w:i/>
          <w:iCs/>
        </w:rPr>
        <w:t>The Economics of Biodiversity:</w:t>
      </w:r>
      <w:r>
        <w:t xml:space="preserve"> </w:t>
      </w:r>
      <w:r>
        <w:rPr>
          <w:i/>
          <w:iCs/>
        </w:rPr>
        <w:t>The Dasgupta Review</w:t>
      </w:r>
      <w:r>
        <w:t xml:space="preserve">, London: HM Treasury; </w:t>
      </w:r>
      <w:bookmarkStart w:id="49" w:name="_Hlk160963836"/>
      <w:r w:rsidR="000E4168">
        <w:fldChar w:fldCharType="begin"/>
      </w:r>
      <w:r w:rsidR="000E4168">
        <w:instrText>HYPERLINK ""</w:instrText>
      </w:r>
      <w:r w:rsidR="000E4168">
        <w:fldChar w:fldCharType="end"/>
      </w:r>
      <w:bookmarkEnd w:id="49"/>
      <w:r w:rsidR="00EF5256">
        <w:fldChar w:fldCharType="begin"/>
      </w:r>
      <w:r w:rsidR="00EF5256">
        <w:instrText xml:space="preserve"> HYPERLINK "https://www.worldbank.org/en/publication/changing-wealth-of-nations" </w:instrText>
      </w:r>
      <w:r w:rsidR="00EF5256">
        <w:fldChar w:fldCharType="separate"/>
      </w:r>
      <w:r>
        <w:rPr>
          <w:rStyle w:val="Hyperlink"/>
        </w:rPr>
        <w:t>https://www.worldbank.org/en/publication/changing-wealth-of-nations</w:t>
      </w:r>
      <w:r w:rsidR="00EF5256">
        <w:rPr>
          <w:rStyle w:val="Hyperlink"/>
        </w:rPr>
        <w:fldChar w:fldCharType="end"/>
      </w:r>
      <w:r>
        <w:rPr>
          <w:rStyle w:val="Hyperlink"/>
        </w:rPr>
        <w:t xml:space="preserve"> </w:t>
      </w:r>
    </w:p>
  </w:footnote>
  <w:footnote w:id="39">
    <w:p w14:paraId="44C87ABC" w14:textId="3DC1FF4D" w:rsidR="002A4652" w:rsidRPr="001E5576" w:rsidRDefault="002A4652" w:rsidP="002A4652">
      <w:pPr>
        <w:pStyle w:val="FootnoteText"/>
      </w:pPr>
      <w:r>
        <w:rPr>
          <w:rStyle w:val="FootnoteReference"/>
        </w:rPr>
        <w:footnoteRef/>
      </w:r>
      <w:r>
        <w:t xml:space="preserve"> COM(2023) 102 final. </w:t>
      </w:r>
      <w:hyperlink r:id="rId26" w:history="1">
        <w:r>
          <w:rPr>
            <w:rStyle w:val="Hyperlink"/>
          </w:rPr>
          <w:t>https://eur-lex.europa.eu/legal-content/HR/TXT/?uri=CELEX%3A52023DC0102</w:t>
        </w:r>
      </w:hyperlink>
      <w:r>
        <w:t xml:space="preserve"> </w:t>
      </w:r>
    </w:p>
  </w:footnote>
  <w:footnote w:id="40">
    <w:p w14:paraId="70BD6574" w14:textId="4D0D8700" w:rsidR="00507E1A" w:rsidRPr="00BB6BA8" w:rsidRDefault="00507E1A">
      <w:pPr>
        <w:pStyle w:val="FootnoteText"/>
      </w:pPr>
      <w:r>
        <w:rPr>
          <w:rStyle w:val="FootnoteReference"/>
        </w:rPr>
        <w:footnoteRef/>
      </w:r>
      <w:r>
        <w:t xml:space="preserve"> </w:t>
      </w:r>
      <w:hyperlink r:id="rId27" w:history="1">
        <w:r>
          <w:rPr>
            <w:rStyle w:val="Hyperlink"/>
          </w:rPr>
          <w:t>https://research-and-innovation.ec.europa.eu/funding/funding-opportunities/funding-programmes-and-open-calls/horizon-europe/eu-missions-horizon-europe/restore-our-ocean-and-waters_en</w:t>
        </w:r>
      </w:hyperlink>
      <w:r>
        <w:t xml:space="preserve"> </w:t>
      </w:r>
    </w:p>
  </w:footnote>
  <w:footnote w:id="41">
    <w:p w14:paraId="303479BD" w14:textId="3C6B66A6" w:rsidR="00C879A9" w:rsidRPr="009248B3" w:rsidRDefault="00C879A9">
      <w:pPr>
        <w:pStyle w:val="FootnoteText"/>
        <w:rPr>
          <w:b/>
          <w:bCs/>
        </w:rPr>
      </w:pPr>
      <w:bookmarkStart w:id="53" w:name="_Hlk158909971"/>
      <w:r>
        <w:rPr>
          <w:rStyle w:val="FootnoteReference"/>
        </w:rPr>
        <w:footnoteRef/>
      </w:r>
      <w:r>
        <w:t xml:space="preserve"> Interaktivni alat EXHAUSTION: </w:t>
      </w:r>
      <w:hyperlink r:id="rId28" w:history="1">
        <w:r>
          <w:rPr>
            <w:rStyle w:val="Hyperlink"/>
          </w:rPr>
          <w:t>https://www.exhaustion.eu/</w:t>
        </w:r>
      </w:hyperlink>
    </w:p>
    <w:bookmarkEnd w:id="53"/>
  </w:footnote>
  <w:footnote w:id="42">
    <w:p w14:paraId="7D0A162E" w14:textId="0BCE9C02" w:rsidR="0016213D" w:rsidRPr="007E5CF7" w:rsidRDefault="0016213D" w:rsidP="0044238F">
      <w:pPr>
        <w:pStyle w:val="FootnoteText"/>
        <w:jc w:val="left"/>
      </w:pPr>
      <w:r>
        <w:rPr>
          <w:rStyle w:val="FootnoteReference"/>
        </w:rPr>
        <w:footnoteRef/>
      </w:r>
      <w:r>
        <w:t xml:space="preserve"> </w:t>
      </w:r>
      <w:hyperlink r:id="rId29" w:history="1">
        <w:r>
          <w:rPr>
            <w:rStyle w:val="Hyperlink"/>
          </w:rPr>
          <w:t>https://health.ec.europa.eu/non-communicable-diseases/healthier-together-eu-non-communicable-diseases-initiative_en</w:t>
        </w:r>
      </w:hyperlink>
      <w:r>
        <w:t xml:space="preserve"> </w:t>
      </w:r>
    </w:p>
  </w:footnote>
  <w:footnote w:id="43">
    <w:p w14:paraId="778A79D0" w14:textId="72FD8AC7" w:rsidR="00CE4000" w:rsidRPr="00F434C8" w:rsidRDefault="00CE4000">
      <w:pPr>
        <w:pStyle w:val="FootnoteText"/>
      </w:pPr>
      <w:r>
        <w:rPr>
          <w:rStyle w:val="FootnoteReference"/>
        </w:rPr>
        <w:footnoteRef/>
      </w:r>
      <w:r>
        <w:t xml:space="preserve"> COM(2023) 298 final. </w:t>
      </w:r>
      <w:hyperlink r:id="rId30" w:history="1">
        <w:r>
          <w:rPr>
            <w:rStyle w:val="Hyperlink"/>
          </w:rPr>
          <w:t>https://eur-lex.europa.eu/legal-content/HR/TXT/PDF/?uri=CELEX:52023DC0298</w:t>
        </w:r>
      </w:hyperlink>
      <w:r>
        <w:t xml:space="preserve"> </w:t>
      </w:r>
    </w:p>
  </w:footnote>
  <w:footnote w:id="44">
    <w:p w14:paraId="18BD2D0E" w14:textId="63A71D4C" w:rsidR="002E16D5" w:rsidRPr="002E16D5" w:rsidRDefault="002E16D5" w:rsidP="000B572F">
      <w:pPr>
        <w:pStyle w:val="FootnoteText"/>
        <w:jc w:val="left"/>
      </w:pPr>
      <w:r>
        <w:rPr>
          <w:rStyle w:val="FootnoteReference"/>
        </w:rPr>
        <w:footnoteRef/>
      </w:r>
      <w:r>
        <w:t xml:space="preserve"> Deklaracija Sedme ministarske konferencije o okolišu i zdravlju (</w:t>
      </w:r>
      <w:hyperlink r:id="rId31" w:history="1">
        <w:r>
          <w:rPr>
            <w:rStyle w:val="Hyperlink"/>
          </w:rPr>
          <w:t>https://www.who.int/europe/publications/i/item/EURO-Budapest2023-6</w:t>
        </w:r>
      </w:hyperlink>
      <w:r>
        <w:t>), Deklaracija o klimi i zdravlju s konferencije COP 28 u Ujedinjenim Arapskim Emiratima (</w:t>
      </w:r>
      <w:hyperlink r:id="rId32" w:history="1">
        <w:r>
          <w:rPr>
            <w:rStyle w:val="Hyperlink"/>
          </w:rPr>
          <w:t>https://www.cop28.com/en/cop28-uae-declaration-on-climate-and-health</w:t>
        </w:r>
      </w:hyperlink>
      <w:r>
        <w:t>)</w:t>
      </w:r>
    </w:p>
  </w:footnote>
  <w:footnote w:id="45">
    <w:p w14:paraId="15D0A2FA" w14:textId="47DA88CD" w:rsidR="006E78CB" w:rsidRPr="006E78CB" w:rsidRDefault="006E78CB">
      <w:pPr>
        <w:pStyle w:val="FootnoteText"/>
      </w:pPr>
      <w:r>
        <w:rPr>
          <w:rStyle w:val="FootnoteReference"/>
        </w:rPr>
        <w:footnoteRef/>
      </w:r>
      <w:r>
        <w:t xml:space="preserve"> </w:t>
      </w:r>
      <w:hyperlink r:id="rId33" w:history="1">
        <w:r>
          <w:rPr>
            <w:rStyle w:val="Hyperlink"/>
          </w:rPr>
          <w:t>https://osha.europa.eu/en/oshnews/heat-work-guidance-workplaces</w:t>
        </w:r>
      </w:hyperlink>
      <w:r>
        <w:t xml:space="preserve"> </w:t>
      </w:r>
    </w:p>
  </w:footnote>
  <w:footnote w:id="46">
    <w:p w14:paraId="70C30146" w14:textId="53CB9D8F" w:rsidR="005848F9" w:rsidRPr="005848F9" w:rsidRDefault="005848F9">
      <w:pPr>
        <w:pStyle w:val="FootnoteText"/>
      </w:pPr>
      <w:r>
        <w:rPr>
          <w:rStyle w:val="FootnoteReference"/>
        </w:rPr>
        <w:footnoteRef/>
      </w:r>
      <w:r>
        <w:t xml:space="preserve"> Radna skupina za klimatske promjene te sigurnost i zdravlje na radu tripartitnog Savjetodavnog odbora za zdravlje i sigurnost na radu (ACSH).</w:t>
      </w:r>
    </w:p>
  </w:footnote>
  <w:footnote w:id="47">
    <w:p w14:paraId="2A3D2D4A" w14:textId="01537A15" w:rsidR="007A6FC7" w:rsidRDefault="007A6FC7" w:rsidP="007A6FC7">
      <w:pPr>
        <w:rPr>
          <w:color w:val="000000" w:themeColor="text1"/>
          <w:sz w:val="24"/>
          <w:szCs w:val="24"/>
        </w:rPr>
      </w:pPr>
      <w:r>
        <w:rPr>
          <w:rStyle w:val="FootnoteReference"/>
          <w:rFonts w:ascii="Times New Roman" w:hAnsi="Times New Roman" w:cs="Times New Roman"/>
          <w:sz w:val="20"/>
          <w:szCs w:val="20"/>
        </w:rPr>
        <w:footnoteRef/>
      </w:r>
      <w:r>
        <w:t xml:space="preserve"> </w:t>
      </w:r>
      <w:r>
        <w:rPr>
          <w:rFonts w:ascii="Times New Roman" w:hAnsi="Times New Roman"/>
          <w:sz w:val="20"/>
        </w:rPr>
        <w:t>Prognostička studija o utjecaju budućih kretanja i kriza povezanih s klimatskim promjenama na zdravlje i sigurnost na radu (pokrenuta 2024.).</w:t>
      </w:r>
      <w:r>
        <w:rPr>
          <w:color w:val="000000" w:themeColor="text1"/>
          <w:sz w:val="24"/>
        </w:rPr>
        <w:t xml:space="preserve"> </w:t>
      </w:r>
    </w:p>
  </w:footnote>
  <w:footnote w:id="48">
    <w:p w14:paraId="271534AF" w14:textId="0F96BD7D" w:rsidR="00C04ACD" w:rsidRPr="004F6299" w:rsidRDefault="00C04ACD">
      <w:pPr>
        <w:pStyle w:val="FootnoteText"/>
      </w:pPr>
      <w:r>
        <w:rPr>
          <w:rStyle w:val="FootnoteReference"/>
        </w:rPr>
        <w:footnoteRef/>
      </w:r>
      <w:r>
        <w:t xml:space="preserve"> COM(2023) 411 final.</w:t>
      </w:r>
    </w:p>
  </w:footnote>
  <w:footnote w:id="49">
    <w:p w14:paraId="53944F2C" w14:textId="77777777" w:rsidR="005D61D6" w:rsidRPr="00755240" w:rsidRDefault="005D61D6" w:rsidP="005D61D6">
      <w:pPr>
        <w:pStyle w:val="FootnoteText"/>
      </w:pPr>
      <w:r>
        <w:rPr>
          <w:rStyle w:val="FootnoteReference"/>
        </w:rPr>
        <w:footnoteRef/>
      </w:r>
      <w:r>
        <w:t xml:space="preserve"> </w:t>
      </w:r>
      <w:hyperlink r:id="rId34" w:history="1">
        <w:r>
          <w:rPr>
            <w:rStyle w:val="Hyperlink"/>
          </w:rPr>
          <w:t>https://eurocodes.jrc.ec.europa.eu/2nd-generation/second-generation-eurocodes-what-new</w:t>
        </w:r>
      </w:hyperlink>
      <w:r>
        <w:t xml:space="preserve"> </w:t>
      </w:r>
    </w:p>
  </w:footnote>
  <w:footnote w:id="50">
    <w:p w14:paraId="75FCF0FA" w14:textId="77777777" w:rsidR="00B2668D" w:rsidRPr="009248B3" w:rsidRDefault="00B2668D" w:rsidP="00B2668D">
      <w:pPr>
        <w:pStyle w:val="FootnoteText"/>
      </w:pPr>
      <w:r>
        <w:rPr>
          <w:rStyle w:val="FootnoteReference"/>
        </w:rPr>
        <w:footnoteRef/>
      </w:r>
      <w:r>
        <w:t xml:space="preserve"> Schade, W., Khanna, A.A., Mader, S., Streif, M., Abkai, T., de Stasio, C., Thiery, W., Deidda, C., Maatsch, S., Kramer, H. (2023.): </w:t>
      </w:r>
      <w:r>
        <w:rPr>
          <w:i/>
          <w:iCs/>
        </w:rPr>
        <w:t>Support study on the climate adaptation &amp; cross-border investment needs to realize the TEN-T network.</w:t>
      </w:r>
      <w:r>
        <w:t xml:space="preserve"> </w:t>
      </w:r>
      <w:r>
        <w:rPr>
          <w:i/>
          <w:iCs/>
        </w:rPr>
        <w:t>Report on behalf of the European Commission</w:t>
      </w:r>
      <w:r>
        <w:t xml:space="preserve"> (u pripremi).</w:t>
      </w:r>
    </w:p>
  </w:footnote>
  <w:footnote w:id="51">
    <w:p w14:paraId="69169EE4" w14:textId="356834FF" w:rsidR="003057A0" w:rsidRPr="00BC538A" w:rsidRDefault="003057A0" w:rsidP="00D63A43">
      <w:pPr>
        <w:pStyle w:val="FootnoteText"/>
        <w:jc w:val="left"/>
      </w:pPr>
      <w:r>
        <w:rPr>
          <w:rStyle w:val="FootnoteReference"/>
        </w:rPr>
        <w:footnoteRef/>
      </w:r>
      <w:r>
        <w:t xml:space="preserve"> SWD(2024) 63 final. </w:t>
      </w:r>
      <w:hyperlink r:id="rId35" w:history="1">
        <w:r>
          <w:rPr>
            <w:rStyle w:val="Hyperlink"/>
          </w:rPr>
          <w:t>https://climate.ec.europa.eu/document/download/768bc81f-5f48-48e3-b4d4-e02ba09faca1_en</w:t>
        </w:r>
      </w:hyperlink>
      <w:r>
        <w:t xml:space="preserve"> </w:t>
      </w:r>
    </w:p>
  </w:footnote>
  <w:footnote w:id="52">
    <w:p w14:paraId="406BD2AA" w14:textId="54F0BAF9" w:rsidR="00FD6FC6" w:rsidRPr="00BB6BA8" w:rsidRDefault="00FD6FC6">
      <w:pPr>
        <w:pStyle w:val="FootnoteText"/>
      </w:pPr>
      <w:r>
        <w:rPr>
          <w:rStyle w:val="FootnoteReference"/>
        </w:rPr>
        <w:footnoteRef/>
      </w:r>
      <w:r>
        <w:t xml:space="preserve"> Izvješće o dijalogu o otpornosti na klimatske promjene očekuje se u ljeto 2024.</w:t>
      </w:r>
    </w:p>
  </w:footnote>
  <w:footnote w:id="53">
    <w:p w14:paraId="61110D59" w14:textId="6E03CD70" w:rsidR="0059141A" w:rsidRPr="006C5B3C" w:rsidRDefault="00453D4B" w:rsidP="00453D4B">
      <w:pPr>
        <w:pStyle w:val="FootnoteText"/>
      </w:pPr>
      <w:r>
        <w:rPr>
          <w:rStyle w:val="FootnoteReference"/>
        </w:rPr>
        <w:footnoteRef/>
      </w:r>
      <w:r>
        <w:t xml:space="preserve"> </w:t>
      </w:r>
      <w:hyperlink r:id="rId36" w:history="1">
        <w:r>
          <w:rPr>
            <w:rStyle w:val="Hyperlink"/>
          </w:rPr>
          <w:t>http://www.tradeministersonclimate.org/</w:t>
        </w:r>
      </w:hyperlink>
    </w:p>
  </w:footnote>
  <w:footnote w:id="54">
    <w:p w14:paraId="1A279E0D" w14:textId="03FDD8D8" w:rsidR="00FE4D6B" w:rsidRPr="00391DAE" w:rsidRDefault="00FE4D6B" w:rsidP="00FE4D6B">
      <w:pPr>
        <w:pStyle w:val="FootnoteText"/>
        <w:rPr>
          <w:rFonts w:asciiTheme="minorHAnsi" w:hAnsiTheme="minorHAnsi"/>
        </w:rPr>
      </w:pPr>
      <w:r>
        <w:rPr>
          <w:rStyle w:val="FootnoteReference"/>
        </w:rPr>
        <w:footnoteRef/>
      </w:r>
      <w:r>
        <w:t xml:space="preserve"> COM(2022) 409 final. </w:t>
      </w:r>
      <w:hyperlink r:id="rId37" w:history="1">
        <w:r>
          <w:rPr>
            <w:rStyle w:val="Hyperlink"/>
          </w:rPr>
          <w:t>https://eur-lex.europa.eu/legal-content/HR/TXT/?uri=CELEX%3A52022DC0409</w:t>
        </w:r>
      </w:hyperlink>
      <w:r>
        <w:t xml:space="preserve"> </w:t>
      </w:r>
    </w:p>
  </w:footnote>
  <w:footnote w:id="55">
    <w:p w14:paraId="7247A17F" w14:textId="1F85DCF5" w:rsidR="00F74E4A" w:rsidRPr="0043667E" w:rsidRDefault="00F74E4A" w:rsidP="00F74E4A">
      <w:pPr>
        <w:pStyle w:val="FootnoteText"/>
      </w:pPr>
      <w:r>
        <w:rPr>
          <w:rStyle w:val="FootnoteReference"/>
        </w:rPr>
        <w:footnoteRef/>
      </w:r>
      <w:r>
        <w:t xml:space="preserve"> </w:t>
      </w:r>
      <w:hyperlink r:id="rId38" w:history="1">
        <w:r>
          <w:rPr>
            <w:rStyle w:val="Hyperlink"/>
            <w:color w:val="000000" w:themeColor="text1"/>
            <w:u w:val="none"/>
          </w:rPr>
          <w:t>Barbaglia, L., Fatica, S. i Rho, C., Preopterećena kreditna tržišta: fizički klimatski rizici i zajmovi za mala poduzeća (</w:t>
        </w:r>
        <w:r>
          <w:rPr>
            <w:rStyle w:val="Hyperlink"/>
            <w:i/>
            <w:iCs/>
            <w:color w:val="000000" w:themeColor="text1"/>
            <w:u w:val="none"/>
          </w:rPr>
          <w:t>Flooded credit markets:</w:t>
        </w:r>
      </w:hyperlink>
      <w:hyperlink r:id="rId39" w:history="1">
        <w:r>
          <w:rPr>
            <w:rStyle w:val="Hyperlink"/>
            <w:color w:val="000000" w:themeColor="text1"/>
            <w:u w:val="none"/>
          </w:rPr>
          <w:t xml:space="preserve"> </w:t>
        </w:r>
        <w:r>
          <w:rPr>
            <w:rStyle w:val="Hyperlink"/>
            <w:i/>
            <w:iCs/>
            <w:color w:val="000000" w:themeColor="text1"/>
            <w:u w:val="none"/>
          </w:rPr>
          <w:t>physical climate risk and small business lending</w:t>
        </w:r>
        <w:r>
          <w:rPr>
            <w:rStyle w:val="Hyperlink"/>
            <w:color w:val="000000" w:themeColor="text1"/>
            <w:u w:val="none"/>
          </w:rPr>
          <w:t>), Europska komisija, 2023., JRC136274.</w:t>
        </w:r>
      </w:hyperlink>
    </w:p>
  </w:footnote>
  <w:footnote w:id="56">
    <w:p w14:paraId="4AAAEADE" w14:textId="77777777" w:rsidR="001A31EC" w:rsidRPr="005A4F57" w:rsidRDefault="001A31EC" w:rsidP="001A31EC">
      <w:pPr>
        <w:pStyle w:val="FootnoteText"/>
        <w:jc w:val="left"/>
      </w:pPr>
      <w:r>
        <w:rPr>
          <w:rStyle w:val="FootnoteReference"/>
        </w:rPr>
        <w:footnoteRef/>
      </w:r>
      <w:r>
        <w:t xml:space="preserve"> </w:t>
      </w:r>
      <w:hyperlink r:id="rId40" w:history="1">
        <w:r>
          <w:rPr>
            <w:rStyle w:val="Hyperlink"/>
          </w:rPr>
          <w:t>https://www.ecb.europa.eu/pub/economic-bulletin/focus/2023/html/ecb.ebbox202306_05~f5ec994b9e.en.html</w:t>
        </w:r>
      </w:hyperlink>
    </w:p>
  </w:footnote>
  <w:footnote w:id="57">
    <w:p w14:paraId="77E7DC42" w14:textId="05ECE764" w:rsidR="00BD486C" w:rsidRPr="001E5576" w:rsidRDefault="00BD486C">
      <w:pPr>
        <w:pStyle w:val="FootnoteText"/>
      </w:pPr>
      <w:r>
        <w:rPr>
          <w:rStyle w:val="FootnoteReference"/>
        </w:rPr>
        <w:footnoteRef/>
      </w:r>
      <w:r>
        <w:t xml:space="preserve"> COM(2020) 103 final. </w:t>
      </w:r>
      <w:hyperlink r:id="rId41" w:history="1">
        <w:r>
          <w:rPr>
            <w:rStyle w:val="Hyperlink"/>
          </w:rPr>
          <w:t>https://eur-lex.europa.eu/legal-content/hr/ALL/?uri=CELEX%3A52020DC0103</w:t>
        </w:r>
      </w:hyperlink>
      <w:r>
        <w:t xml:space="preserve"> </w:t>
      </w:r>
    </w:p>
  </w:footnote>
  <w:footnote w:id="58">
    <w:p w14:paraId="19E1506E" w14:textId="4E9D2474" w:rsidR="00D95E11" w:rsidRPr="00391DAE" w:rsidRDefault="00D95E11">
      <w:pPr>
        <w:pStyle w:val="FootnoteText"/>
      </w:pPr>
      <w:r>
        <w:rPr>
          <w:rStyle w:val="FootnoteReference"/>
        </w:rPr>
        <w:footnoteRef/>
      </w:r>
      <w:r>
        <w:t xml:space="preserve"> JOIN(2023) 20 final. </w:t>
      </w:r>
      <w:hyperlink r:id="rId42" w:history="1">
        <w:r>
          <w:rPr>
            <w:rStyle w:val="Hyperlink"/>
          </w:rPr>
          <w:t>https://eur-lex.europa.eu/legal-content/HR/TXT/?uri=CELEX%3A52023JC0020</w:t>
        </w:r>
      </w:hyperlink>
      <w:r>
        <w:t xml:space="preserve"> </w:t>
      </w:r>
    </w:p>
  </w:footnote>
  <w:footnote w:id="59">
    <w:p w14:paraId="7A5C3D6E" w14:textId="54393DBE" w:rsidR="0086628C" w:rsidRPr="001E5576" w:rsidRDefault="0086628C">
      <w:pPr>
        <w:pStyle w:val="FootnoteText"/>
      </w:pPr>
      <w:r>
        <w:rPr>
          <w:rStyle w:val="FootnoteReference"/>
        </w:rPr>
        <w:footnoteRef/>
      </w:r>
      <w:r>
        <w:t xml:space="preserve"> COM(2023) 535 final. </w:t>
      </w:r>
      <w:hyperlink r:id="rId43" w:history="1">
        <w:r>
          <w:rPr>
            <w:rStyle w:val="Hyperlink"/>
          </w:rPr>
          <w:t>https://eur-lex.europa.eu/legal-content/HR/TXT/?uri=COM%3A2023%3A535%3AFIN</w:t>
        </w:r>
      </w:hyperlink>
      <w:r>
        <w:t xml:space="preserve"> </w:t>
      </w:r>
    </w:p>
  </w:footnote>
  <w:footnote w:id="60">
    <w:p w14:paraId="52C84E5A" w14:textId="2D0324BB" w:rsidR="00211506" w:rsidRPr="001E5576" w:rsidRDefault="00211506" w:rsidP="00211506">
      <w:pPr>
        <w:pStyle w:val="FootnoteText"/>
      </w:pPr>
      <w:r>
        <w:rPr>
          <w:rStyle w:val="FootnoteReference"/>
        </w:rPr>
        <w:footnoteRef/>
      </w:r>
      <w:r>
        <w:t xml:space="preserve"> COM(2023) 240 final. </w:t>
      </w:r>
      <w:hyperlink r:id="rId44" w:history="1">
        <w:r>
          <w:rPr>
            <w:rStyle w:val="Hyperlink"/>
          </w:rPr>
          <w:t>https://eur-lex.europa.eu/legal-content/HR/TXT/?uri=CELEX%3A52023PC0240</w:t>
        </w:r>
      </w:hyperlink>
      <w:r>
        <w:t xml:space="preserve"> </w:t>
      </w:r>
    </w:p>
  </w:footnote>
  <w:footnote w:id="61">
    <w:p w14:paraId="6A3B86B3" w14:textId="1E7E66E5" w:rsidR="006F47E3" w:rsidRPr="00BB6BA8" w:rsidRDefault="006F47E3" w:rsidP="006F47E3">
      <w:pPr>
        <w:pStyle w:val="FootnoteText"/>
      </w:pPr>
      <w:r>
        <w:rPr>
          <w:rStyle w:val="FootnoteReference"/>
        </w:rPr>
        <w:footnoteRef/>
      </w:r>
      <w:r>
        <w:t xml:space="preserve"> Ekstrapolacijom s procjena za pojedinačne zemlje na razinu EU-a godišnji trošak prilagodbe klimatskim promjenama može do 2030. iznositi između 15 milijardi EUR i 64 milijarde EUR godišnje (0,1 – 0,4 % BDP-a EU-a), pri čemu se srednja vrijednost procjenjuje na oko 21 milijardu EUR (Svjetska banka (u pripremi, 2024.). </w:t>
      </w:r>
      <w:r>
        <w:rPr>
          <w:i/>
          <w:iCs/>
        </w:rPr>
        <w:t>Investing in Resilience:</w:t>
      </w:r>
      <w:r>
        <w:t xml:space="preserve"> </w:t>
      </w:r>
      <w:r>
        <w:rPr>
          <w:i/>
          <w:iCs/>
        </w:rPr>
        <w:t>Climate Adaptation Costing in a Changing World.</w:t>
      </w:r>
      <w:r>
        <w:t xml:space="preserve"> </w:t>
      </w:r>
      <w:r>
        <w:rPr>
          <w:i/>
          <w:iCs/>
        </w:rPr>
        <w:t>Phase II study under Economics for Disaster Prevention and Preparedness:</w:t>
      </w:r>
      <w:r>
        <w:t xml:space="preserve"> </w:t>
      </w:r>
      <w:r>
        <w:rPr>
          <w:i/>
          <w:iCs/>
        </w:rPr>
        <w:t>Prioritizing and Financing Resilient Investments.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8BE0D" w14:textId="77777777" w:rsidR="008510D3" w:rsidRPr="008510D3" w:rsidRDefault="008510D3" w:rsidP="008510D3">
    <w:pPr>
      <w:pStyle w:val="HeaderCoverPag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4B51B" w14:textId="77777777" w:rsidR="008510D3" w:rsidRPr="008510D3" w:rsidRDefault="008510D3" w:rsidP="008510D3">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05690" w14:textId="77777777" w:rsidR="008510D3" w:rsidRPr="008510D3" w:rsidRDefault="008510D3" w:rsidP="008510D3">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61C4C" w14:textId="77777777" w:rsidR="00915255" w:rsidRDefault="0091525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65F3" w14:textId="77777777" w:rsidR="00915255" w:rsidRDefault="0091525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3438B" w14:textId="77777777" w:rsidR="00915255" w:rsidRDefault="0091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07EBE"/>
    <w:multiLevelType w:val="multilevel"/>
    <w:tmpl w:val="2FA891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960CC3"/>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906B92"/>
    <w:multiLevelType w:val="hybridMultilevel"/>
    <w:tmpl w:val="486E22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142A61"/>
    <w:multiLevelType w:val="multilevel"/>
    <w:tmpl w:val="2A00BA5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793F72"/>
    <w:multiLevelType w:val="hybridMultilevel"/>
    <w:tmpl w:val="27507C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06E7B88"/>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3F552B5"/>
    <w:multiLevelType w:val="hybridMultilevel"/>
    <w:tmpl w:val="60D8AEF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1554788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012D86"/>
    <w:multiLevelType w:val="multilevel"/>
    <w:tmpl w:val="4D6A73C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8A5181D"/>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B78081F"/>
    <w:multiLevelType w:val="multilevel"/>
    <w:tmpl w:val="7EA85E4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1C8147B5"/>
    <w:multiLevelType w:val="hybridMultilevel"/>
    <w:tmpl w:val="63982DDC"/>
    <w:lvl w:ilvl="0" w:tplc="D65C0078">
      <w:start w:val="1"/>
      <w:numFmt w:val="bullet"/>
      <w:lvlText w:val=""/>
      <w:lvlJc w:val="left"/>
      <w:pPr>
        <w:ind w:left="720" w:hanging="360"/>
      </w:pPr>
      <w:rPr>
        <w:rFonts w:ascii="Symbol" w:hAnsi="Symbol"/>
      </w:rPr>
    </w:lvl>
    <w:lvl w:ilvl="1" w:tplc="44D4F288">
      <w:start w:val="1"/>
      <w:numFmt w:val="bullet"/>
      <w:lvlText w:val=""/>
      <w:lvlJc w:val="left"/>
      <w:pPr>
        <w:ind w:left="720" w:hanging="360"/>
      </w:pPr>
      <w:rPr>
        <w:rFonts w:ascii="Symbol" w:hAnsi="Symbol"/>
      </w:rPr>
    </w:lvl>
    <w:lvl w:ilvl="2" w:tplc="EBA83878">
      <w:start w:val="1"/>
      <w:numFmt w:val="bullet"/>
      <w:lvlText w:val=""/>
      <w:lvlJc w:val="left"/>
      <w:pPr>
        <w:ind w:left="720" w:hanging="360"/>
      </w:pPr>
      <w:rPr>
        <w:rFonts w:ascii="Symbol" w:hAnsi="Symbol"/>
      </w:rPr>
    </w:lvl>
    <w:lvl w:ilvl="3" w:tplc="CB1C7342">
      <w:start w:val="1"/>
      <w:numFmt w:val="bullet"/>
      <w:lvlText w:val=""/>
      <w:lvlJc w:val="left"/>
      <w:pPr>
        <w:ind w:left="720" w:hanging="360"/>
      </w:pPr>
      <w:rPr>
        <w:rFonts w:ascii="Symbol" w:hAnsi="Symbol"/>
      </w:rPr>
    </w:lvl>
    <w:lvl w:ilvl="4" w:tplc="38E61770">
      <w:start w:val="1"/>
      <w:numFmt w:val="bullet"/>
      <w:lvlText w:val=""/>
      <w:lvlJc w:val="left"/>
      <w:pPr>
        <w:ind w:left="720" w:hanging="360"/>
      </w:pPr>
      <w:rPr>
        <w:rFonts w:ascii="Symbol" w:hAnsi="Symbol"/>
      </w:rPr>
    </w:lvl>
    <w:lvl w:ilvl="5" w:tplc="AA4C99F4">
      <w:start w:val="1"/>
      <w:numFmt w:val="bullet"/>
      <w:lvlText w:val=""/>
      <w:lvlJc w:val="left"/>
      <w:pPr>
        <w:ind w:left="720" w:hanging="360"/>
      </w:pPr>
      <w:rPr>
        <w:rFonts w:ascii="Symbol" w:hAnsi="Symbol"/>
      </w:rPr>
    </w:lvl>
    <w:lvl w:ilvl="6" w:tplc="C1D6D30A">
      <w:start w:val="1"/>
      <w:numFmt w:val="bullet"/>
      <w:lvlText w:val=""/>
      <w:lvlJc w:val="left"/>
      <w:pPr>
        <w:ind w:left="720" w:hanging="360"/>
      </w:pPr>
      <w:rPr>
        <w:rFonts w:ascii="Symbol" w:hAnsi="Symbol"/>
      </w:rPr>
    </w:lvl>
    <w:lvl w:ilvl="7" w:tplc="AF5C02EC">
      <w:start w:val="1"/>
      <w:numFmt w:val="bullet"/>
      <w:lvlText w:val=""/>
      <w:lvlJc w:val="left"/>
      <w:pPr>
        <w:ind w:left="720" w:hanging="360"/>
      </w:pPr>
      <w:rPr>
        <w:rFonts w:ascii="Symbol" w:hAnsi="Symbol"/>
      </w:rPr>
    </w:lvl>
    <w:lvl w:ilvl="8" w:tplc="97528FD4">
      <w:start w:val="1"/>
      <w:numFmt w:val="bullet"/>
      <w:lvlText w:val=""/>
      <w:lvlJc w:val="left"/>
      <w:pPr>
        <w:ind w:left="720" w:hanging="360"/>
      </w:pPr>
      <w:rPr>
        <w:rFonts w:ascii="Symbol" w:hAnsi="Symbol"/>
      </w:rPr>
    </w:lvl>
  </w:abstractNum>
  <w:abstractNum w:abstractNumId="12" w15:restartNumberingAfterBreak="0">
    <w:nsid w:val="1C971491"/>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1D130AB0"/>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981556"/>
    <w:multiLevelType w:val="multilevel"/>
    <w:tmpl w:val="9572E5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4E75984"/>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7437AB6"/>
    <w:multiLevelType w:val="hybridMultilevel"/>
    <w:tmpl w:val="B0A08FCE"/>
    <w:lvl w:ilvl="0" w:tplc="18090001">
      <w:start w:val="1"/>
      <w:numFmt w:val="bullet"/>
      <w:lvlText w:val=""/>
      <w:lvlJc w:val="left"/>
      <w:pPr>
        <w:ind w:left="720" w:hanging="360"/>
      </w:pPr>
      <w:rPr>
        <w:rFonts w:ascii="Symbol" w:eastAsia="Times New Roman" w:hAnsi="Symbol" w:cs="Times New Roman"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27A946FC"/>
    <w:multiLevelType w:val="multilevel"/>
    <w:tmpl w:val="A1560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EDC66CC"/>
    <w:multiLevelType w:val="hybridMultilevel"/>
    <w:tmpl w:val="D41CF4B8"/>
    <w:lvl w:ilvl="0" w:tplc="FA72B0EC">
      <w:start w:val="1"/>
      <w:numFmt w:val="bullet"/>
      <w:lvlText w:val=""/>
      <w:lvlJc w:val="left"/>
      <w:pPr>
        <w:ind w:left="720" w:hanging="360"/>
      </w:pPr>
      <w:rPr>
        <w:rFonts w:ascii="Symbol" w:hAnsi="Symbol"/>
      </w:rPr>
    </w:lvl>
    <w:lvl w:ilvl="1" w:tplc="B92C430A">
      <w:start w:val="1"/>
      <w:numFmt w:val="bullet"/>
      <w:lvlText w:val=""/>
      <w:lvlJc w:val="left"/>
      <w:pPr>
        <w:ind w:left="720" w:hanging="360"/>
      </w:pPr>
      <w:rPr>
        <w:rFonts w:ascii="Symbol" w:hAnsi="Symbol"/>
      </w:rPr>
    </w:lvl>
    <w:lvl w:ilvl="2" w:tplc="4A6C88BA">
      <w:start w:val="1"/>
      <w:numFmt w:val="bullet"/>
      <w:lvlText w:val=""/>
      <w:lvlJc w:val="left"/>
      <w:pPr>
        <w:ind w:left="720" w:hanging="360"/>
      </w:pPr>
      <w:rPr>
        <w:rFonts w:ascii="Symbol" w:hAnsi="Symbol"/>
      </w:rPr>
    </w:lvl>
    <w:lvl w:ilvl="3" w:tplc="EB965748">
      <w:start w:val="1"/>
      <w:numFmt w:val="bullet"/>
      <w:lvlText w:val=""/>
      <w:lvlJc w:val="left"/>
      <w:pPr>
        <w:ind w:left="720" w:hanging="360"/>
      </w:pPr>
      <w:rPr>
        <w:rFonts w:ascii="Symbol" w:hAnsi="Symbol"/>
      </w:rPr>
    </w:lvl>
    <w:lvl w:ilvl="4" w:tplc="BF78F00A">
      <w:start w:val="1"/>
      <w:numFmt w:val="bullet"/>
      <w:lvlText w:val=""/>
      <w:lvlJc w:val="left"/>
      <w:pPr>
        <w:ind w:left="720" w:hanging="360"/>
      </w:pPr>
      <w:rPr>
        <w:rFonts w:ascii="Symbol" w:hAnsi="Symbol"/>
      </w:rPr>
    </w:lvl>
    <w:lvl w:ilvl="5" w:tplc="5E266956">
      <w:start w:val="1"/>
      <w:numFmt w:val="bullet"/>
      <w:lvlText w:val=""/>
      <w:lvlJc w:val="left"/>
      <w:pPr>
        <w:ind w:left="720" w:hanging="360"/>
      </w:pPr>
      <w:rPr>
        <w:rFonts w:ascii="Symbol" w:hAnsi="Symbol"/>
      </w:rPr>
    </w:lvl>
    <w:lvl w:ilvl="6" w:tplc="67D0FB34">
      <w:start w:val="1"/>
      <w:numFmt w:val="bullet"/>
      <w:lvlText w:val=""/>
      <w:lvlJc w:val="left"/>
      <w:pPr>
        <w:ind w:left="720" w:hanging="360"/>
      </w:pPr>
      <w:rPr>
        <w:rFonts w:ascii="Symbol" w:hAnsi="Symbol"/>
      </w:rPr>
    </w:lvl>
    <w:lvl w:ilvl="7" w:tplc="BE80E966">
      <w:start w:val="1"/>
      <w:numFmt w:val="bullet"/>
      <w:lvlText w:val=""/>
      <w:lvlJc w:val="left"/>
      <w:pPr>
        <w:ind w:left="720" w:hanging="360"/>
      </w:pPr>
      <w:rPr>
        <w:rFonts w:ascii="Symbol" w:hAnsi="Symbol"/>
      </w:rPr>
    </w:lvl>
    <w:lvl w:ilvl="8" w:tplc="97A62044">
      <w:start w:val="1"/>
      <w:numFmt w:val="bullet"/>
      <w:lvlText w:val=""/>
      <w:lvlJc w:val="left"/>
      <w:pPr>
        <w:ind w:left="720" w:hanging="360"/>
      </w:pPr>
      <w:rPr>
        <w:rFonts w:ascii="Symbol" w:hAnsi="Symbol"/>
      </w:rPr>
    </w:lvl>
  </w:abstractNum>
  <w:abstractNum w:abstractNumId="19" w15:restartNumberingAfterBreak="0">
    <w:nsid w:val="2EFF2113"/>
    <w:multiLevelType w:val="hybridMultilevel"/>
    <w:tmpl w:val="3B30222A"/>
    <w:lvl w:ilvl="0" w:tplc="2716DEEE">
      <w:start w:val="1"/>
      <w:numFmt w:val="bullet"/>
      <w:lvlText w:val=""/>
      <w:lvlJc w:val="left"/>
      <w:pPr>
        <w:ind w:left="720" w:hanging="360"/>
      </w:pPr>
      <w:rPr>
        <w:rFonts w:ascii="Symbol" w:hAnsi="Symbol"/>
      </w:rPr>
    </w:lvl>
    <w:lvl w:ilvl="1" w:tplc="CD12B078">
      <w:start w:val="1"/>
      <w:numFmt w:val="bullet"/>
      <w:lvlText w:val=""/>
      <w:lvlJc w:val="left"/>
      <w:pPr>
        <w:ind w:left="720" w:hanging="360"/>
      </w:pPr>
      <w:rPr>
        <w:rFonts w:ascii="Symbol" w:hAnsi="Symbol"/>
      </w:rPr>
    </w:lvl>
    <w:lvl w:ilvl="2" w:tplc="6D086B84">
      <w:start w:val="1"/>
      <w:numFmt w:val="bullet"/>
      <w:lvlText w:val=""/>
      <w:lvlJc w:val="left"/>
      <w:pPr>
        <w:ind w:left="720" w:hanging="360"/>
      </w:pPr>
      <w:rPr>
        <w:rFonts w:ascii="Symbol" w:hAnsi="Symbol"/>
      </w:rPr>
    </w:lvl>
    <w:lvl w:ilvl="3" w:tplc="1D9C73B0">
      <w:start w:val="1"/>
      <w:numFmt w:val="bullet"/>
      <w:lvlText w:val=""/>
      <w:lvlJc w:val="left"/>
      <w:pPr>
        <w:ind w:left="720" w:hanging="360"/>
      </w:pPr>
      <w:rPr>
        <w:rFonts w:ascii="Symbol" w:hAnsi="Symbol"/>
      </w:rPr>
    </w:lvl>
    <w:lvl w:ilvl="4" w:tplc="A5FA0224">
      <w:start w:val="1"/>
      <w:numFmt w:val="bullet"/>
      <w:lvlText w:val=""/>
      <w:lvlJc w:val="left"/>
      <w:pPr>
        <w:ind w:left="720" w:hanging="360"/>
      </w:pPr>
      <w:rPr>
        <w:rFonts w:ascii="Symbol" w:hAnsi="Symbol"/>
      </w:rPr>
    </w:lvl>
    <w:lvl w:ilvl="5" w:tplc="6F580270">
      <w:start w:val="1"/>
      <w:numFmt w:val="bullet"/>
      <w:lvlText w:val=""/>
      <w:lvlJc w:val="left"/>
      <w:pPr>
        <w:ind w:left="720" w:hanging="360"/>
      </w:pPr>
      <w:rPr>
        <w:rFonts w:ascii="Symbol" w:hAnsi="Symbol"/>
      </w:rPr>
    </w:lvl>
    <w:lvl w:ilvl="6" w:tplc="CA5CBCD6">
      <w:start w:val="1"/>
      <w:numFmt w:val="bullet"/>
      <w:lvlText w:val=""/>
      <w:lvlJc w:val="left"/>
      <w:pPr>
        <w:ind w:left="720" w:hanging="360"/>
      </w:pPr>
      <w:rPr>
        <w:rFonts w:ascii="Symbol" w:hAnsi="Symbol"/>
      </w:rPr>
    </w:lvl>
    <w:lvl w:ilvl="7" w:tplc="E40653AE">
      <w:start w:val="1"/>
      <w:numFmt w:val="bullet"/>
      <w:lvlText w:val=""/>
      <w:lvlJc w:val="left"/>
      <w:pPr>
        <w:ind w:left="720" w:hanging="360"/>
      </w:pPr>
      <w:rPr>
        <w:rFonts w:ascii="Symbol" w:hAnsi="Symbol"/>
      </w:rPr>
    </w:lvl>
    <w:lvl w:ilvl="8" w:tplc="8C121CE2">
      <w:start w:val="1"/>
      <w:numFmt w:val="bullet"/>
      <w:lvlText w:val=""/>
      <w:lvlJc w:val="left"/>
      <w:pPr>
        <w:ind w:left="720" w:hanging="360"/>
      </w:pPr>
      <w:rPr>
        <w:rFonts w:ascii="Symbol" w:hAnsi="Symbol"/>
      </w:rPr>
    </w:lvl>
  </w:abstractNum>
  <w:abstractNum w:abstractNumId="20" w15:restartNumberingAfterBreak="0">
    <w:nsid w:val="39A94022"/>
    <w:multiLevelType w:val="multilevel"/>
    <w:tmpl w:val="2A6491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9AC4C35"/>
    <w:multiLevelType w:val="multilevel"/>
    <w:tmpl w:val="B62AD75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9B21281"/>
    <w:multiLevelType w:val="multilevel"/>
    <w:tmpl w:val="412A465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E07F3A"/>
    <w:multiLevelType w:val="hybridMultilevel"/>
    <w:tmpl w:val="3EAA6476"/>
    <w:lvl w:ilvl="0" w:tplc="9DDA3F20">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4" w15:restartNumberingAfterBreak="0">
    <w:nsid w:val="3F847391"/>
    <w:multiLevelType w:val="multilevel"/>
    <w:tmpl w:val="8A962B1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FC11F14"/>
    <w:multiLevelType w:val="hybridMultilevel"/>
    <w:tmpl w:val="D2802AC0"/>
    <w:lvl w:ilvl="0" w:tplc="833AC21C">
      <w:start w:val="1"/>
      <w:numFmt w:val="bullet"/>
      <w:lvlText w:val=""/>
      <w:lvlJc w:val="left"/>
      <w:pPr>
        <w:ind w:left="1440" w:hanging="360"/>
      </w:pPr>
      <w:rPr>
        <w:rFonts w:ascii="Symbol" w:hAnsi="Symbol"/>
      </w:rPr>
    </w:lvl>
    <w:lvl w:ilvl="1" w:tplc="2EB099CA">
      <w:start w:val="1"/>
      <w:numFmt w:val="bullet"/>
      <w:lvlText w:val=""/>
      <w:lvlJc w:val="left"/>
      <w:pPr>
        <w:ind w:left="1440" w:hanging="360"/>
      </w:pPr>
      <w:rPr>
        <w:rFonts w:ascii="Symbol" w:hAnsi="Symbol"/>
      </w:rPr>
    </w:lvl>
    <w:lvl w:ilvl="2" w:tplc="7C289D7A">
      <w:start w:val="1"/>
      <w:numFmt w:val="bullet"/>
      <w:lvlText w:val=""/>
      <w:lvlJc w:val="left"/>
      <w:pPr>
        <w:ind w:left="1440" w:hanging="360"/>
      </w:pPr>
      <w:rPr>
        <w:rFonts w:ascii="Symbol" w:hAnsi="Symbol"/>
      </w:rPr>
    </w:lvl>
    <w:lvl w:ilvl="3" w:tplc="DC52F9C8">
      <w:start w:val="1"/>
      <w:numFmt w:val="bullet"/>
      <w:lvlText w:val=""/>
      <w:lvlJc w:val="left"/>
      <w:pPr>
        <w:ind w:left="1440" w:hanging="360"/>
      </w:pPr>
      <w:rPr>
        <w:rFonts w:ascii="Symbol" w:hAnsi="Symbol"/>
      </w:rPr>
    </w:lvl>
    <w:lvl w:ilvl="4" w:tplc="F2C07A40">
      <w:start w:val="1"/>
      <w:numFmt w:val="bullet"/>
      <w:lvlText w:val=""/>
      <w:lvlJc w:val="left"/>
      <w:pPr>
        <w:ind w:left="1440" w:hanging="360"/>
      </w:pPr>
      <w:rPr>
        <w:rFonts w:ascii="Symbol" w:hAnsi="Symbol"/>
      </w:rPr>
    </w:lvl>
    <w:lvl w:ilvl="5" w:tplc="7E2E3CC8">
      <w:start w:val="1"/>
      <w:numFmt w:val="bullet"/>
      <w:lvlText w:val=""/>
      <w:lvlJc w:val="left"/>
      <w:pPr>
        <w:ind w:left="1440" w:hanging="360"/>
      </w:pPr>
      <w:rPr>
        <w:rFonts w:ascii="Symbol" w:hAnsi="Symbol"/>
      </w:rPr>
    </w:lvl>
    <w:lvl w:ilvl="6" w:tplc="40C8A7F6">
      <w:start w:val="1"/>
      <w:numFmt w:val="bullet"/>
      <w:lvlText w:val=""/>
      <w:lvlJc w:val="left"/>
      <w:pPr>
        <w:ind w:left="1440" w:hanging="360"/>
      </w:pPr>
      <w:rPr>
        <w:rFonts w:ascii="Symbol" w:hAnsi="Symbol"/>
      </w:rPr>
    </w:lvl>
    <w:lvl w:ilvl="7" w:tplc="300201DE">
      <w:start w:val="1"/>
      <w:numFmt w:val="bullet"/>
      <w:lvlText w:val=""/>
      <w:lvlJc w:val="left"/>
      <w:pPr>
        <w:ind w:left="1440" w:hanging="360"/>
      </w:pPr>
      <w:rPr>
        <w:rFonts w:ascii="Symbol" w:hAnsi="Symbol"/>
      </w:rPr>
    </w:lvl>
    <w:lvl w:ilvl="8" w:tplc="F5401D9E">
      <w:start w:val="1"/>
      <w:numFmt w:val="bullet"/>
      <w:lvlText w:val=""/>
      <w:lvlJc w:val="left"/>
      <w:pPr>
        <w:ind w:left="1440" w:hanging="360"/>
      </w:pPr>
      <w:rPr>
        <w:rFonts w:ascii="Symbol" w:hAnsi="Symbol"/>
      </w:rPr>
    </w:lvl>
  </w:abstractNum>
  <w:abstractNum w:abstractNumId="26" w15:restartNumberingAfterBreak="0">
    <w:nsid w:val="42FD19F6"/>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644B68"/>
    <w:multiLevelType w:val="multilevel"/>
    <w:tmpl w:val="206AC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639438E"/>
    <w:multiLevelType w:val="multilevel"/>
    <w:tmpl w:val="6030AC8E"/>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74F6E14"/>
    <w:multiLevelType w:val="hybridMultilevel"/>
    <w:tmpl w:val="67AA85F4"/>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486509AE"/>
    <w:multiLevelType w:val="hybridMultilevel"/>
    <w:tmpl w:val="F13654BA"/>
    <w:lvl w:ilvl="0" w:tplc="18090001">
      <w:start w:val="1"/>
      <w:numFmt w:val="bullet"/>
      <w:lvlText w:val=""/>
      <w:lvlJc w:val="left"/>
      <w:pPr>
        <w:ind w:left="1202" w:hanging="360"/>
      </w:pPr>
      <w:rPr>
        <w:rFonts w:ascii="Symbol" w:hAnsi="Symbol" w:hint="default"/>
      </w:rPr>
    </w:lvl>
    <w:lvl w:ilvl="1" w:tplc="18090003" w:tentative="1">
      <w:start w:val="1"/>
      <w:numFmt w:val="bullet"/>
      <w:lvlText w:val="o"/>
      <w:lvlJc w:val="left"/>
      <w:pPr>
        <w:ind w:left="1922" w:hanging="360"/>
      </w:pPr>
      <w:rPr>
        <w:rFonts w:ascii="Courier New" w:hAnsi="Courier New" w:cs="Courier New" w:hint="default"/>
      </w:rPr>
    </w:lvl>
    <w:lvl w:ilvl="2" w:tplc="18090005" w:tentative="1">
      <w:start w:val="1"/>
      <w:numFmt w:val="bullet"/>
      <w:lvlText w:val=""/>
      <w:lvlJc w:val="left"/>
      <w:pPr>
        <w:ind w:left="2642" w:hanging="360"/>
      </w:pPr>
      <w:rPr>
        <w:rFonts w:ascii="Wingdings" w:hAnsi="Wingdings" w:hint="default"/>
      </w:rPr>
    </w:lvl>
    <w:lvl w:ilvl="3" w:tplc="18090001" w:tentative="1">
      <w:start w:val="1"/>
      <w:numFmt w:val="bullet"/>
      <w:lvlText w:val=""/>
      <w:lvlJc w:val="left"/>
      <w:pPr>
        <w:ind w:left="3362" w:hanging="360"/>
      </w:pPr>
      <w:rPr>
        <w:rFonts w:ascii="Symbol" w:hAnsi="Symbol" w:hint="default"/>
      </w:rPr>
    </w:lvl>
    <w:lvl w:ilvl="4" w:tplc="18090003" w:tentative="1">
      <w:start w:val="1"/>
      <w:numFmt w:val="bullet"/>
      <w:lvlText w:val="o"/>
      <w:lvlJc w:val="left"/>
      <w:pPr>
        <w:ind w:left="4082" w:hanging="360"/>
      </w:pPr>
      <w:rPr>
        <w:rFonts w:ascii="Courier New" w:hAnsi="Courier New" w:cs="Courier New" w:hint="default"/>
      </w:rPr>
    </w:lvl>
    <w:lvl w:ilvl="5" w:tplc="18090005" w:tentative="1">
      <w:start w:val="1"/>
      <w:numFmt w:val="bullet"/>
      <w:lvlText w:val=""/>
      <w:lvlJc w:val="left"/>
      <w:pPr>
        <w:ind w:left="4802" w:hanging="360"/>
      </w:pPr>
      <w:rPr>
        <w:rFonts w:ascii="Wingdings" w:hAnsi="Wingdings" w:hint="default"/>
      </w:rPr>
    </w:lvl>
    <w:lvl w:ilvl="6" w:tplc="18090001" w:tentative="1">
      <w:start w:val="1"/>
      <w:numFmt w:val="bullet"/>
      <w:lvlText w:val=""/>
      <w:lvlJc w:val="left"/>
      <w:pPr>
        <w:ind w:left="5522" w:hanging="360"/>
      </w:pPr>
      <w:rPr>
        <w:rFonts w:ascii="Symbol" w:hAnsi="Symbol" w:hint="default"/>
      </w:rPr>
    </w:lvl>
    <w:lvl w:ilvl="7" w:tplc="18090003" w:tentative="1">
      <w:start w:val="1"/>
      <w:numFmt w:val="bullet"/>
      <w:lvlText w:val="o"/>
      <w:lvlJc w:val="left"/>
      <w:pPr>
        <w:ind w:left="6242" w:hanging="360"/>
      </w:pPr>
      <w:rPr>
        <w:rFonts w:ascii="Courier New" w:hAnsi="Courier New" w:cs="Courier New" w:hint="default"/>
      </w:rPr>
    </w:lvl>
    <w:lvl w:ilvl="8" w:tplc="18090005" w:tentative="1">
      <w:start w:val="1"/>
      <w:numFmt w:val="bullet"/>
      <w:lvlText w:val=""/>
      <w:lvlJc w:val="left"/>
      <w:pPr>
        <w:ind w:left="6962" w:hanging="360"/>
      </w:pPr>
      <w:rPr>
        <w:rFonts w:ascii="Wingdings" w:hAnsi="Wingdings" w:hint="default"/>
      </w:rPr>
    </w:lvl>
  </w:abstractNum>
  <w:abstractNum w:abstractNumId="31" w15:restartNumberingAfterBreak="0">
    <w:nsid w:val="48EC5204"/>
    <w:multiLevelType w:val="multilevel"/>
    <w:tmpl w:val="FD94DA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49A1660F"/>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AB54686"/>
    <w:multiLevelType w:val="multilevel"/>
    <w:tmpl w:val="6ECE33A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BAC514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4C163A02"/>
    <w:multiLevelType w:val="multilevel"/>
    <w:tmpl w:val="2604CA9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D3C3BA9"/>
    <w:multiLevelType w:val="hybridMultilevel"/>
    <w:tmpl w:val="E5FCAE2C"/>
    <w:lvl w:ilvl="0" w:tplc="68E22FC2">
      <w:start w:val="1"/>
      <w:numFmt w:val="bullet"/>
      <w:lvlText w:val=""/>
      <w:lvlJc w:val="left"/>
      <w:pPr>
        <w:ind w:left="1780" w:hanging="360"/>
      </w:pPr>
      <w:rPr>
        <w:rFonts w:ascii="Symbol" w:hAnsi="Symbol"/>
      </w:rPr>
    </w:lvl>
    <w:lvl w:ilvl="1" w:tplc="A3D0EC82">
      <w:start w:val="1"/>
      <w:numFmt w:val="bullet"/>
      <w:lvlText w:val=""/>
      <w:lvlJc w:val="left"/>
      <w:pPr>
        <w:ind w:left="1780" w:hanging="360"/>
      </w:pPr>
      <w:rPr>
        <w:rFonts w:ascii="Symbol" w:hAnsi="Symbol"/>
      </w:rPr>
    </w:lvl>
    <w:lvl w:ilvl="2" w:tplc="B436FF50">
      <w:start w:val="1"/>
      <w:numFmt w:val="bullet"/>
      <w:lvlText w:val=""/>
      <w:lvlJc w:val="left"/>
      <w:pPr>
        <w:ind w:left="1780" w:hanging="360"/>
      </w:pPr>
      <w:rPr>
        <w:rFonts w:ascii="Symbol" w:hAnsi="Symbol"/>
      </w:rPr>
    </w:lvl>
    <w:lvl w:ilvl="3" w:tplc="427E3F2C">
      <w:start w:val="1"/>
      <w:numFmt w:val="bullet"/>
      <w:lvlText w:val=""/>
      <w:lvlJc w:val="left"/>
      <w:pPr>
        <w:ind w:left="1780" w:hanging="360"/>
      </w:pPr>
      <w:rPr>
        <w:rFonts w:ascii="Symbol" w:hAnsi="Symbol"/>
      </w:rPr>
    </w:lvl>
    <w:lvl w:ilvl="4" w:tplc="DCAEC042">
      <w:start w:val="1"/>
      <w:numFmt w:val="bullet"/>
      <w:lvlText w:val=""/>
      <w:lvlJc w:val="left"/>
      <w:pPr>
        <w:ind w:left="1780" w:hanging="360"/>
      </w:pPr>
      <w:rPr>
        <w:rFonts w:ascii="Symbol" w:hAnsi="Symbol"/>
      </w:rPr>
    </w:lvl>
    <w:lvl w:ilvl="5" w:tplc="51A0B7DA">
      <w:start w:val="1"/>
      <w:numFmt w:val="bullet"/>
      <w:lvlText w:val=""/>
      <w:lvlJc w:val="left"/>
      <w:pPr>
        <w:ind w:left="1780" w:hanging="360"/>
      </w:pPr>
      <w:rPr>
        <w:rFonts w:ascii="Symbol" w:hAnsi="Symbol"/>
      </w:rPr>
    </w:lvl>
    <w:lvl w:ilvl="6" w:tplc="D5C69496">
      <w:start w:val="1"/>
      <w:numFmt w:val="bullet"/>
      <w:lvlText w:val=""/>
      <w:lvlJc w:val="left"/>
      <w:pPr>
        <w:ind w:left="1780" w:hanging="360"/>
      </w:pPr>
      <w:rPr>
        <w:rFonts w:ascii="Symbol" w:hAnsi="Symbol"/>
      </w:rPr>
    </w:lvl>
    <w:lvl w:ilvl="7" w:tplc="B034292C">
      <w:start w:val="1"/>
      <w:numFmt w:val="bullet"/>
      <w:lvlText w:val=""/>
      <w:lvlJc w:val="left"/>
      <w:pPr>
        <w:ind w:left="1780" w:hanging="360"/>
      </w:pPr>
      <w:rPr>
        <w:rFonts w:ascii="Symbol" w:hAnsi="Symbol"/>
      </w:rPr>
    </w:lvl>
    <w:lvl w:ilvl="8" w:tplc="002AC438">
      <w:start w:val="1"/>
      <w:numFmt w:val="bullet"/>
      <w:lvlText w:val=""/>
      <w:lvlJc w:val="left"/>
      <w:pPr>
        <w:ind w:left="1780" w:hanging="360"/>
      </w:pPr>
      <w:rPr>
        <w:rFonts w:ascii="Symbol" w:hAnsi="Symbol"/>
      </w:rPr>
    </w:lvl>
  </w:abstractNum>
  <w:abstractNum w:abstractNumId="37" w15:restartNumberingAfterBreak="0">
    <w:nsid w:val="4F8F6D02"/>
    <w:multiLevelType w:val="hybridMultilevel"/>
    <w:tmpl w:val="71EAAA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1160BA1"/>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40C139F"/>
    <w:multiLevelType w:val="hybridMultilevel"/>
    <w:tmpl w:val="CAFA9612"/>
    <w:lvl w:ilvl="0" w:tplc="B5889958">
      <w:start w:val="1"/>
      <w:numFmt w:val="bullet"/>
      <w:lvlText w:val=""/>
      <w:lvlJc w:val="left"/>
      <w:pPr>
        <w:ind w:left="720" w:hanging="360"/>
      </w:pPr>
      <w:rPr>
        <w:rFonts w:ascii="Symbol" w:hAnsi="Symbol"/>
      </w:rPr>
    </w:lvl>
    <w:lvl w:ilvl="1" w:tplc="2F206D76">
      <w:start w:val="1"/>
      <w:numFmt w:val="bullet"/>
      <w:lvlText w:val=""/>
      <w:lvlJc w:val="left"/>
      <w:pPr>
        <w:ind w:left="720" w:hanging="360"/>
      </w:pPr>
      <w:rPr>
        <w:rFonts w:ascii="Symbol" w:hAnsi="Symbol"/>
      </w:rPr>
    </w:lvl>
    <w:lvl w:ilvl="2" w:tplc="B282ADE0">
      <w:start w:val="1"/>
      <w:numFmt w:val="bullet"/>
      <w:lvlText w:val=""/>
      <w:lvlJc w:val="left"/>
      <w:pPr>
        <w:ind w:left="720" w:hanging="360"/>
      </w:pPr>
      <w:rPr>
        <w:rFonts w:ascii="Symbol" w:hAnsi="Symbol"/>
      </w:rPr>
    </w:lvl>
    <w:lvl w:ilvl="3" w:tplc="1856E85A">
      <w:start w:val="1"/>
      <w:numFmt w:val="bullet"/>
      <w:lvlText w:val=""/>
      <w:lvlJc w:val="left"/>
      <w:pPr>
        <w:ind w:left="720" w:hanging="360"/>
      </w:pPr>
      <w:rPr>
        <w:rFonts w:ascii="Symbol" w:hAnsi="Symbol"/>
      </w:rPr>
    </w:lvl>
    <w:lvl w:ilvl="4" w:tplc="810E5556">
      <w:start w:val="1"/>
      <w:numFmt w:val="bullet"/>
      <w:lvlText w:val=""/>
      <w:lvlJc w:val="left"/>
      <w:pPr>
        <w:ind w:left="720" w:hanging="360"/>
      </w:pPr>
      <w:rPr>
        <w:rFonts w:ascii="Symbol" w:hAnsi="Symbol"/>
      </w:rPr>
    </w:lvl>
    <w:lvl w:ilvl="5" w:tplc="4D726534">
      <w:start w:val="1"/>
      <w:numFmt w:val="bullet"/>
      <w:lvlText w:val=""/>
      <w:lvlJc w:val="left"/>
      <w:pPr>
        <w:ind w:left="720" w:hanging="360"/>
      </w:pPr>
      <w:rPr>
        <w:rFonts w:ascii="Symbol" w:hAnsi="Symbol"/>
      </w:rPr>
    </w:lvl>
    <w:lvl w:ilvl="6" w:tplc="DF4618B6">
      <w:start w:val="1"/>
      <w:numFmt w:val="bullet"/>
      <w:lvlText w:val=""/>
      <w:lvlJc w:val="left"/>
      <w:pPr>
        <w:ind w:left="720" w:hanging="360"/>
      </w:pPr>
      <w:rPr>
        <w:rFonts w:ascii="Symbol" w:hAnsi="Symbol"/>
      </w:rPr>
    </w:lvl>
    <w:lvl w:ilvl="7" w:tplc="53B26F2C">
      <w:start w:val="1"/>
      <w:numFmt w:val="bullet"/>
      <w:lvlText w:val=""/>
      <w:lvlJc w:val="left"/>
      <w:pPr>
        <w:ind w:left="720" w:hanging="360"/>
      </w:pPr>
      <w:rPr>
        <w:rFonts w:ascii="Symbol" w:hAnsi="Symbol"/>
      </w:rPr>
    </w:lvl>
    <w:lvl w:ilvl="8" w:tplc="5E30D5F6">
      <w:start w:val="1"/>
      <w:numFmt w:val="bullet"/>
      <w:lvlText w:val=""/>
      <w:lvlJc w:val="left"/>
      <w:pPr>
        <w:ind w:left="720" w:hanging="360"/>
      </w:pPr>
      <w:rPr>
        <w:rFonts w:ascii="Symbol" w:hAnsi="Symbol"/>
      </w:rPr>
    </w:lvl>
  </w:abstractNum>
  <w:abstractNum w:abstractNumId="40" w15:restartNumberingAfterBreak="0">
    <w:nsid w:val="57BF0C26"/>
    <w:multiLevelType w:val="hybridMultilevel"/>
    <w:tmpl w:val="795E7142"/>
    <w:lvl w:ilvl="0" w:tplc="1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58382113"/>
    <w:multiLevelType w:val="multilevel"/>
    <w:tmpl w:val="E9560A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96E0B3C"/>
    <w:multiLevelType w:val="multilevel"/>
    <w:tmpl w:val="47C4954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9AD178B"/>
    <w:multiLevelType w:val="hybridMultilevel"/>
    <w:tmpl w:val="ED0A3980"/>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5E1E6C28"/>
    <w:multiLevelType w:val="hybridMultilevel"/>
    <w:tmpl w:val="31481A7E"/>
    <w:lvl w:ilvl="0" w:tplc="CA441392">
      <w:start w:val="1"/>
      <w:numFmt w:val="bullet"/>
      <w:lvlText w:val=""/>
      <w:lvlJc w:val="left"/>
      <w:pPr>
        <w:ind w:left="1440" w:hanging="360"/>
      </w:pPr>
      <w:rPr>
        <w:rFonts w:ascii="Symbol" w:hAnsi="Symbol"/>
      </w:rPr>
    </w:lvl>
    <w:lvl w:ilvl="1" w:tplc="43603F02">
      <w:start w:val="1"/>
      <w:numFmt w:val="bullet"/>
      <w:lvlText w:val=""/>
      <w:lvlJc w:val="left"/>
      <w:pPr>
        <w:ind w:left="1440" w:hanging="360"/>
      </w:pPr>
      <w:rPr>
        <w:rFonts w:ascii="Symbol" w:hAnsi="Symbol"/>
      </w:rPr>
    </w:lvl>
    <w:lvl w:ilvl="2" w:tplc="878A4A34">
      <w:start w:val="1"/>
      <w:numFmt w:val="bullet"/>
      <w:lvlText w:val=""/>
      <w:lvlJc w:val="left"/>
      <w:pPr>
        <w:ind w:left="1440" w:hanging="360"/>
      </w:pPr>
      <w:rPr>
        <w:rFonts w:ascii="Symbol" w:hAnsi="Symbol"/>
      </w:rPr>
    </w:lvl>
    <w:lvl w:ilvl="3" w:tplc="315E4810">
      <w:start w:val="1"/>
      <w:numFmt w:val="bullet"/>
      <w:lvlText w:val=""/>
      <w:lvlJc w:val="left"/>
      <w:pPr>
        <w:ind w:left="1440" w:hanging="360"/>
      </w:pPr>
      <w:rPr>
        <w:rFonts w:ascii="Symbol" w:hAnsi="Symbol"/>
      </w:rPr>
    </w:lvl>
    <w:lvl w:ilvl="4" w:tplc="23CA48E6">
      <w:start w:val="1"/>
      <w:numFmt w:val="bullet"/>
      <w:lvlText w:val=""/>
      <w:lvlJc w:val="left"/>
      <w:pPr>
        <w:ind w:left="1440" w:hanging="360"/>
      </w:pPr>
      <w:rPr>
        <w:rFonts w:ascii="Symbol" w:hAnsi="Symbol"/>
      </w:rPr>
    </w:lvl>
    <w:lvl w:ilvl="5" w:tplc="EE220BEC">
      <w:start w:val="1"/>
      <w:numFmt w:val="bullet"/>
      <w:lvlText w:val=""/>
      <w:lvlJc w:val="left"/>
      <w:pPr>
        <w:ind w:left="1440" w:hanging="360"/>
      </w:pPr>
      <w:rPr>
        <w:rFonts w:ascii="Symbol" w:hAnsi="Symbol"/>
      </w:rPr>
    </w:lvl>
    <w:lvl w:ilvl="6" w:tplc="D3062440">
      <w:start w:val="1"/>
      <w:numFmt w:val="bullet"/>
      <w:lvlText w:val=""/>
      <w:lvlJc w:val="left"/>
      <w:pPr>
        <w:ind w:left="1440" w:hanging="360"/>
      </w:pPr>
      <w:rPr>
        <w:rFonts w:ascii="Symbol" w:hAnsi="Symbol"/>
      </w:rPr>
    </w:lvl>
    <w:lvl w:ilvl="7" w:tplc="13843606">
      <w:start w:val="1"/>
      <w:numFmt w:val="bullet"/>
      <w:lvlText w:val=""/>
      <w:lvlJc w:val="left"/>
      <w:pPr>
        <w:ind w:left="1440" w:hanging="360"/>
      </w:pPr>
      <w:rPr>
        <w:rFonts w:ascii="Symbol" w:hAnsi="Symbol"/>
      </w:rPr>
    </w:lvl>
    <w:lvl w:ilvl="8" w:tplc="01486AB2">
      <w:start w:val="1"/>
      <w:numFmt w:val="bullet"/>
      <w:lvlText w:val=""/>
      <w:lvlJc w:val="left"/>
      <w:pPr>
        <w:ind w:left="1440" w:hanging="360"/>
      </w:pPr>
      <w:rPr>
        <w:rFonts w:ascii="Symbol" w:hAnsi="Symbol"/>
      </w:rPr>
    </w:lvl>
  </w:abstractNum>
  <w:abstractNum w:abstractNumId="45" w15:restartNumberingAfterBreak="0">
    <w:nsid w:val="608A5C15"/>
    <w:multiLevelType w:val="multilevel"/>
    <w:tmpl w:val="711811DE"/>
    <w:lvl w:ilvl="0">
      <w:start w:val="1"/>
      <w:numFmt w:val="decimal"/>
      <w:lvlText w:val="%1."/>
      <w:lvlJc w:val="left"/>
      <w:pPr>
        <w:tabs>
          <w:tab w:val="num" w:pos="1080"/>
        </w:tabs>
        <w:ind w:left="1080" w:hanging="360"/>
      </w:p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46" w15:restartNumberingAfterBreak="0">
    <w:nsid w:val="60F3258F"/>
    <w:multiLevelType w:val="hybridMultilevel"/>
    <w:tmpl w:val="0962434E"/>
    <w:lvl w:ilvl="0" w:tplc="18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7" w15:restartNumberingAfterBreak="0">
    <w:nsid w:val="61C2174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2260BF1"/>
    <w:multiLevelType w:val="hybridMultilevel"/>
    <w:tmpl w:val="986C0D6C"/>
    <w:lvl w:ilvl="0" w:tplc="30C2DC86">
      <w:start w:val="1"/>
      <w:numFmt w:val="bullet"/>
      <w:lvlText w:val=""/>
      <w:lvlJc w:val="left"/>
      <w:pPr>
        <w:ind w:left="1440" w:hanging="360"/>
      </w:pPr>
      <w:rPr>
        <w:rFonts w:ascii="Symbol" w:hAnsi="Symbol"/>
      </w:rPr>
    </w:lvl>
    <w:lvl w:ilvl="1" w:tplc="8F8ECBB2">
      <w:start w:val="1"/>
      <w:numFmt w:val="bullet"/>
      <w:lvlText w:val=""/>
      <w:lvlJc w:val="left"/>
      <w:pPr>
        <w:ind w:left="1440" w:hanging="360"/>
      </w:pPr>
      <w:rPr>
        <w:rFonts w:ascii="Symbol" w:hAnsi="Symbol"/>
      </w:rPr>
    </w:lvl>
    <w:lvl w:ilvl="2" w:tplc="F4B2DD48">
      <w:start w:val="1"/>
      <w:numFmt w:val="bullet"/>
      <w:lvlText w:val=""/>
      <w:lvlJc w:val="left"/>
      <w:pPr>
        <w:ind w:left="1440" w:hanging="360"/>
      </w:pPr>
      <w:rPr>
        <w:rFonts w:ascii="Symbol" w:hAnsi="Symbol"/>
      </w:rPr>
    </w:lvl>
    <w:lvl w:ilvl="3" w:tplc="B0ECC5BA">
      <w:start w:val="1"/>
      <w:numFmt w:val="bullet"/>
      <w:lvlText w:val=""/>
      <w:lvlJc w:val="left"/>
      <w:pPr>
        <w:ind w:left="1440" w:hanging="360"/>
      </w:pPr>
      <w:rPr>
        <w:rFonts w:ascii="Symbol" w:hAnsi="Symbol"/>
      </w:rPr>
    </w:lvl>
    <w:lvl w:ilvl="4" w:tplc="252C89B2">
      <w:start w:val="1"/>
      <w:numFmt w:val="bullet"/>
      <w:lvlText w:val=""/>
      <w:lvlJc w:val="left"/>
      <w:pPr>
        <w:ind w:left="1440" w:hanging="360"/>
      </w:pPr>
      <w:rPr>
        <w:rFonts w:ascii="Symbol" w:hAnsi="Symbol"/>
      </w:rPr>
    </w:lvl>
    <w:lvl w:ilvl="5" w:tplc="1A522DC6">
      <w:start w:val="1"/>
      <w:numFmt w:val="bullet"/>
      <w:lvlText w:val=""/>
      <w:lvlJc w:val="left"/>
      <w:pPr>
        <w:ind w:left="1440" w:hanging="360"/>
      </w:pPr>
      <w:rPr>
        <w:rFonts w:ascii="Symbol" w:hAnsi="Symbol"/>
      </w:rPr>
    </w:lvl>
    <w:lvl w:ilvl="6" w:tplc="6AB4DAA2">
      <w:start w:val="1"/>
      <w:numFmt w:val="bullet"/>
      <w:lvlText w:val=""/>
      <w:lvlJc w:val="left"/>
      <w:pPr>
        <w:ind w:left="1440" w:hanging="360"/>
      </w:pPr>
      <w:rPr>
        <w:rFonts w:ascii="Symbol" w:hAnsi="Symbol"/>
      </w:rPr>
    </w:lvl>
    <w:lvl w:ilvl="7" w:tplc="FEA6BAAA">
      <w:start w:val="1"/>
      <w:numFmt w:val="bullet"/>
      <w:lvlText w:val=""/>
      <w:lvlJc w:val="left"/>
      <w:pPr>
        <w:ind w:left="1440" w:hanging="360"/>
      </w:pPr>
      <w:rPr>
        <w:rFonts w:ascii="Symbol" w:hAnsi="Symbol"/>
      </w:rPr>
    </w:lvl>
    <w:lvl w:ilvl="8" w:tplc="7A9C4510">
      <w:start w:val="1"/>
      <w:numFmt w:val="bullet"/>
      <w:lvlText w:val=""/>
      <w:lvlJc w:val="left"/>
      <w:pPr>
        <w:ind w:left="1440" w:hanging="360"/>
      </w:pPr>
      <w:rPr>
        <w:rFonts w:ascii="Symbol" w:hAnsi="Symbol"/>
      </w:rPr>
    </w:lvl>
  </w:abstractNum>
  <w:abstractNum w:abstractNumId="49" w15:restartNumberingAfterBreak="0">
    <w:nsid w:val="64820F3B"/>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66B5C6B"/>
    <w:multiLevelType w:val="hybridMultilevel"/>
    <w:tmpl w:val="6D641952"/>
    <w:lvl w:ilvl="0" w:tplc="BBB6E35E">
      <w:start w:val="1"/>
      <w:numFmt w:val="bullet"/>
      <w:lvlText w:val=""/>
      <w:lvlJc w:val="left"/>
      <w:pPr>
        <w:ind w:left="720" w:hanging="360"/>
      </w:pPr>
      <w:rPr>
        <w:rFonts w:ascii="Symbol" w:hAnsi="Symbol"/>
      </w:rPr>
    </w:lvl>
    <w:lvl w:ilvl="1" w:tplc="14E613BA">
      <w:start w:val="1"/>
      <w:numFmt w:val="bullet"/>
      <w:lvlText w:val=""/>
      <w:lvlJc w:val="left"/>
      <w:pPr>
        <w:ind w:left="720" w:hanging="360"/>
      </w:pPr>
      <w:rPr>
        <w:rFonts w:ascii="Symbol" w:hAnsi="Symbol"/>
      </w:rPr>
    </w:lvl>
    <w:lvl w:ilvl="2" w:tplc="3D72A1C8">
      <w:start w:val="1"/>
      <w:numFmt w:val="bullet"/>
      <w:lvlText w:val=""/>
      <w:lvlJc w:val="left"/>
      <w:pPr>
        <w:ind w:left="720" w:hanging="360"/>
      </w:pPr>
      <w:rPr>
        <w:rFonts w:ascii="Symbol" w:hAnsi="Symbol"/>
      </w:rPr>
    </w:lvl>
    <w:lvl w:ilvl="3" w:tplc="1E3EA968">
      <w:start w:val="1"/>
      <w:numFmt w:val="bullet"/>
      <w:lvlText w:val=""/>
      <w:lvlJc w:val="left"/>
      <w:pPr>
        <w:ind w:left="720" w:hanging="360"/>
      </w:pPr>
      <w:rPr>
        <w:rFonts w:ascii="Symbol" w:hAnsi="Symbol"/>
      </w:rPr>
    </w:lvl>
    <w:lvl w:ilvl="4" w:tplc="90CAFD24">
      <w:start w:val="1"/>
      <w:numFmt w:val="bullet"/>
      <w:lvlText w:val=""/>
      <w:lvlJc w:val="left"/>
      <w:pPr>
        <w:ind w:left="720" w:hanging="360"/>
      </w:pPr>
      <w:rPr>
        <w:rFonts w:ascii="Symbol" w:hAnsi="Symbol"/>
      </w:rPr>
    </w:lvl>
    <w:lvl w:ilvl="5" w:tplc="0E705430">
      <w:start w:val="1"/>
      <w:numFmt w:val="bullet"/>
      <w:lvlText w:val=""/>
      <w:lvlJc w:val="left"/>
      <w:pPr>
        <w:ind w:left="720" w:hanging="360"/>
      </w:pPr>
      <w:rPr>
        <w:rFonts w:ascii="Symbol" w:hAnsi="Symbol"/>
      </w:rPr>
    </w:lvl>
    <w:lvl w:ilvl="6" w:tplc="1B4C95B4">
      <w:start w:val="1"/>
      <w:numFmt w:val="bullet"/>
      <w:lvlText w:val=""/>
      <w:lvlJc w:val="left"/>
      <w:pPr>
        <w:ind w:left="720" w:hanging="360"/>
      </w:pPr>
      <w:rPr>
        <w:rFonts w:ascii="Symbol" w:hAnsi="Symbol"/>
      </w:rPr>
    </w:lvl>
    <w:lvl w:ilvl="7" w:tplc="8772860C">
      <w:start w:val="1"/>
      <w:numFmt w:val="bullet"/>
      <w:lvlText w:val=""/>
      <w:lvlJc w:val="left"/>
      <w:pPr>
        <w:ind w:left="720" w:hanging="360"/>
      </w:pPr>
      <w:rPr>
        <w:rFonts w:ascii="Symbol" w:hAnsi="Symbol"/>
      </w:rPr>
    </w:lvl>
    <w:lvl w:ilvl="8" w:tplc="EB56DE96">
      <w:start w:val="1"/>
      <w:numFmt w:val="bullet"/>
      <w:lvlText w:val=""/>
      <w:lvlJc w:val="left"/>
      <w:pPr>
        <w:ind w:left="720" w:hanging="360"/>
      </w:pPr>
      <w:rPr>
        <w:rFonts w:ascii="Symbol" w:hAnsi="Symbol"/>
      </w:rPr>
    </w:lvl>
  </w:abstractNum>
  <w:abstractNum w:abstractNumId="51" w15:restartNumberingAfterBreak="0">
    <w:nsid w:val="66ED4C83"/>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839298A"/>
    <w:multiLevelType w:val="multilevel"/>
    <w:tmpl w:val="B3AC47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B6C53BE"/>
    <w:multiLevelType w:val="multilevel"/>
    <w:tmpl w:val="032A9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E23016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6F653A52"/>
    <w:multiLevelType w:val="hybridMultilevel"/>
    <w:tmpl w:val="182CA628"/>
    <w:lvl w:ilvl="0" w:tplc="DA2C5A06">
      <w:numFmt w:val="bullet"/>
      <w:lvlText w:val="-"/>
      <w:lvlJc w:val="left"/>
      <w:pPr>
        <w:ind w:left="360" w:hanging="360"/>
      </w:pPr>
      <w:rPr>
        <w:rFonts w:ascii="Times New Roman" w:eastAsia="Times New Roman" w:hAnsi="Times New Roman" w:cs="Times New Roman"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56" w15:restartNumberingAfterBreak="0">
    <w:nsid w:val="6F752763"/>
    <w:multiLevelType w:val="multilevel"/>
    <w:tmpl w:val="853A6E9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1CC7370"/>
    <w:multiLevelType w:val="hybridMultilevel"/>
    <w:tmpl w:val="A47227C8"/>
    <w:lvl w:ilvl="0" w:tplc="B0320138">
      <w:start w:val="1"/>
      <w:numFmt w:val="bullet"/>
      <w:lvlText w:val=""/>
      <w:lvlJc w:val="left"/>
      <w:pPr>
        <w:ind w:left="1780" w:hanging="360"/>
      </w:pPr>
      <w:rPr>
        <w:rFonts w:ascii="Symbol" w:hAnsi="Symbol"/>
      </w:rPr>
    </w:lvl>
    <w:lvl w:ilvl="1" w:tplc="2FCE377E">
      <w:start w:val="1"/>
      <w:numFmt w:val="bullet"/>
      <w:lvlText w:val=""/>
      <w:lvlJc w:val="left"/>
      <w:pPr>
        <w:ind w:left="1780" w:hanging="360"/>
      </w:pPr>
      <w:rPr>
        <w:rFonts w:ascii="Symbol" w:hAnsi="Symbol"/>
      </w:rPr>
    </w:lvl>
    <w:lvl w:ilvl="2" w:tplc="2A7C1A30">
      <w:start w:val="1"/>
      <w:numFmt w:val="bullet"/>
      <w:lvlText w:val=""/>
      <w:lvlJc w:val="left"/>
      <w:pPr>
        <w:ind w:left="1780" w:hanging="360"/>
      </w:pPr>
      <w:rPr>
        <w:rFonts w:ascii="Symbol" w:hAnsi="Symbol"/>
      </w:rPr>
    </w:lvl>
    <w:lvl w:ilvl="3" w:tplc="16D8D48C">
      <w:start w:val="1"/>
      <w:numFmt w:val="bullet"/>
      <w:lvlText w:val=""/>
      <w:lvlJc w:val="left"/>
      <w:pPr>
        <w:ind w:left="1780" w:hanging="360"/>
      </w:pPr>
      <w:rPr>
        <w:rFonts w:ascii="Symbol" w:hAnsi="Symbol"/>
      </w:rPr>
    </w:lvl>
    <w:lvl w:ilvl="4" w:tplc="7C60CE46">
      <w:start w:val="1"/>
      <w:numFmt w:val="bullet"/>
      <w:lvlText w:val=""/>
      <w:lvlJc w:val="left"/>
      <w:pPr>
        <w:ind w:left="1780" w:hanging="360"/>
      </w:pPr>
      <w:rPr>
        <w:rFonts w:ascii="Symbol" w:hAnsi="Symbol"/>
      </w:rPr>
    </w:lvl>
    <w:lvl w:ilvl="5" w:tplc="ED1A8BBE">
      <w:start w:val="1"/>
      <w:numFmt w:val="bullet"/>
      <w:lvlText w:val=""/>
      <w:lvlJc w:val="left"/>
      <w:pPr>
        <w:ind w:left="1780" w:hanging="360"/>
      </w:pPr>
      <w:rPr>
        <w:rFonts w:ascii="Symbol" w:hAnsi="Symbol"/>
      </w:rPr>
    </w:lvl>
    <w:lvl w:ilvl="6" w:tplc="95008466">
      <w:start w:val="1"/>
      <w:numFmt w:val="bullet"/>
      <w:lvlText w:val=""/>
      <w:lvlJc w:val="left"/>
      <w:pPr>
        <w:ind w:left="1780" w:hanging="360"/>
      </w:pPr>
      <w:rPr>
        <w:rFonts w:ascii="Symbol" w:hAnsi="Symbol"/>
      </w:rPr>
    </w:lvl>
    <w:lvl w:ilvl="7" w:tplc="A7E690B2">
      <w:start w:val="1"/>
      <w:numFmt w:val="bullet"/>
      <w:lvlText w:val=""/>
      <w:lvlJc w:val="left"/>
      <w:pPr>
        <w:ind w:left="1780" w:hanging="360"/>
      </w:pPr>
      <w:rPr>
        <w:rFonts w:ascii="Symbol" w:hAnsi="Symbol"/>
      </w:rPr>
    </w:lvl>
    <w:lvl w:ilvl="8" w:tplc="7868A59C">
      <w:start w:val="1"/>
      <w:numFmt w:val="bullet"/>
      <w:lvlText w:val=""/>
      <w:lvlJc w:val="left"/>
      <w:pPr>
        <w:ind w:left="1780" w:hanging="360"/>
      </w:pPr>
      <w:rPr>
        <w:rFonts w:ascii="Symbol" w:hAnsi="Symbol"/>
      </w:rPr>
    </w:lvl>
  </w:abstractNum>
  <w:abstractNum w:abstractNumId="58" w15:restartNumberingAfterBreak="0">
    <w:nsid w:val="72FA3433"/>
    <w:multiLevelType w:val="hybridMultilevel"/>
    <w:tmpl w:val="6496404C"/>
    <w:lvl w:ilvl="0" w:tplc="737CF57E">
      <w:numFmt w:val="bullet"/>
      <w:lvlText w:val="-"/>
      <w:lvlJc w:val="left"/>
      <w:pPr>
        <w:ind w:left="720" w:hanging="360"/>
      </w:pPr>
      <w:rPr>
        <w:rFonts w:ascii="Times New Roman" w:eastAsiaTheme="minorHAnsi" w:hAnsi="Times New Roman" w:cs="Times New Roman" w:hint="default"/>
        <w:u w:val="single"/>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15:restartNumberingAfterBreak="0">
    <w:nsid w:val="744C5F91"/>
    <w:multiLevelType w:val="multilevel"/>
    <w:tmpl w:val="2936720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46C1629"/>
    <w:multiLevelType w:val="hybridMultilevel"/>
    <w:tmpl w:val="9202EF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1" w15:restartNumberingAfterBreak="0">
    <w:nsid w:val="747460AA"/>
    <w:multiLevelType w:val="multilevel"/>
    <w:tmpl w:val="8C0897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749C4A37"/>
    <w:multiLevelType w:val="hybridMultilevel"/>
    <w:tmpl w:val="DEFA961E"/>
    <w:lvl w:ilvl="0" w:tplc="8FD456CA">
      <w:start w:val="1"/>
      <w:numFmt w:val="bullet"/>
      <w:lvlText w:val=""/>
      <w:lvlJc w:val="left"/>
      <w:pPr>
        <w:ind w:left="720" w:hanging="360"/>
      </w:pPr>
      <w:rPr>
        <w:rFonts w:ascii="Symbol" w:hAnsi="Symbol"/>
      </w:rPr>
    </w:lvl>
    <w:lvl w:ilvl="1" w:tplc="04CEBB6E">
      <w:start w:val="1"/>
      <w:numFmt w:val="bullet"/>
      <w:lvlText w:val=""/>
      <w:lvlJc w:val="left"/>
      <w:pPr>
        <w:ind w:left="720" w:hanging="360"/>
      </w:pPr>
      <w:rPr>
        <w:rFonts w:ascii="Symbol" w:hAnsi="Symbol"/>
      </w:rPr>
    </w:lvl>
    <w:lvl w:ilvl="2" w:tplc="E6920A22">
      <w:start w:val="1"/>
      <w:numFmt w:val="bullet"/>
      <w:lvlText w:val=""/>
      <w:lvlJc w:val="left"/>
      <w:pPr>
        <w:ind w:left="720" w:hanging="360"/>
      </w:pPr>
      <w:rPr>
        <w:rFonts w:ascii="Symbol" w:hAnsi="Symbol"/>
      </w:rPr>
    </w:lvl>
    <w:lvl w:ilvl="3" w:tplc="2A06B4B4">
      <w:start w:val="1"/>
      <w:numFmt w:val="bullet"/>
      <w:lvlText w:val=""/>
      <w:lvlJc w:val="left"/>
      <w:pPr>
        <w:ind w:left="720" w:hanging="360"/>
      </w:pPr>
      <w:rPr>
        <w:rFonts w:ascii="Symbol" w:hAnsi="Symbol"/>
      </w:rPr>
    </w:lvl>
    <w:lvl w:ilvl="4" w:tplc="E4BE0588">
      <w:start w:val="1"/>
      <w:numFmt w:val="bullet"/>
      <w:lvlText w:val=""/>
      <w:lvlJc w:val="left"/>
      <w:pPr>
        <w:ind w:left="720" w:hanging="360"/>
      </w:pPr>
      <w:rPr>
        <w:rFonts w:ascii="Symbol" w:hAnsi="Symbol"/>
      </w:rPr>
    </w:lvl>
    <w:lvl w:ilvl="5" w:tplc="81AAF516">
      <w:start w:val="1"/>
      <w:numFmt w:val="bullet"/>
      <w:lvlText w:val=""/>
      <w:lvlJc w:val="left"/>
      <w:pPr>
        <w:ind w:left="720" w:hanging="360"/>
      </w:pPr>
      <w:rPr>
        <w:rFonts w:ascii="Symbol" w:hAnsi="Symbol"/>
      </w:rPr>
    </w:lvl>
    <w:lvl w:ilvl="6" w:tplc="D4A8D962">
      <w:start w:val="1"/>
      <w:numFmt w:val="bullet"/>
      <w:lvlText w:val=""/>
      <w:lvlJc w:val="left"/>
      <w:pPr>
        <w:ind w:left="720" w:hanging="360"/>
      </w:pPr>
      <w:rPr>
        <w:rFonts w:ascii="Symbol" w:hAnsi="Symbol"/>
      </w:rPr>
    </w:lvl>
    <w:lvl w:ilvl="7" w:tplc="2FD0C322">
      <w:start w:val="1"/>
      <w:numFmt w:val="bullet"/>
      <w:lvlText w:val=""/>
      <w:lvlJc w:val="left"/>
      <w:pPr>
        <w:ind w:left="720" w:hanging="360"/>
      </w:pPr>
      <w:rPr>
        <w:rFonts w:ascii="Symbol" w:hAnsi="Symbol"/>
      </w:rPr>
    </w:lvl>
    <w:lvl w:ilvl="8" w:tplc="6316B8B8">
      <w:start w:val="1"/>
      <w:numFmt w:val="bullet"/>
      <w:lvlText w:val=""/>
      <w:lvlJc w:val="left"/>
      <w:pPr>
        <w:ind w:left="720" w:hanging="360"/>
      </w:pPr>
      <w:rPr>
        <w:rFonts w:ascii="Symbol" w:hAnsi="Symbol"/>
      </w:rPr>
    </w:lvl>
  </w:abstractNum>
  <w:abstractNum w:abstractNumId="63" w15:restartNumberingAfterBreak="0">
    <w:nsid w:val="79243CA2"/>
    <w:multiLevelType w:val="multilevel"/>
    <w:tmpl w:val="D26E3F94"/>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AAC736E"/>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7C824D80"/>
    <w:multiLevelType w:val="multilevel"/>
    <w:tmpl w:val="C106A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D207868"/>
    <w:multiLevelType w:val="hybridMultilevel"/>
    <w:tmpl w:val="ECF0515E"/>
    <w:lvl w:ilvl="0" w:tplc="F05EE8B0">
      <w:start w:val="1"/>
      <w:numFmt w:val="bullet"/>
      <w:lvlText w:val=""/>
      <w:lvlJc w:val="left"/>
      <w:pPr>
        <w:ind w:left="720" w:hanging="360"/>
      </w:pPr>
      <w:rPr>
        <w:rFonts w:ascii="Symbol" w:hAnsi="Symbol"/>
      </w:rPr>
    </w:lvl>
    <w:lvl w:ilvl="1" w:tplc="532411DA">
      <w:start w:val="1"/>
      <w:numFmt w:val="bullet"/>
      <w:lvlText w:val=""/>
      <w:lvlJc w:val="left"/>
      <w:pPr>
        <w:ind w:left="720" w:hanging="360"/>
      </w:pPr>
      <w:rPr>
        <w:rFonts w:ascii="Symbol" w:hAnsi="Symbol"/>
      </w:rPr>
    </w:lvl>
    <w:lvl w:ilvl="2" w:tplc="519415D6">
      <w:start w:val="1"/>
      <w:numFmt w:val="bullet"/>
      <w:lvlText w:val=""/>
      <w:lvlJc w:val="left"/>
      <w:pPr>
        <w:ind w:left="720" w:hanging="360"/>
      </w:pPr>
      <w:rPr>
        <w:rFonts w:ascii="Symbol" w:hAnsi="Symbol"/>
      </w:rPr>
    </w:lvl>
    <w:lvl w:ilvl="3" w:tplc="2F04F1B6">
      <w:start w:val="1"/>
      <w:numFmt w:val="bullet"/>
      <w:lvlText w:val=""/>
      <w:lvlJc w:val="left"/>
      <w:pPr>
        <w:ind w:left="720" w:hanging="360"/>
      </w:pPr>
      <w:rPr>
        <w:rFonts w:ascii="Symbol" w:hAnsi="Symbol"/>
      </w:rPr>
    </w:lvl>
    <w:lvl w:ilvl="4" w:tplc="69A43C62">
      <w:start w:val="1"/>
      <w:numFmt w:val="bullet"/>
      <w:lvlText w:val=""/>
      <w:lvlJc w:val="left"/>
      <w:pPr>
        <w:ind w:left="720" w:hanging="360"/>
      </w:pPr>
      <w:rPr>
        <w:rFonts w:ascii="Symbol" w:hAnsi="Symbol"/>
      </w:rPr>
    </w:lvl>
    <w:lvl w:ilvl="5" w:tplc="C55CD730">
      <w:start w:val="1"/>
      <w:numFmt w:val="bullet"/>
      <w:lvlText w:val=""/>
      <w:lvlJc w:val="left"/>
      <w:pPr>
        <w:ind w:left="720" w:hanging="360"/>
      </w:pPr>
      <w:rPr>
        <w:rFonts w:ascii="Symbol" w:hAnsi="Symbol"/>
      </w:rPr>
    </w:lvl>
    <w:lvl w:ilvl="6" w:tplc="F8FA3D6E">
      <w:start w:val="1"/>
      <w:numFmt w:val="bullet"/>
      <w:lvlText w:val=""/>
      <w:lvlJc w:val="left"/>
      <w:pPr>
        <w:ind w:left="720" w:hanging="360"/>
      </w:pPr>
      <w:rPr>
        <w:rFonts w:ascii="Symbol" w:hAnsi="Symbol"/>
      </w:rPr>
    </w:lvl>
    <w:lvl w:ilvl="7" w:tplc="0FD60396">
      <w:start w:val="1"/>
      <w:numFmt w:val="bullet"/>
      <w:lvlText w:val=""/>
      <w:lvlJc w:val="left"/>
      <w:pPr>
        <w:ind w:left="720" w:hanging="360"/>
      </w:pPr>
      <w:rPr>
        <w:rFonts w:ascii="Symbol" w:hAnsi="Symbol"/>
      </w:rPr>
    </w:lvl>
    <w:lvl w:ilvl="8" w:tplc="E498385A">
      <w:start w:val="1"/>
      <w:numFmt w:val="bullet"/>
      <w:lvlText w:val=""/>
      <w:lvlJc w:val="left"/>
      <w:pPr>
        <w:ind w:left="720" w:hanging="360"/>
      </w:pPr>
      <w:rPr>
        <w:rFonts w:ascii="Symbol" w:hAnsi="Symbol"/>
      </w:rPr>
    </w:lvl>
  </w:abstractNum>
  <w:abstractNum w:abstractNumId="67" w15:restartNumberingAfterBreak="0">
    <w:nsid w:val="7FCB61CA"/>
    <w:multiLevelType w:val="multilevel"/>
    <w:tmpl w:val="379A7796"/>
    <w:lvl w:ilvl="0">
      <w:start w:val="1"/>
      <w:numFmt w:val="decimal"/>
      <w:lvlText w:val="%1."/>
      <w:lvlJc w:val="left"/>
      <w:pPr>
        <w:ind w:left="360" w:hanging="360"/>
      </w:pPr>
    </w:lvl>
    <w:lvl w:ilvl="1">
      <w:start w:val="1"/>
      <w:numFmt w:val="decimal"/>
      <w:pStyle w:val="Heading2"/>
      <w:lvlText w:val="%1.%2."/>
      <w:lvlJc w:val="left"/>
      <w:pPr>
        <w:ind w:left="1566"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7"/>
  </w:num>
  <w:num w:numId="2">
    <w:abstractNumId w:val="57"/>
  </w:num>
  <w:num w:numId="3">
    <w:abstractNumId w:val="11"/>
  </w:num>
  <w:num w:numId="4">
    <w:abstractNumId w:val="36"/>
  </w:num>
  <w:num w:numId="5">
    <w:abstractNumId w:val="19"/>
  </w:num>
  <w:num w:numId="6">
    <w:abstractNumId w:val="25"/>
  </w:num>
  <w:num w:numId="7">
    <w:abstractNumId w:val="44"/>
  </w:num>
  <w:num w:numId="8">
    <w:abstractNumId w:val="48"/>
  </w:num>
  <w:num w:numId="9">
    <w:abstractNumId w:val="30"/>
  </w:num>
  <w:num w:numId="10">
    <w:abstractNumId w:val="27"/>
  </w:num>
  <w:num w:numId="11">
    <w:abstractNumId w:val="20"/>
  </w:num>
  <w:num w:numId="12">
    <w:abstractNumId w:val="42"/>
  </w:num>
  <w:num w:numId="13">
    <w:abstractNumId w:val="52"/>
  </w:num>
  <w:num w:numId="14">
    <w:abstractNumId w:val="56"/>
  </w:num>
  <w:num w:numId="15">
    <w:abstractNumId w:val="8"/>
  </w:num>
  <w:num w:numId="16">
    <w:abstractNumId w:val="7"/>
  </w:num>
  <w:num w:numId="17">
    <w:abstractNumId w:val="0"/>
  </w:num>
  <w:num w:numId="18">
    <w:abstractNumId w:val="3"/>
  </w:num>
  <w:num w:numId="19">
    <w:abstractNumId w:val="49"/>
  </w:num>
  <w:num w:numId="20">
    <w:abstractNumId w:val="14"/>
  </w:num>
  <w:num w:numId="21">
    <w:abstractNumId w:val="35"/>
  </w:num>
  <w:num w:numId="22">
    <w:abstractNumId w:val="59"/>
  </w:num>
  <w:num w:numId="23">
    <w:abstractNumId w:val="24"/>
  </w:num>
  <w:num w:numId="24">
    <w:abstractNumId w:val="22"/>
  </w:num>
  <w:num w:numId="25">
    <w:abstractNumId w:val="17"/>
  </w:num>
  <w:num w:numId="26">
    <w:abstractNumId w:val="65"/>
  </w:num>
  <w:num w:numId="27">
    <w:abstractNumId w:val="45"/>
  </w:num>
  <w:num w:numId="28">
    <w:abstractNumId w:val="41"/>
  </w:num>
  <w:num w:numId="29">
    <w:abstractNumId w:val="31"/>
  </w:num>
  <w:num w:numId="30">
    <w:abstractNumId w:val="53"/>
  </w:num>
  <w:num w:numId="31">
    <w:abstractNumId w:val="26"/>
  </w:num>
  <w:num w:numId="32">
    <w:abstractNumId w:val="51"/>
  </w:num>
  <w:num w:numId="33">
    <w:abstractNumId w:val="29"/>
  </w:num>
  <w:num w:numId="34">
    <w:abstractNumId w:val="61"/>
  </w:num>
  <w:num w:numId="35">
    <w:abstractNumId w:val="6"/>
  </w:num>
  <w:num w:numId="36">
    <w:abstractNumId w:val="64"/>
  </w:num>
  <w:num w:numId="37">
    <w:abstractNumId w:val="32"/>
  </w:num>
  <w:num w:numId="38">
    <w:abstractNumId w:val="38"/>
  </w:num>
  <w:num w:numId="39">
    <w:abstractNumId w:val="54"/>
  </w:num>
  <w:num w:numId="40">
    <w:abstractNumId w:val="1"/>
  </w:num>
  <w:num w:numId="41">
    <w:abstractNumId w:val="34"/>
  </w:num>
  <w:num w:numId="42">
    <w:abstractNumId w:val="47"/>
  </w:num>
  <w:num w:numId="43">
    <w:abstractNumId w:val="13"/>
  </w:num>
  <w:num w:numId="44">
    <w:abstractNumId w:val="33"/>
  </w:num>
  <w:num w:numId="45">
    <w:abstractNumId w:val="5"/>
  </w:num>
  <w:num w:numId="46">
    <w:abstractNumId w:val="28"/>
  </w:num>
  <w:num w:numId="47">
    <w:abstractNumId w:val="43"/>
  </w:num>
  <w:num w:numId="48">
    <w:abstractNumId w:val="40"/>
  </w:num>
  <w:num w:numId="49">
    <w:abstractNumId w:val="60"/>
  </w:num>
  <w:num w:numId="50">
    <w:abstractNumId w:val="2"/>
  </w:num>
  <w:num w:numId="51">
    <w:abstractNumId w:val="9"/>
  </w:num>
  <w:num w:numId="52">
    <w:abstractNumId w:val="37"/>
  </w:num>
  <w:num w:numId="53">
    <w:abstractNumId w:val="63"/>
  </w:num>
  <w:num w:numId="54">
    <w:abstractNumId w:val="12"/>
  </w:num>
  <w:num w:numId="55">
    <w:abstractNumId w:val="21"/>
  </w:num>
  <w:num w:numId="56">
    <w:abstractNumId w:val="15"/>
  </w:num>
  <w:num w:numId="57">
    <w:abstractNumId w:val="58"/>
  </w:num>
  <w:num w:numId="58">
    <w:abstractNumId w:val="46"/>
  </w:num>
  <w:num w:numId="59">
    <w:abstractNumId w:val="10"/>
  </w:num>
  <w:num w:numId="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6"/>
  </w:num>
  <w:num w:numId="62">
    <w:abstractNumId w:val="62"/>
  </w:num>
  <w:num w:numId="63">
    <w:abstractNumId w:val="23"/>
  </w:num>
  <w:num w:numId="64">
    <w:abstractNumId w:val="4"/>
  </w:num>
  <w:num w:numId="65">
    <w:abstractNumId w:val="55"/>
  </w:num>
  <w:num w:numId="66">
    <w:abstractNumId w:val="18"/>
  </w:num>
  <w:num w:numId="67">
    <w:abstractNumId w:val="16"/>
  </w:num>
  <w:num w:numId="68">
    <w:abstractNumId w:val="16"/>
  </w:num>
  <w:num w:numId="69">
    <w:abstractNumId w:val="50"/>
  </w:num>
  <w:num w:numId="70">
    <w:abstractNumId w:val="3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revisionView w:markup="0"/>
  <w:documentProtection w:edit="readOnly"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Status" w:val="Green"/>
    <w:docVar w:name="LW_CORRIGENDUM" w:val="&lt;UNUSED&gt;"/>
    <w:docVar w:name="LW_COVERPAGE_EXISTS" w:val="True"/>
    <w:docVar w:name="LW_COVERPAGE_GUID" w:val="9570BB4A-D6B8-4697-A3EB-1AAE1EF98C97"/>
    <w:docVar w:name="LW_COVERPAGE_TYPE" w:val="1"/>
    <w:docVar w:name="LW_CROSSREFERENCE" w:val="&lt;UNUSED&gt;"/>
    <w:docVar w:name="LW_DocType" w:val="NORMAL"/>
    <w:docVar w:name="LW_EMISSION" w:val="12.3.2024."/>
    <w:docVar w:name="LW_EMISSION_ISODATE" w:val="2024-03-12"/>
    <w:docVar w:name="LW_EMISSION_LOCATION" w:val="STR"/>
    <w:docVar w:name="LW_EMISSION_PREFIX" w:val="Strasbourg, "/>
    <w:docVar w:name="LW_EMISSION_SUFFIX" w:val="&lt;EMPTY&gt;"/>
    <w:docVar w:name="LW_ID_DOCTYPE_NONLW" w:val="CP-014"/>
    <w:docVar w:name="LW_LANGUE" w:val="HR"/>
    <w:docVar w:name="LW_LEVEL_OF_SENSITIVITY" w:val="Standard treatment"/>
    <w:docVar w:name="LW_NOM.INST" w:val="EUROPSKA KOMISIJA"/>
    <w:docVar w:name="LW_NOM.INST_JOINTDOC" w:val="&lt;EMPTY&gt;"/>
    <w:docVar w:name="LW_PART_NBR" w:val="1"/>
    <w:docVar w:name="LW_PART_NBR_TOTAL" w:val="1"/>
    <w:docVar w:name="LW_REF.INST.NEW" w:val="COM"/>
    <w:docVar w:name="LW_REF.INST.NEW_ADOPTED" w:val="final"/>
    <w:docVar w:name="LW_REF.INST.NEW_TEXT" w:val="(2024) 9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pravljanje klimatskim rizicima \u8211? za\u353?tita ljudi i blagostanja"/>
    <w:docVar w:name="LW_TYPE.DOC.CP" w:val="KOMUNIKACIJA KOMISIJE EUROPSKOM PARLAMENTU, VIJE\u262?U, EUROPSKOM GOSPODARSKOM I SOCIJALNOM ODBORU I ODBORU REGIJA"/>
    <w:docVar w:name="LW_TYPE.DOC.CP.USERTEXT" w:val="&lt;EMPTY&gt;"/>
    <w:docVar w:name="LwApiVersions" w:val="LW4CoDe 1.24.5.0; LW 9.0, Build 20240221"/>
  </w:docVars>
  <w:rsids>
    <w:rsidRoot w:val="0053389F"/>
    <w:rsid w:val="00000066"/>
    <w:rsid w:val="00000455"/>
    <w:rsid w:val="000005EC"/>
    <w:rsid w:val="000008B7"/>
    <w:rsid w:val="0000095D"/>
    <w:rsid w:val="0000096D"/>
    <w:rsid w:val="000009B7"/>
    <w:rsid w:val="00000A80"/>
    <w:rsid w:val="0000104D"/>
    <w:rsid w:val="000012FA"/>
    <w:rsid w:val="000013CC"/>
    <w:rsid w:val="0000165B"/>
    <w:rsid w:val="0000173F"/>
    <w:rsid w:val="00001819"/>
    <w:rsid w:val="0000187B"/>
    <w:rsid w:val="00001CE7"/>
    <w:rsid w:val="00001CF8"/>
    <w:rsid w:val="00001DEC"/>
    <w:rsid w:val="00001E5A"/>
    <w:rsid w:val="00001EB2"/>
    <w:rsid w:val="00001ED4"/>
    <w:rsid w:val="000022DA"/>
    <w:rsid w:val="00002309"/>
    <w:rsid w:val="000023F2"/>
    <w:rsid w:val="000024B5"/>
    <w:rsid w:val="0000254B"/>
    <w:rsid w:val="0000259A"/>
    <w:rsid w:val="00002703"/>
    <w:rsid w:val="00002735"/>
    <w:rsid w:val="00002B07"/>
    <w:rsid w:val="00002B52"/>
    <w:rsid w:val="00002B56"/>
    <w:rsid w:val="00002C91"/>
    <w:rsid w:val="00002F4F"/>
    <w:rsid w:val="0000334C"/>
    <w:rsid w:val="0000341B"/>
    <w:rsid w:val="00003592"/>
    <w:rsid w:val="0000375A"/>
    <w:rsid w:val="000037DF"/>
    <w:rsid w:val="000038FC"/>
    <w:rsid w:val="00003B97"/>
    <w:rsid w:val="00003C18"/>
    <w:rsid w:val="00003C5B"/>
    <w:rsid w:val="00003CA6"/>
    <w:rsid w:val="00003CD2"/>
    <w:rsid w:val="000040FA"/>
    <w:rsid w:val="00004170"/>
    <w:rsid w:val="000041CA"/>
    <w:rsid w:val="0000428B"/>
    <w:rsid w:val="000042E8"/>
    <w:rsid w:val="00004536"/>
    <w:rsid w:val="00004609"/>
    <w:rsid w:val="00004616"/>
    <w:rsid w:val="00004847"/>
    <w:rsid w:val="00004879"/>
    <w:rsid w:val="00004C19"/>
    <w:rsid w:val="00004FEE"/>
    <w:rsid w:val="0000549D"/>
    <w:rsid w:val="0000554F"/>
    <w:rsid w:val="00005789"/>
    <w:rsid w:val="00005898"/>
    <w:rsid w:val="0000599C"/>
    <w:rsid w:val="00005A2F"/>
    <w:rsid w:val="00005B11"/>
    <w:rsid w:val="00005C39"/>
    <w:rsid w:val="0000602C"/>
    <w:rsid w:val="00006080"/>
    <w:rsid w:val="000060E5"/>
    <w:rsid w:val="00006220"/>
    <w:rsid w:val="0000627B"/>
    <w:rsid w:val="00006337"/>
    <w:rsid w:val="00006463"/>
    <w:rsid w:val="000065AC"/>
    <w:rsid w:val="00006716"/>
    <w:rsid w:val="000067F3"/>
    <w:rsid w:val="0000693C"/>
    <w:rsid w:val="00006D40"/>
    <w:rsid w:val="00007186"/>
    <w:rsid w:val="000072C8"/>
    <w:rsid w:val="00007397"/>
    <w:rsid w:val="000073BB"/>
    <w:rsid w:val="00007528"/>
    <w:rsid w:val="00007718"/>
    <w:rsid w:val="0000772E"/>
    <w:rsid w:val="0000789E"/>
    <w:rsid w:val="000079A8"/>
    <w:rsid w:val="000079AD"/>
    <w:rsid w:val="00007B54"/>
    <w:rsid w:val="00007ED2"/>
    <w:rsid w:val="0001017B"/>
    <w:rsid w:val="00010493"/>
    <w:rsid w:val="0001053E"/>
    <w:rsid w:val="000105AA"/>
    <w:rsid w:val="000105E0"/>
    <w:rsid w:val="0001084E"/>
    <w:rsid w:val="00010BCC"/>
    <w:rsid w:val="00010C38"/>
    <w:rsid w:val="00010E22"/>
    <w:rsid w:val="00010E7B"/>
    <w:rsid w:val="000113BA"/>
    <w:rsid w:val="000113BB"/>
    <w:rsid w:val="000114CF"/>
    <w:rsid w:val="000114DC"/>
    <w:rsid w:val="0001159C"/>
    <w:rsid w:val="000115A7"/>
    <w:rsid w:val="000116A0"/>
    <w:rsid w:val="000117B9"/>
    <w:rsid w:val="00011813"/>
    <w:rsid w:val="00011973"/>
    <w:rsid w:val="00011A71"/>
    <w:rsid w:val="00011DEF"/>
    <w:rsid w:val="00011E39"/>
    <w:rsid w:val="00011F2B"/>
    <w:rsid w:val="00011F99"/>
    <w:rsid w:val="0001222E"/>
    <w:rsid w:val="000123D9"/>
    <w:rsid w:val="00012500"/>
    <w:rsid w:val="000125DD"/>
    <w:rsid w:val="000125F6"/>
    <w:rsid w:val="000128EE"/>
    <w:rsid w:val="00012988"/>
    <w:rsid w:val="000129C9"/>
    <w:rsid w:val="00012AE4"/>
    <w:rsid w:val="00012B0B"/>
    <w:rsid w:val="00012B72"/>
    <w:rsid w:val="00012C81"/>
    <w:rsid w:val="00012D47"/>
    <w:rsid w:val="00012D93"/>
    <w:rsid w:val="00012DC6"/>
    <w:rsid w:val="00012F68"/>
    <w:rsid w:val="00012FAC"/>
    <w:rsid w:val="00013133"/>
    <w:rsid w:val="000135BA"/>
    <w:rsid w:val="000138A8"/>
    <w:rsid w:val="00013A3F"/>
    <w:rsid w:val="00013C11"/>
    <w:rsid w:val="00013DDB"/>
    <w:rsid w:val="00013E15"/>
    <w:rsid w:val="00013EAF"/>
    <w:rsid w:val="0001450F"/>
    <w:rsid w:val="000145B6"/>
    <w:rsid w:val="00014617"/>
    <w:rsid w:val="000147C5"/>
    <w:rsid w:val="00014841"/>
    <w:rsid w:val="000149EE"/>
    <w:rsid w:val="00014A4F"/>
    <w:rsid w:val="00014BAC"/>
    <w:rsid w:val="00014D4A"/>
    <w:rsid w:val="000152F0"/>
    <w:rsid w:val="0001579C"/>
    <w:rsid w:val="0001581E"/>
    <w:rsid w:val="00015E38"/>
    <w:rsid w:val="000160C9"/>
    <w:rsid w:val="00016212"/>
    <w:rsid w:val="000162D3"/>
    <w:rsid w:val="00016421"/>
    <w:rsid w:val="000167E8"/>
    <w:rsid w:val="00016E48"/>
    <w:rsid w:val="00016F15"/>
    <w:rsid w:val="00017346"/>
    <w:rsid w:val="0001735A"/>
    <w:rsid w:val="0001735C"/>
    <w:rsid w:val="000173E5"/>
    <w:rsid w:val="0001744F"/>
    <w:rsid w:val="000175CC"/>
    <w:rsid w:val="00017C82"/>
    <w:rsid w:val="00017CFD"/>
    <w:rsid w:val="00017E7F"/>
    <w:rsid w:val="00017FA4"/>
    <w:rsid w:val="000200FC"/>
    <w:rsid w:val="0002021B"/>
    <w:rsid w:val="000202D7"/>
    <w:rsid w:val="00020367"/>
    <w:rsid w:val="00020567"/>
    <w:rsid w:val="00020588"/>
    <w:rsid w:val="0002115D"/>
    <w:rsid w:val="0002118F"/>
    <w:rsid w:val="0002122B"/>
    <w:rsid w:val="0002140F"/>
    <w:rsid w:val="00021631"/>
    <w:rsid w:val="00021663"/>
    <w:rsid w:val="000216DC"/>
    <w:rsid w:val="000217EA"/>
    <w:rsid w:val="0002198F"/>
    <w:rsid w:val="00021A06"/>
    <w:rsid w:val="00021B57"/>
    <w:rsid w:val="00021C49"/>
    <w:rsid w:val="00021D45"/>
    <w:rsid w:val="00021D66"/>
    <w:rsid w:val="00021F07"/>
    <w:rsid w:val="00021F9F"/>
    <w:rsid w:val="00022052"/>
    <w:rsid w:val="0002208D"/>
    <w:rsid w:val="00022123"/>
    <w:rsid w:val="000221BB"/>
    <w:rsid w:val="00022431"/>
    <w:rsid w:val="000225D3"/>
    <w:rsid w:val="00022633"/>
    <w:rsid w:val="0002267F"/>
    <w:rsid w:val="000227D1"/>
    <w:rsid w:val="000228C3"/>
    <w:rsid w:val="00022984"/>
    <w:rsid w:val="00022A38"/>
    <w:rsid w:val="00022B16"/>
    <w:rsid w:val="00022B3C"/>
    <w:rsid w:val="0002310F"/>
    <w:rsid w:val="00023153"/>
    <w:rsid w:val="000232F3"/>
    <w:rsid w:val="00023303"/>
    <w:rsid w:val="00023390"/>
    <w:rsid w:val="00023E46"/>
    <w:rsid w:val="00023FCC"/>
    <w:rsid w:val="00024066"/>
    <w:rsid w:val="00024110"/>
    <w:rsid w:val="0002415E"/>
    <w:rsid w:val="000244E5"/>
    <w:rsid w:val="0002475C"/>
    <w:rsid w:val="00024B92"/>
    <w:rsid w:val="00024CF2"/>
    <w:rsid w:val="00024EAA"/>
    <w:rsid w:val="00025099"/>
    <w:rsid w:val="00025166"/>
    <w:rsid w:val="00025168"/>
    <w:rsid w:val="0002528A"/>
    <w:rsid w:val="0002561B"/>
    <w:rsid w:val="000257F3"/>
    <w:rsid w:val="00025931"/>
    <w:rsid w:val="00025A33"/>
    <w:rsid w:val="00025B39"/>
    <w:rsid w:val="00025CF8"/>
    <w:rsid w:val="00025D3A"/>
    <w:rsid w:val="00025E3C"/>
    <w:rsid w:val="00025F0D"/>
    <w:rsid w:val="000260B7"/>
    <w:rsid w:val="0002618D"/>
    <w:rsid w:val="000262C8"/>
    <w:rsid w:val="0002638C"/>
    <w:rsid w:val="0002650A"/>
    <w:rsid w:val="0002651F"/>
    <w:rsid w:val="00026691"/>
    <w:rsid w:val="0002686A"/>
    <w:rsid w:val="0002690E"/>
    <w:rsid w:val="00026A9B"/>
    <w:rsid w:val="00026AC3"/>
    <w:rsid w:val="00026AFC"/>
    <w:rsid w:val="00026AFF"/>
    <w:rsid w:val="00026F51"/>
    <w:rsid w:val="0002702D"/>
    <w:rsid w:val="000275BC"/>
    <w:rsid w:val="00027601"/>
    <w:rsid w:val="00027655"/>
    <w:rsid w:val="0002775F"/>
    <w:rsid w:val="000278E0"/>
    <w:rsid w:val="00027ACE"/>
    <w:rsid w:val="00027C6C"/>
    <w:rsid w:val="00027CD1"/>
    <w:rsid w:val="00027DF7"/>
    <w:rsid w:val="000303B2"/>
    <w:rsid w:val="00030482"/>
    <w:rsid w:val="000305F7"/>
    <w:rsid w:val="0003067E"/>
    <w:rsid w:val="00030800"/>
    <w:rsid w:val="0003082B"/>
    <w:rsid w:val="00030B2B"/>
    <w:rsid w:val="00030BAF"/>
    <w:rsid w:val="00030BE6"/>
    <w:rsid w:val="00030C95"/>
    <w:rsid w:val="00030DAB"/>
    <w:rsid w:val="000310DB"/>
    <w:rsid w:val="00031269"/>
    <w:rsid w:val="00031389"/>
    <w:rsid w:val="00031420"/>
    <w:rsid w:val="00031709"/>
    <w:rsid w:val="00031C4E"/>
    <w:rsid w:val="00031C99"/>
    <w:rsid w:val="00031CCC"/>
    <w:rsid w:val="00031D7F"/>
    <w:rsid w:val="00031D9F"/>
    <w:rsid w:val="0003202F"/>
    <w:rsid w:val="00032096"/>
    <w:rsid w:val="00032669"/>
    <w:rsid w:val="0003276F"/>
    <w:rsid w:val="00032ADC"/>
    <w:rsid w:val="00032C02"/>
    <w:rsid w:val="00032C0D"/>
    <w:rsid w:val="00032C65"/>
    <w:rsid w:val="00032D11"/>
    <w:rsid w:val="00032DB0"/>
    <w:rsid w:val="00032FEE"/>
    <w:rsid w:val="00033756"/>
    <w:rsid w:val="000338F4"/>
    <w:rsid w:val="00033AA4"/>
    <w:rsid w:val="00033CE6"/>
    <w:rsid w:val="00033EA4"/>
    <w:rsid w:val="00033F82"/>
    <w:rsid w:val="00034010"/>
    <w:rsid w:val="000343DF"/>
    <w:rsid w:val="0003457C"/>
    <w:rsid w:val="000346A4"/>
    <w:rsid w:val="0003471B"/>
    <w:rsid w:val="00034853"/>
    <w:rsid w:val="000348B8"/>
    <w:rsid w:val="00034B07"/>
    <w:rsid w:val="00034BD7"/>
    <w:rsid w:val="00034C63"/>
    <w:rsid w:val="00034DD5"/>
    <w:rsid w:val="00034EEC"/>
    <w:rsid w:val="0003504E"/>
    <w:rsid w:val="00035246"/>
    <w:rsid w:val="000352EE"/>
    <w:rsid w:val="000353A7"/>
    <w:rsid w:val="000353E2"/>
    <w:rsid w:val="000355A9"/>
    <w:rsid w:val="00035991"/>
    <w:rsid w:val="00035A49"/>
    <w:rsid w:val="00035BD4"/>
    <w:rsid w:val="00035E05"/>
    <w:rsid w:val="00035E26"/>
    <w:rsid w:val="00035FB6"/>
    <w:rsid w:val="00036035"/>
    <w:rsid w:val="00036181"/>
    <w:rsid w:val="00036C47"/>
    <w:rsid w:val="00036DB2"/>
    <w:rsid w:val="000374E1"/>
    <w:rsid w:val="00037838"/>
    <w:rsid w:val="00037A30"/>
    <w:rsid w:val="00037CD5"/>
    <w:rsid w:val="00037D92"/>
    <w:rsid w:val="00037F7C"/>
    <w:rsid w:val="00037FFE"/>
    <w:rsid w:val="00040039"/>
    <w:rsid w:val="00040260"/>
    <w:rsid w:val="00040539"/>
    <w:rsid w:val="00040652"/>
    <w:rsid w:val="00040BB4"/>
    <w:rsid w:val="00040C6C"/>
    <w:rsid w:val="00040CC6"/>
    <w:rsid w:val="00040E8A"/>
    <w:rsid w:val="00040F07"/>
    <w:rsid w:val="0004109A"/>
    <w:rsid w:val="00041112"/>
    <w:rsid w:val="0004138A"/>
    <w:rsid w:val="000419BB"/>
    <w:rsid w:val="00041A9E"/>
    <w:rsid w:val="00041BEF"/>
    <w:rsid w:val="00041F41"/>
    <w:rsid w:val="000424C2"/>
    <w:rsid w:val="00042935"/>
    <w:rsid w:val="00042936"/>
    <w:rsid w:val="000429AB"/>
    <w:rsid w:val="00042B57"/>
    <w:rsid w:val="00042B60"/>
    <w:rsid w:val="00042CF3"/>
    <w:rsid w:val="00042E44"/>
    <w:rsid w:val="00042FB7"/>
    <w:rsid w:val="00043029"/>
    <w:rsid w:val="000430C3"/>
    <w:rsid w:val="0004357B"/>
    <w:rsid w:val="000435FD"/>
    <w:rsid w:val="000438EF"/>
    <w:rsid w:val="00043BDF"/>
    <w:rsid w:val="00043CAF"/>
    <w:rsid w:val="00043CC4"/>
    <w:rsid w:val="00043CD0"/>
    <w:rsid w:val="000442D2"/>
    <w:rsid w:val="000444E6"/>
    <w:rsid w:val="0004458B"/>
    <w:rsid w:val="0004477D"/>
    <w:rsid w:val="00044BFC"/>
    <w:rsid w:val="00044CB7"/>
    <w:rsid w:val="00044DC7"/>
    <w:rsid w:val="00044FAB"/>
    <w:rsid w:val="000450BC"/>
    <w:rsid w:val="000452AD"/>
    <w:rsid w:val="00045390"/>
    <w:rsid w:val="0004542D"/>
    <w:rsid w:val="00045478"/>
    <w:rsid w:val="0004549D"/>
    <w:rsid w:val="0004571B"/>
    <w:rsid w:val="0004577A"/>
    <w:rsid w:val="0004584B"/>
    <w:rsid w:val="00045BF1"/>
    <w:rsid w:val="00045D79"/>
    <w:rsid w:val="00045DCE"/>
    <w:rsid w:val="00046670"/>
    <w:rsid w:val="000466C3"/>
    <w:rsid w:val="00046843"/>
    <w:rsid w:val="0004693C"/>
    <w:rsid w:val="000469F4"/>
    <w:rsid w:val="00046B05"/>
    <w:rsid w:val="00046B2C"/>
    <w:rsid w:val="00046BE9"/>
    <w:rsid w:val="00046C2F"/>
    <w:rsid w:val="00046D6D"/>
    <w:rsid w:val="000473DB"/>
    <w:rsid w:val="00047541"/>
    <w:rsid w:val="000475FA"/>
    <w:rsid w:val="0004762C"/>
    <w:rsid w:val="00047648"/>
    <w:rsid w:val="000476CD"/>
    <w:rsid w:val="00047AB3"/>
    <w:rsid w:val="00047BDF"/>
    <w:rsid w:val="00047C13"/>
    <w:rsid w:val="00047D30"/>
    <w:rsid w:val="00047D33"/>
    <w:rsid w:val="00047E4A"/>
    <w:rsid w:val="00047FA1"/>
    <w:rsid w:val="0005002D"/>
    <w:rsid w:val="00050093"/>
    <w:rsid w:val="000502CB"/>
    <w:rsid w:val="00050376"/>
    <w:rsid w:val="0005053E"/>
    <w:rsid w:val="00050631"/>
    <w:rsid w:val="00050845"/>
    <w:rsid w:val="000508EB"/>
    <w:rsid w:val="00050DE4"/>
    <w:rsid w:val="00050EF6"/>
    <w:rsid w:val="00050FFE"/>
    <w:rsid w:val="0005109D"/>
    <w:rsid w:val="000511D9"/>
    <w:rsid w:val="0005122F"/>
    <w:rsid w:val="00051310"/>
    <w:rsid w:val="000514D3"/>
    <w:rsid w:val="0005158B"/>
    <w:rsid w:val="0005159B"/>
    <w:rsid w:val="000515F4"/>
    <w:rsid w:val="000516FA"/>
    <w:rsid w:val="0005172F"/>
    <w:rsid w:val="000517D0"/>
    <w:rsid w:val="000518D6"/>
    <w:rsid w:val="00051A8B"/>
    <w:rsid w:val="00051B1D"/>
    <w:rsid w:val="00051BBD"/>
    <w:rsid w:val="00051D06"/>
    <w:rsid w:val="00051E81"/>
    <w:rsid w:val="00051F02"/>
    <w:rsid w:val="00051FAE"/>
    <w:rsid w:val="00052051"/>
    <w:rsid w:val="000520C7"/>
    <w:rsid w:val="000525E7"/>
    <w:rsid w:val="000525FD"/>
    <w:rsid w:val="00052813"/>
    <w:rsid w:val="00052C60"/>
    <w:rsid w:val="00052F72"/>
    <w:rsid w:val="00053099"/>
    <w:rsid w:val="000533AE"/>
    <w:rsid w:val="000536C9"/>
    <w:rsid w:val="000536CB"/>
    <w:rsid w:val="00053B22"/>
    <w:rsid w:val="00053D11"/>
    <w:rsid w:val="00053D1A"/>
    <w:rsid w:val="00053DCE"/>
    <w:rsid w:val="00053F02"/>
    <w:rsid w:val="000543CF"/>
    <w:rsid w:val="0005442D"/>
    <w:rsid w:val="00054447"/>
    <w:rsid w:val="000545E2"/>
    <w:rsid w:val="00054732"/>
    <w:rsid w:val="00054736"/>
    <w:rsid w:val="000548B4"/>
    <w:rsid w:val="00054991"/>
    <w:rsid w:val="000549ED"/>
    <w:rsid w:val="000549F5"/>
    <w:rsid w:val="00054A9D"/>
    <w:rsid w:val="00054B9F"/>
    <w:rsid w:val="00054BEB"/>
    <w:rsid w:val="00054CD7"/>
    <w:rsid w:val="00054D16"/>
    <w:rsid w:val="00054D2F"/>
    <w:rsid w:val="00054E6B"/>
    <w:rsid w:val="00055119"/>
    <w:rsid w:val="00055256"/>
    <w:rsid w:val="00055298"/>
    <w:rsid w:val="000554A6"/>
    <w:rsid w:val="00055559"/>
    <w:rsid w:val="000555DA"/>
    <w:rsid w:val="000555ED"/>
    <w:rsid w:val="000556FA"/>
    <w:rsid w:val="0005583B"/>
    <w:rsid w:val="00055AB6"/>
    <w:rsid w:val="00055B1D"/>
    <w:rsid w:val="0005600B"/>
    <w:rsid w:val="00056835"/>
    <w:rsid w:val="000569C8"/>
    <w:rsid w:val="00056AE1"/>
    <w:rsid w:val="00056C5A"/>
    <w:rsid w:val="00057080"/>
    <w:rsid w:val="000570DF"/>
    <w:rsid w:val="000573EB"/>
    <w:rsid w:val="000574E2"/>
    <w:rsid w:val="00057594"/>
    <w:rsid w:val="0005761E"/>
    <w:rsid w:val="0005763C"/>
    <w:rsid w:val="000576D9"/>
    <w:rsid w:val="000577B0"/>
    <w:rsid w:val="00057B5E"/>
    <w:rsid w:val="00057EED"/>
    <w:rsid w:val="0006002F"/>
    <w:rsid w:val="000604E2"/>
    <w:rsid w:val="00060759"/>
    <w:rsid w:val="00060797"/>
    <w:rsid w:val="00060C28"/>
    <w:rsid w:val="00060C8F"/>
    <w:rsid w:val="00060C94"/>
    <w:rsid w:val="00060CB9"/>
    <w:rsid w:val="00060D94"/>
    <w:rsid w:val="00060F20"/>
    <w:rsid w:val="00061176"/>
    <w:rsid w:val="000613F8"/>
    <w:rsid w:val="0006147C"/>
    <w:rsid w:val="000614E9"/>
    <w:rsid w:val="0006166F"/>
    <w:rsid w:val="000617A9"/>
    <w:rsid w:val="000619BB"/>
    <w:rsid w:val="00061D9E"/>
    <w:rsid w:val="00061DE5"/>
    <w:rsid w:val="00062016"/>
    <w:rsid w:val="0006216F"/>
    <w:rsid w:val="00062709"/>
    <w:rsid w:val="00062794"/>
    <w:rsid w:val="0006282B"/>
    <w:rsid w:val="00062C55"/>
    <w:rsid w:val="0006302B"/>
    <w:rsid w:val="00063558"/>
    <w:rsid w:val="0006367A"/>
    <w:rsid w:val="00063783"/>
    <w:rsid w:val="000638EA"/>
    <w:rsid w:val="00063A57"/>
    <w:rsid w:val="00063BA5"/>
    <w:rsid w:val="000640A1"/>
    <w:rsid w:val="000643E3"/>
    <w:rsid w:val="000646D1"/>
    <w:rsid w:val="00064A66"/>
    <w:rsid w:val="00064A97"/>
    <w:rsid w:val="00064B1D"/>
    <w:rsid w:val="00064ED3"/>
    <w:rsid w:val="00065193"/>
    <w:rsid w:val="0006538D"/>
    <w:rsid w:val="00065599"/>
    <w:rsid w:val="000655E9"/>
    <w:rsid w:val="0006563C"/>
    <w:rsid w:val="000656E9"/>
    <w:rsid w:val="00065A89"/>
    <w:rsid w:val="00065BF6"/>
    <w:rsid w:val="000660E6"/>
    <w:rsid w:val="00066224"/>
    <w:rsid w:val="00066642"/>
    <w:rsid w:val="0006665E"/>
    <w:rsid w:val="00066717"/>
    <w:rsid w:val="00066927"/>
    <w:rsid w:val="00066A31"/>
    <w:rsid w:val="00066B51"/>
    <w:rsid w:val="00066C0C"/>
    <w:rsid w:val="00066C60"/>
    <w:rsid w:val="00066F9F"/>
    <w:rsid w:val="00066FC1"/>
    <w:rsid w:val="00066FDF"/>
    <w:rsid w:val="00067351"/>
    <w:rsid w:val="00067400"/>
    <w:rsid w:val="0006744E"/>
    <w:rsid w:val="00067946"/>
    <w:rsid w:val="00067BB2"/>
    <w:rsid w:val="00067E12"/>
    <w:rsid w:val="00067F95"/>
    <w:rsid w:val="0007009E"/>
    <w:rsid w:val="00070253"/>
    <w:rsid w:val="000702AB"/>
    <w:rsid w:val="00070861"/>
    <w:rsid w:val="00070880"/>
    <w:rsid w:val="00070995"/>
    <w:rsid w:val="00070A0B"/>
    <w:rsid w:val="00070E20"/>
    <w:rsid w:val="00070FA3"/>
    <w:rsid w:val="0007115C"/>
    <w:rsid w:val="000711A2"/>
    <w:rsid w:val="00071280"/>
    <w:rsid w:val="0007135C"/>
    <w:rsid w:val="0007168A"/>
    <w:rsid w:val="00071694"/>
    <w:rsid w:val="000719CB"/>
    <w:rsid w:val="00071A95"/>
    <w:rsid w:val="00071F9A"/>
    <w:rsid w:val="00072078"/>
    <w:rsid w:val="000721A7"/>
    <w:rsid w:val="000722BE"/>
    <w:rsid w:val="000722D0"/>
    <w:rsid w:val="000723A9"/>
    <w:rsid w:val="000723CA"/>
    <w:rsid w:val="00072457"/>
    <w:rsid w:val="0007263D"/>
    <w:rsid w:val="000726DF"/>
    <w:rsid w:val="00072797"/>
    <w:rsid w:val="00072849"/>
    <w:rsid w:val="00072B55"/>
    <w:rsid w:val="00072B7A"/>
    <w:rsid w:val="00072C8A"/>
    <w:rsid w:val="0007312A"/>
    <w:rsid w:val="00073451"/>
    <w:rsid w:val="00073767"/>
    <w:rsid w:val="000737F6"/>
    <w:rsid w:val="00073A7A"/>
    <w:rsid w:val="00073B68"/>
    <w:rsid w:val="00073F90"/>
    <w:rsid w:val="0007407A"/>
    <w:rsid w:val="00074092"/>
    <w:rsid w:val="00074188"/>
    <w:rsid w:val="000741F5"/>
    <w:rsid w:val="0007426B"/>
    <w:rsid w:val="000742AE"/>
    <w:rsid w:val="00074761"/>
    <w:rsid w:val="000749CB"/>
    <w:rsid w:val="00074A1D"/>
    <w:rsid w:val="00074D23"/>
    <w:rsid w:val="00074D72"/>
    <w:rsid w:val="00074E20"/>
    <w:rsid w:val="0007551E"/>
    <w:rsid w:val="0007561A"/>
    <w:rsid w:val="000758EC"/>
    <w:rsid w:val="00075A83"/>
    <w:rsid w:val="00075E96"/>
    <w:rsid w:val="000761BB"/>
    <w:rsid w:val="00076314"/>
    <w:rsid w:val="00076B49"/>
    <w:rsid w:val="00076D06"/>
    <w:rsid w:val="000770F1"/>
    <w:rsid w:val="00077346"/>
    <w:rsid w:val="00077412"/>
    <w:rsid w:val="00077685"/>
    <w:rsid w:val="0007777E"/>
    <w:rsid w:val="000777CC"/>
    <w:rsid w:val="00077BB3"/>
    <w:rsid w:val="00077C76"/>
    <w:rsid w:val="00077E3F"/>
    <w:rsid w:val="00077F5A"/>
    <w:rsid w:val="000800DA"/>
    <w:rsid w:val="000801C7"/>
    <w:rsid w:val="000805A4"/>
    <w:rsid w:val="00080641"/>
    <w:rsid w:val="0008073B"/>
    <w:rsid w:val="00080808"/>
    <w:rsid w:val="00080914"/>
    <w:rsid w:val="0008091F"/>
    <w:rsid w:val="000809B5"/>
    <w:rsid w:val="00080A7A"/>
    <w:rsid w:val="00080B82"/>
    <w:rsid w:val="00080CAC"/>
    <w:rsid w:val="00080E84"/>
    <w:rsid w:val="00080EF0"/>
    <w:rsid w:val="00080F04"/>
    <w:rsid w:val="00080F43"/>
    <w:rsid w:val="0008101D"/>
    <w:rsid w:val="000814C2"/>
    <w:rsid w:val="000815C6"/>
    <w:rsid w:val="00081840"/>
    <w:rsid w:val="00081B92"/>
    <w:rsid w:val="00081F1B"/>
    <w:rsid w:val="00082179"/>
    <w:rsid w:val="00082217"/>
    <w:rsid w:val="00082575"/>
    <w:rsid w:val="000825C1"/>
    <w:rsid w:val="000827BB"/>
    <w:rsid w:val="00082A2F"/>
    <w:rsid w:val="00082AFF"/>
    <w:rsid w:val="00082B29"/>
    <w:rsid w:val="00082B5C"/>
    <w:rsid w:val="00082B9D"/>
    <w:rsid w:val="00082CB9"/>
    <w:rsid w:val="00082D47"/>
    <w:rsid w:val="00082DDA"/>
    <w:rsid w:val="00082ECD"/>
    <w:rsid w:val="00082FF6"/>
    <w:rsid w:val="000839D0"/>
    <w:rsid w:val="00083B5A"/>
    <w:rsid w:val="00083D02"/>
    <w:rsid w:val="00083D3E"/>
    <w:rsid w:val="00083EF3"/>
    <w:rsid w:val="00084257"/>
    <w:rsid w:val="00084438"/>
    <w:rsid w:val="00084449"/>
    <w:rsid w:val="000847A0"/>
    <w:rsid w:val="00084A8A"/>
    <w:rsid w:val="00084B54"/>
    <w:rsid w:val="00084CC1"/>
    <w:rsid w:val="00085146"/>
    <w:rsid w:val="000851DA"/>
    <w:rsid w:val="000852A7"/>
    <w:rsid w:val="000852B6"/>
    <w:rsid w:val="000853BD"/>
    <w:rsid w:val="0008548B"/>
    <w:rsid w:val="00085544"/>
    <w:rsid w:val="000855FE"/>
    <w:rsid w:val="00085FC1"/>
    <w:rsid w:val="0008602A"/>
    <w:rsid w:val="00086346"/>
    <w:rsid w:val="00086597"/>
    <w:rsid w:val="000865D0"/>
    <w:rsid w:val="00086BC5"/>
    <w:rsid w:val="00086D1D"/>
    <w:rsid w:val="00086DCC"/>
    <w:rsid w:val="00086FB7"/>
    <w:rsid w:val="00086FBE"/>
    <w:rsid w:val="0008708C"/>
    <w:rsid w:val="0008737F"/>
    <w:rsid w:val="000875B4"/>
    <w:rsid w:val="000879D1"/>
    <w:rsid w:val="00087AA8"/>
    <w:rsid w:val="00087DE1"/>
    <w:rsid w:val="00087EC2"/>
    <w:rsid w:val="00087EE5"/>
    <w:rsid w:val="00087F94"/>
    <w:rsid w:val="00087FDA"/>
    <w:rsid w:val="00090136"/>
    <w:rsid w:val="000901D2"/>
    <w:rsid w:val="00090342"/>
    <w:rsid w:val="0009053D"/>
    <w:rsid w:val="00090547"/>
    <w:rsid w:val="00090D73"/>
    <w:rsid w:val="00090F5D"/>
    <w:rsid w:val="00090F79"/>
    <w:rsid w:val="0009120A"/>
    <w:rsid w:val="000912B4"/>
    <w:rsid w:val="000915F5"/>
    <w:rsid w:val="00091680"/>
    <w:rsid w:val="0009180B"/>
    <w:rsid w:val="00091876"/>
    <w:rsid w:val="00091914"/>
    <w:rsid w:val="00091C0A"/>
    <w:rsid w:val="00091C0B"/>
    <w:rsid w:val="00091C37"/>
    <w:rsid w:val="00091E2C"/>
    <w:rsid w:val="00091EEE"/>
    <w:rsid w:val="000926CD"/>
    <w:rsid w:val="0009282D"/>
    <w:rsid w:val="00092B43"/>
    <w:rsid w:val="00092D6E"/>
    <w:rsid w:val="0009328D"/>
    <w:rsid w:val="000932D8"/>
    <w:rsid w:val="000933A6"/>
    <w:rsid w:val="0009347C"/>
    <w:rsid w:val="000934E7"/>
    <w:rsid w:val="00093B5B"/>
    <w:rsid w:val="00093C2D"/>
    <w:rsid w:val="00093E5C"/>
    <w:rsid w:val="0009420C"/>
    <w:rsid w:val="00094225"/>
    <w:rsid w:val="00094449"/>
    <w:rsid w:val="00094691"/>
    <w:rsid w:val="000947E8"/>
    <w:rsid w:val="000947EF"/>
    <w:rsid w:val="000948C1"/>
    <w:rsid w:val="000948F6"/>
    <w:rsid w:val="0009498F"/>
    <w:rsid w:val="00094B8A"/>
    <w:rsid w:val="00094C53"/>
    <w:rsid w:val="00094DE6"/>
    <w:rsid w:val="00094F07"/>
    <w:rsid w:val="00094FE0"/>
    <w:rsid w:val="0009510A"/>
    <w:rsid w:val="000951D8"/>
    <w:rsid w:val="0009534D"/>
    <w:rsid w:val="000956A3"/>
    <w:rsid w:val="000957D6"/>
    <w:rsid w:val="000958BC"/>
    <w:rsid w:val="0009590F"/>
    <w:rsid w:val="000959D2"/>
    <w:rsid w:val="00095AC9"/>
    <w:rsid w:val="00095CA3"/>
    <w:rsid w:val="00095CA8"/>
    <w:rsid w:val="00095D0A"/>
    <w:rsid w:val="00095E0B"/>
    <w:rsid w:val="00095FAD"/>
    <w:rsid w:val="00096024"/>
    <w:rsid w:val="00096031"/>
    <w:rsid w:val="0009604B"/>
    <w:rsid w:val="0009605C"/>
    <w:rsid w:val="000961C4"/>
    <w:rsid w:val="0009639C"/>
    <w:rsid w:val="000963AC"/>
    <w:rsid w:val="0009658D"/>
    <w:rsid w:val="00096EE9"/>
    <w:rsid w:val="00097057"/>
    <w:rsid w:val="000970CC"/>
    <w:rsid w:val="0009715E"/>
    <w:rsid w:val="00097182"/>
    <w:rsid w:val="000971A3"/>
    <w:rsid w:val="000972BD"/>
    <w:rsid w:val="000975E2"/>
    <w:rsid w:val="00097650"/>
    <w:rsid w:val="000976D0"/>
    <w:rsid w:val="0009799A"/>
    <w:rsid w:val="00097BA6"/>
    <w:rsid w:val="00097D24"/>
    <w:rsid w:val="000A04AA"/>
    <w:rsid w:val="000A06E5"/>
    <w:rsid w:val="000A0722"/>
    <w:rsid w:val="000A0E98"/>
    <w:rsid w:val="000A1050"/>
    <w:rsid w:val="000A108D"/>
    <w:rsid w:val="000A10A1"/>
    <w:rsid w:val="000A1501"/>
    <w:rsid w:val="000A1B83"/>
    <w:rsid w:val="000A1C63"/>
    <w:rsid w:val="000A1DA6"/>
    <w:rsid w:val="000A1DEC"/>
    <w:rsid w:val="000A1E7B"/>
    <w:rsid w:val="000A229E"/>
    <w:rsid w:val="000A2E27"/>
    <w:rsid w:val="000A2F22"/>
    <w:rsid w:val="000A32FC"/>
    <w:rsid w:val="000A35EE"/>
    <w:rsid w:val="000A37E3"/>
    <w:rsid w:val="000A386D"/>
    <w:rsid w:val="000A3917"/>
    <w:rsid w:val="000A3E80"/>
    <w:rsid w:val="000A432B"/>
    <w:rsid w:val="000A43BB"/>
    <w:rsid w:val="000A43E7"/>
    <w:rsid w:val="000A440A"/>
    <w:rsid w:val="000A454D"/>
    <w:rsid w:val="000A4712"/>
    <w:rsid w:val="000A492A"/>
    <w:rsid w:val="000A4BB9"/>
    <w:rsid w:val="000A4F56"/>
    <w:rsid w:val="000A4F67"/>
    <w:rsid w:val="000A53DE"/>
    <w:rsid w:val="000A5418"/>
    <w:rsid w:val="000A56FA"/>
    <w:rsid w:val="000A5769"/>
    <w:rsid w:val="000A59EE"/>
    <w:rsid w:val="000A5EF7"/>
    <w:rsid w:val="000A5F64"/>
    <w:rsid w:val="000A6286"/>
    <w:rsid w:val="000A6424"/>
    <w:rsid w:val="000A6442"/>
    <w:rsid w:val="000A661D"/>
    <w:rsid w:val="000A6CDD"/>
    <w:rsid w:val="000A6D37"/>
    <w:rsid w:val="000A6E21"/>
    <w:rsid w:val="000A6F34"/>
    <w:rsid w:val="000A6F3F"/>
    <w:rsid w:val="000A6F95"/>
    <w:rsid w:val="000A71F7"/>
    <w:rsid w:val="000A7200"/>
    <w:rsid w:val="000A72AF"/>
    <w:rsid w:val="000A7312"/>
    <w:rsid w:val="000A741E"/>
    <w:rsid w:val="000A7711"/>
    <w:rsid w:val="000A7844"/>
    <w:rsid w:val="000A79CA"/>
    <w:rsid w:val="000A7A18"/>
    <w:rsid w:val="000A7A72"/>
    <w:rsid w:val="000A7B35"/>
    <w:rsid w:val="000A7B81"/>
    <w:rsid w:val="000A7C09"/>
    <w:rsid w:val="000B00B5"/>
    <w:rsid w:val="000B0214"/>
    <w:rsid w:val="000B0347"/>
    <w:rsid w:val="000B0B1F"/>
    <w:rsid w:val="000B0B25"/>
    <w:rsid w:val="000B0C0F"/>
    <w:rsid w:val="000B0E9A"/>
    <w:rsid w:val="000B0FF2"/>
    <w:rsid w:val="000B113E"/>
    <w:rsid w:val="000B1345"/>
    <w:rsid w:val="000B1388"/>
    <w:rsid w:val="000B1414"/>
    <w:rsid w:val="000B141D"/>
    <w:rsid w:val="000B15D6"/>
    <w:rsid w:val="000B1B3E"/>
    <w:rsid w:val="000B1CA7"/>
    <w:rsid w:val="000B1CD4"/>
    <w:rsid w:val="000B1F76"/>
    <w:rsid w:val="000B20FB"/>
    <w:rsid w:val="000B2131"/>
    <w:rsid w:val="000B2195"/>
    <w:rsid w:val="000B2315"/>
    <w:rsid w:val="000B2520"/>
    <w:rsid w:val="000B26F3"/>
    <w:rsid w:val="000B27B4"/>
    <w:rsid w:val="000B27FB"/>
    <w:rsid w:val="000B2A3F"/>
    <w:rsid w:val="000B2B92"/>
    <w:rsid w:val="000B2CD4"/>
    <w:rsid w:val="000B2EB5"/>
    <w:rsid w:val="000B3082"/>
    <w:rsid w:val="000B323D"/>
    <w:rsid w:val="000B32D1"/>
    <w:rsid w:val="000B3379"/>
    <w:rsid w:val="000B3387"/>
    <w:rsid w:val="000B3508"/>
    <w:rsid w:val="000B3556"/>
    <w:rsid w:val="000B3782"/>
    <w:rsid w:val="000B37C6"/>
    <w:rsid w:val="000B397B"/>
    <w:rsid w:val="000B3A7B"/>
    <w:rsid w:val="000B3CD0"/>
    <w:rsid w:val="000B4040"/>
    <w:rsid w:val="000B4279"/>
    <w:rsid w:val="000B428B"/>
    <w:rsid w:val="000B437C"/>
    <w:rsid w:val="000B4421"/>
    <w:rsid w:val="000B4569"/>
    <w:rsid w:val="000B4A4D"/>
    <w:rsid w:val="000B4A9D"/>
    <w:rsid w:val="000B4AA1"/>
    <w:rsid w:val="000B4C4B"/>
    <w:rsid w:val="000B4DED"/>
    <w:rsid w:val="000B4E0B"/>
    <w:rsid w:val="000B50EC"/>
    <w:rsid w:val="000B51A5"/>
    <w:rsid w:val="000B531E"/>
    <w:rsid w:val="000B5634"/>
    <w:rsid w:val="000B571F"/>
    <w:rsid w:val="000B572F"/>
    <w:rsid w:val="000B582A"/>
    <w:rsid w:val="000B5844"/>
    <w:rsid w:val="000B58E1"/>
    <w:rsid w:val="000B5980"/>
    <w:rsid w:val="000B59AA"/>
    <w:rsid w:val="000B5ABB"/>
    <w:rsid w:val="000B5AC2"/>
    <w:rsid w:val="000B5DED"/>
    <w:rsid w:val="000B5E79"/>
    <w:rsid w:val="000B6032"/>
    <w:rsid w:val="000B622E"/>
    <w:rsid w:val="000B64B9"/>
    <w:rsid w:val="000B6A59"/>
    <w:rsid w:val="000B6DF1"/>
    <w:rsid w:val="000B6FB6"/>
    <w:rsid w:val="000B739E"/>
    <w:rsid w:val="000B745A"/>
    <w:rsid w:val="000B76F2"/>
    <w:rsid w:val="000B7B68"/>
    <w:rsid w:val="000B7D6E"/>
    <w:rsid w:val="000B7FCE"/>
    <w:rsid w:val="000C042F"/>
    <w:rsid w:val="000C04D2"/>
    <w:rsid w:val="000C0562"/>
    <w:rsid w:val="000C064B"/>
    <w:rsid w:val="000C0728"/>
    <w:rsid w:val="000C096C"/>
    <w:rsid w:val="000C0BAB"/>
    <w:rsid w:val="000C0C49"/>
    <w:rsid w:val="000C0F6C"/>
    <w:rsid w:val="000C1036"/>
    <w:rsid w:val="000C10D8"/>
    <w:rsid w:val="000C11EF"/>
    <w:rsid w:val="000C1370"/>
    <w:rsid w:val="000C14EA"/>
    <w:rsid w:val="000C15EF"/>
    <w:rsid w:val="000C1664"/>
    <w:rsid w:val="000C1694"/>
    <w:rsid w:val="000C169B"/>
    <w:rsid w:val="000C1726"/>
    <w:rsid w:val="000C1831"/>
    <w:rsid w:val="000C1C8D"/>
    <w:rsid w:val="000C1D88"/>
    <w:rsid w:val="000C1E0E"/>
    <w:rsid w:val="000C21E6"/>
    <w:rsid w:val="000C223C"/>
    <w:rsid w:val="000C2273"/>
    <w:rsid w:val="000C247E"/>
    <w:rsid w:val="000C26F4"/>
    <w:rsid w:val="000C27CE"/>
    <w:rsid w:val="000C2827"/>
    <w:rsid w:val="000C2C92"/>
    <w:rsid w:val="000C30B4"/>
    <w:rsid w:val="000C3229"/>
    <w:rsid w:val="000C32B2"/>
    <w:rsid w:val="000C33F4"/>
    <w:rsid w:val="000C356A"/>
    <w:rsid w:val="000C36F7"/>
    <w:rsid w:val="000C3969"/>
    <w:rsid w:val="000C3975"/>
    <w:rsid w:val="000C39CE"/>
    <w:rsid w:val="000C3A0A"/>
    <w:rsid w:val="000C3BD4"/>
    <w:rsid w:val="000C3C24"/>
    <w:rsid w:val="000C3E66"/>
    <w:rsid w:val="000C3F55"/>
    <w:rsid w:val="000C419D"/>
    <w:rsid w:val="000C41CB"/>
    <w:rsid w:val="000C4283"/>
    <w:rsid w:val="000C4418"/>
    <w:rsid w:val="000C44A7"/>
    <w:rsid w:val="000C4573"/>
    <w:rsid w:val="000C4995"/>
    <w:rsid w:val="000C5369"/>
    <w:rsid w:val="000C54A6"/>
    <w:rsid w:val="000C5592"/>
    <w:rsid w:val="000C576D"/>
    <w:rsid w:val="000C588F"/>
    <w:rsid w:val="000C5A64"/>
    <w:rsid w:val="000C5AAF"/>
    <w:rsid w:val="000C5E63"/>
    <w:rsid w:val="000C5EF9"/>
    <w:rsid w:val="000C5FF3"/>
    <w:rsid w:val="000C60EA"/>
    <w:rsid w:val="000C639C"/>
    <w:rsid w:val="000C63C5"/>
    <w:rsid w:val="000C6494"/>
    <w:rsid w:val="000C668C"/>
    <w:rsid w:val="000C66A4"/>
    <w:rsid w:val="000C68B9"/>
    <w:rsid w:val="000C6901"/>
    <w:rsid w:val="000C699B"/>
    <w:rsid w:val="000C6AE6"/>
    <w:rsid w:val="000C6CF0"/>
    <w:rsid w:val="000C6D26"/>
    <w:rsid w:val="000C6E0C"/>
    <w:rsid w:val="000C6E40"/>
    <w:rsid w:val="000C6EDB"/>
    <w:rsid w:val="000C7047"/>
    <w:rsid w:val="000C71EC"/>
    <w:rsid w:val="000C7225"/>
    <w:rsid w:val="000C73A4"/>
    <w:rsid w:val="000C756E"/>
    <w:rsid w:val="000C75FC"/>
    <w:rsid w:val="000C78A8"/>
    <w:rsid w:val="000C78CE"/>
    <w:rsid w:val="000C793D"/>
    <w:rsid w:val="000C7968"/>
    <w:rsid w:val="000C7D15"/>
    <w:rsid w:val="000C7D30"/>
    <w:rsid w:val="000C7F7F"/>
    <w:rsid w:val="000C7FD7"/>
    <w:rsid w:val="000C7FEF"/>
    <w:rsid w:val="000D0003"/>
    <w:rsid w:val="000D0102"/>
    <w:rsid w:val="000D0330"/>
    <w:rsid w:val="000D038D"/>
    <w:rsid w:val="000D0418"/>
    <w:rsid w:val="000D05DF"/>
    <w:rsid w:val="000D0720"/>
    <w:rsid w:val="000D0753"/>
    <w:rsid w:val="000D0989"/>
    <w:rsid w:val="000D0ADE"/>
    <w:rsid w:val="000D0DED"/>
    <w:rsid w:val="000D0DF9"/>
    <w:rsid w:val="000D0F34"/>
    <w:rsid w:val="000D0F4A"/>
    <w:rsid w:val="000D105A"/>
    <w:rsid w:val="000D1078"/>
    <w:rsid w:val="000D10D7"/>
    <w:rsid w:val="000D1154"/>
    <w:rsid w:val="000D1311"/>
    <w:rsid w:val="000D135A"/>
    <w:rsid w:val="000D16AB"/>
    <w:rsid w:val="000D19DE"/>
    <w:rsid w:val="000D19E6"/>
    <w:rsid w:val="000D1A66"/>
    <w:rsid w:val="000D1C39"/>
    <w:rsid w:val="000D1D08"/>
    <w:rsid w:val="000D1D3A"/>
    <w:rsid w:val="000D22C5"/>
    <w:rsid w:val="000D2393"/>
    <w:rsid w:val="000D251A"/>
    <w:rsid w:val="000D258F"/>
    <w:rsid w:val="000D2725"/>
    <w:rsid w:val="000D2B40"/>
    <w:rsid w:val="000D2D20"/>
    <w:rsid w:val="000D2DAA"/>
    <w:rsid w:val="000D2EAF"/>
    <w:rsid w:val="000D3035"/>
    <w:rsid w:val="000D3146"/>
    <w:rsid w:val="000D3357"/>
    <w:rsid w:val="000D34CC"/>
    <w:rsid w:val="000D38A8"/>
    <w:rsid w:val="000D3A2B"/>
    <w:rsid w:val="000D3F06"/>
    <w:rsid w:val="000D4106"/>
    <w:rsid w:val="000D4133"/>
    <w:rsid w:val="000D42B0"/>
    <w:rsid w:val="000D45C5"/>
    <w:rsid w:val="000D4979"/>
    <w:rsid w:val="000D49B5"/>
    <w:rsid w:val="000D4D8F"/>
    <w:rsid w:val="000D4E80"/>
    <w:rsid w:val="000D4E86"/>
    <w:rsid w:val="000D4FBB"/>
    <w:rsid w:val="000D5058"/>
    <w:rsid w:val="000D5202"/>
    <w:rsid w:val="000D5352"/>
    <w:rsid w:val="000D536B"/>
    <w:rsid w:val="000D5470"/>
    <w:rsid w:val="000D5722"/>
    <w:rsid w:val="000D57E2"/>
    <w:rsid w:val="000D58A1"/>
    <w:rsid w:val="000D5A62"/>
    <w:rsid w:val="000D5B50"/>
    <w:rsid w:val="000D5EB8"/>
    <w:rsid w:val="000D5EF4"/>
    <w:rsid w:val="000D5EFA"/>
    <w:rsid w:val="000D5F8F"/>
    <w:rsid w:val="000D605F"/>
    <w:rsid w:val="000D60D5"/>
    <w:rsid w:val="000D644A"/>
    <w:rsid w:val="000D647B"/>
    <w:rsid w:val="000D65D3"/>
    <w:rsid w:val="000D6788"/>
    <w:rsid w:val="000D68AB"/>
    <w:rsid w:val="000D6F50"/>
    <w:rsid w:val="000D71D5"/>
    <w:rsid w:val="000D7333"/>
    <w:rsid w:val="000D7408"/>
    <w:rsid w:val="000D75D0"/>
    <w:rsid w:val="000D773E"/>
    <w:rsid w:val="000D784B"/>
    <w:rsid w:val="000D7AD4"/>
    <w:rsid w:val="000D7D4C"/>
    <w:rsid w:val="000D7F80"/>
    <w:rsid w:val="000D7FAE"/>
    <w:rsid w:val="000E000B"/>
    <w:rsid w:val="000E018C"/>
    <w:rsid w:val="000E0198"/>
    <w:rsid w:val="000E0228"/>
    <w:rsid w:val="000E0237"/>
    <w:rsid w:val="000E05C5"/>
    <w:rsid w:val="000E0994"/>
    <w:rsid w:val="000E0A06"/>
    <w:rsid w:val="000E0AC6"/>
    <w:rsid w:val="000E0AF3"/>
    <w:rsid w:val="000E0DB3"/>
    <w:rsid w:val="000E1224"/>
    <w:rsid w:val="000E158F"/>
    <w:rsid w:val="000E16CF"/>
    <w:rsid w:val="000E177C"/>
    <w:rsid w:val="000E199A"/>
    <w:rsid w:val="000E1B1B"/>
    <w:rsid w:val="000E1B3A"/>
    <w:rsid w:val="000E2064"/>
    <w:rsid w:val="000E20F1"/>
    <w:rsid w:val="000E2202"/>
    <w:rsid w:val="000E230B"/>
    <w:rsid w:val="000E2341"/>
    <w:rsid w:val="000E2373"/>
    <w:rsid w:val="000E24A3"/>
    <w:rsid w:val="000E2514"/>
    <w:rsid w:val="000E256D"/>
    <w:rsid w:val="000E2587"/>
    <w:rsid w:val="000E266A"/>
    <w:rsid w:val="000E2908"/>
    <w:rsid w:val="000E2DF9"/>
    <w:rsid w:val="000E2F0A"/>
    <w:rsid w:val="000E3056"/>
    <w:rsid w:val="000E3134"/>
    <w:rsid w:val="000E313A"/>
    <w:rsid w:val="000E38CD"/>
    <w:rsid w:val="000E3D38"/>
    <w:rsid w:val="000E3F66"/>
    <w:rsid w:val="000E40BE"/>
    <w:rsid w:val="000E4142"/>
    <w:rsid w:val="000E4168"/>
    <w:rsid w:val="000E42A6"/>
    <w:rsid w:val="000E42CC"/>
    <w:rsid w:val="000E42DF"/>
    <w:rsid w:val="000E42E6"/>
    <w:rsid w:val="000E46CB"/>
    <w:rsid w:val="000E475F"/>
    <w:rsid w:val="000E4882"/>
    <w:rsid w:val="000E49E4"/>
    <w:rsid w:val="000E4BEF"/>
    <w:rsid w:val="000E4D21"/>
    <w:rsid w:val="000E4D60"/>
    <w:rsid w:val="000E4E23"/>
    <w:rsid w:val="000E50DA"/>
    <w:rsid w:val="000E5332"/>
    <w:rsid w:val="000E5806"/>
    <w:rsid w:val="000E5ABD"/>
    <w:rsid w:val="000E5EE3"/>
    <w:rsid w:val="000E62E2"/>
    <w:rsid w:val="000E644C"/>
    <w:rsid w:val="000E6533"/>
    <w:rsid w:val="000E6607"/>
    <w:rsid w:val="000E66AA"/>
    <w:rsid w:val="000E66C9"/>
    <w:rsid w:val="000E673D"/>
    <w:rsid w:val="000E699D"/>
    <w:rsid w:val="000E6FA4"/>
    <w:rsid w:val="000E6FAD"/>
    <w:rsid w:val="000E70CB"/>
    <w:rsid w:val="000E719D"/>
    <w:rsid w:val="000E7252"/>
    <w:rsid w:val="000E72AF"/>
    <w:rsid w:val="000E7414"/>
    <w:rsid w:val="000E756C"/>
    <w:rsid w:val="000E7688"/>
    <w:rsid w:val="000E76EE"/>
    <w:rsid w:val="000E7792"/>
    <w:rsid w:val="000E7793"/>
    <w:rsid w:val="000E7B1A"/>
    <w:rsid w:val="000E7D5B"/>
    <w:rsid w:val="000E7E07"/>
    <w:rsid w:val="000F038E"/>
    <w:rsid w:val="000F042F"/>
    <w:rsid w:val="000F0968"/>
    <w:rsid w:val="000F0D12"/>
    <w:rsid w:val="000F12A4"/>
    <w:rsid w:val="000F12E7"/>
    <w:rsid w:val="000F14D8"/>
    <w:rsid w:val="000F1537"/>
    <w:rsid w:val="000F17BD"/>
    <w:rsid w:val="000F1865"/>
    <w:rsid w:val="000F1B37"/>
    <w:rsid w:val="000F1DC5"/>
    <w:rsid w:val="000F2116"/>
    <w:rsid w:val="000F23AE"/>
    <w:rsid w:val="000F2488"/>
    <w:rsid w:val="000F259D"/>
    <w:rsid w:val="000F25D0"/>
    <w:rsid w:val="000F280E"/>
    <w:rsid w:val="000F28A3"/>
    <w:rsid w:val="000F29E1"/>
    <w:rsid w:val="000F2A8E"/>
    <w:rsid w:val="000F2B8D"/>
    <w:rsid w:val="000F3165"/>
    <w:rsid w:val="000F32AB"/>
    <w:rsid w:val="000F3622"/>
    <w:rsid w:val="000F3633"/>
    <w:rsid w:val="000F38D5"/>
    <w:rsid w:val="000F3906"/>
    <w:rsid w:val="000F3BF4"/>
    <w:rsid w:val="000F3DBC"/>
    <w:rsid w:val="000F3E51"/>
    <w:rsid w:val="000F424B"/>
    <w:rsid w:val="000F4320"/>
    <w:rsid w:val="000F47EB"/>
    <w:rsid w:val="000F482A"/>
    <w:rsid w:val="000F4889"/>
    <w:rsid w:val="000F4AE8"/>
    <w:rsid w:val="000F4C12"/>
    <w:rsid w:val="000F4D0C"/>
    <w:rsid w:val="000F4E55"/>
    <w:rsid w:val="000F4F1C"/>
    <w:rsid w:val="000F523F"/>
    <w:rsid w:val="000F5503"/>
    <w:rsid w:val="000F5538"/>
    <w:rsid w:val="000F555E"/>
    <w:rsid w:val="000F564A"/>
    <w:rsid w:val="000F5710"/>
    <w:rsid w:val="000F5776"/>
    <w:rsid w:val="000F5869"/>
    <w:rsid w:val="000F586B"/>
    <w:rsid w:val="000F5926"/>
    <w:rsid w:val="000F5AFE"/>
    <w:rsid w:val="000F5D44"/>
    <w:rsid w:val="000F5F05"/>
    <w:rsid w:val="000F61E3"/>
    <w:rsid w:val="000F6B28"/>
    <w:rsid w:val="000F6E9A"/>
    <w:rsid w:val="000F6EEA"/>
    <w:rsid w:val="000F6FB0"/>
    <w:rsid w:val="000F707E"/>
    <w:rsid w:val="000F729C"/>
    <w:rsid w:val="000F7434"/>
    <w:rsid w:val="000F77E1"/>
    <w:rsid w:val="000F7832"/>
    <w:rsid w:val="000F78D1"/>
    <w:rsid w:val="000F78DE"/>
    <w:rsid w:val="000F79F2"/>
    <w:rsid w:val="000F7A9E"/>
    <w:rsid w:val="0010010B"/>
    <w:rsid w:val="00100140"/>
    <w:rsid w:val="00100207"/>
    <w:rsid w:val="00100281"/>
    <w:rsid w:val="0010032F"/>
    <w:rsid w:val="00100331"/>
    <w:rsid w:val="0010035A"/>
    <w:rsid w:val="001003BA"/>
    <w:rsid w:val="001003FA"/>
    <w:rsid w:val="00100668"/>
    <w:rsid w:val="00100DB1"/>
    <w:rsid w:val="00100DBB"/>
    <w:rsid w:val="00100EB9"/>
    <w:rsid w:val="00100FC9"/>
    <w:rsid w:val="00101091"/>
    <w:rsid w:val="001010C6"/>
    <w:rsid w:val="00101456"/>
    <w:rsid w:val="001016C4"/>
    <w:rsid w:val="0010178C"/>
    <w:rsid w:val="00101CF1"/>
    <w:rsid w:val="00101D33"/>
    <w:rsid w:val="00101F41"/>
    <w:rsid w:val="0010228D"/>
    <w:rsid w:val="001022E6"/>
    <w:rsid w:val="0010234B"/>
    <w:rsid w:val="001024A1"/>
    <w:rsid w:val="00102553"/>
    <w:rsid w:val="0010273A"/>
    <w:rsid w:val="00102B37"/>
    <w:rsid w:val="00102B85"/>
    <w:rsid w:val="00102D2E"/>
    <w:rsid w:val="00102EC8"/>
    <w:rsid w:val="00102F31"/>
    <w:rsid w:val="00103062"/>
    <w:rsid w:val="0010355A"/>
    <w:rsid w:val="001035DA"/>
    <w:rsid w:val="00103BBE"/>
    <w:rsid w:val="00103F7E"/>
    <w:rsid w:val="00104025"/>
    <w:rsid w:val="0010407D"/>
    <w:rsid w:val="00104265"/>
    <w:rsid w:val="0010433E"/>
    <w:rsid w:val="00104415"/>
    <w:rsid w:val="001044A1"/>
    <w:rsid w:val="0010454F"/>
    <w:rsid w:val="00104900"/>
    <w:rsid w:val="0010490B"/>
    <w:rsid w:val="00104AF5"/>
    <w:rsid w:val="00104C17"/>
    <w:rsid w:val="00105332"/>
    <w:rsid w:val="00105338"/>
    <w:rsid w:val="001054E4"/>
    <w:rsid w:val="0010554E"/>
    <w:rsid w:val="001059B3"/>
    <w:rsid w:val="00105C25"/>
    <w:rsid w:val="00105D25"/>
    <w:rsid w:val="00105E05"/>
    <w:rsid w:val="00105E1A"/>
    <w:rsid w:val="00105F1F"/>
    <w:rsid w:val="00105FCA"/>
    <w:rsid w:val="00105FF6"/>
    <w:rsid w:val="001060A1"/>
    <w:rsid w:val="00106106"/>
    <w:rsid w:val="0010622D"/>
    <w:rsid w:val="00106239"/>
    <w:rsid w:val="00106449"/>
    <w:rsid w:val="001064FD"/>
    <w:rsid w:val="001069E8"/>
    <w:rsid w:val="00106AA1"/>
    <w:rsid w:val="00106AFB"/>
    <w:rsid w:val="00106DEA"/>
    <w:rsid w:val="00106ED4"/>
    <w:rsid w:val="00106F10"/>
    <w:rsid w:val="001071ED"/>
    <w:rsid w:val="0010742F"/>
    <w:rsid w:val="00107517"/>
    <w:rsid w:val="0010777C"/>
    <w:rsid w:val="001077F6"/>
    <w:rsid w:val="001078A5"/>
    <w:rsid w:val="0010799E"/>
    <w:rsid w:val="001079CC"/>
    <w:rsid w:val="00107B0A"/>
    <w:rsid w:val="00107B68"/>
    <w:rsid w:val="00107D58"/>
    <w:rsid w:val="001106B7"/>
    <w:rsid w:val="00110777"/>
    <w:rsid w:val="00110840"/>
    <w:rsid w:val="00110A5B"/>
    <w:rsid w:val="00110BAC"/>
    <w:rsid w:val="00110F05"/>
    <w:rsid w:val="00110F08"/>
    <w:rsid w:val="001110B6"/>
    <w:rsid w:val="001112A4"/>
    <w:rsid w:val="00111446"/>
    <w:rsid w:val="001114FA"/>
    <w:rsid w:val="00111609"/>
    <w:rsid w:val="001117AA"/>
    <w:rsid w:val="001117D6"/>
    <w:rsid w:val="00111A3A"/>
    <w:rsid w:val="00111D7E"/>
    <w:rsid w:val="00111DF6"/>
    <w:rsid w:val="00111F3B"/>
    <w:rsid w:val="001120F9"/>
    <w:rsid w:val="0011211F"/>
    <w:rsid w:val="0011231A"/>
    <w:rsid w:val="0011254D"/>
    <w:rsid w:val="001127CE"/>
    <w:rsid w:val="0011286E"/>
    <w:rsid w:val="001128A3"/>
    <w:rsid w:val="00113450"/>
    <w:rsid w:val="00113470"/>
    <w:rsid w:val="0011367B"/>
    <w:rsid w:val="00113A16"/>
    <w:rsid w:val="00113AF4"/>
    <w:rsid w:val="00113D65"/>
    <w:rsid w:val="00113E89"/>
    <w:rsid w:val="00113F4D"/>
    <w:rsid w:val="0011400B"/>
    <w:rsid w:val="0011413D"/>
    <w:rsid w:val="001144CA"/>
    <w:rsid w:val="00114690"/>
    <w:rsid w:val="00114731"/>
    <w:rsid w:val="00114879"/>
    <w:rsid w:val="00114A51"/>
    <w:rsid w:val="00114A90"/>
    <w:rsid w:val="00114B28"/>
    <w:rsid w:val="00114CA6"/>
    <w:rsid w:val="00114CA9"/>
    <w:rsid w:val="00114EDA"/>
    <w:rsid w:val="00114F46"/>
    <w:rsid w:val="00115023"/>
    <w:rsid w:val="0011519F"/>
    <w:rsid w:val="00115272"/>
    <w:rsid w:val="0011527A"/>
    <w:rsid w:val="001155B6"/>
    <w:rsid w:val="00115B22"/>
    <w:rsid w:val="00115CC5"/>
    <w:rsid w:val="00115D32"/>
    <w:rsid w:val="00115D76"/>
    <w:rsid w:val="00115DD7"/>
    <w:rsid w:val="00116606"/>
    <w:rsid w:val="001166CB"/>
    <w:rsid w:val="001166DC"/>
    <w:rsid w:val="00116851"/>
    <w:rsid w:val="00116C9F"/>
    <w:rsid w:val="00116DEB"/>
    <w:rsid w:val="00116F2D"/>
    <w:rsid w:val="00117232"/>
    <w:rsid w:val="00117639"/>
    <w:rsid w:val="00117689"/>
    <w:rsid w:val="001178F3"/>
    <w:rsid w:val="00117DD5"/>
    <w:rsid w:val="00120594"/>
    <w:rsid w:val="001207A7"/>
    <w:rsid w:val="001208AD"/>
    <w:rsid w:val="001208CC"/>
    <w:rsid w:val="00120929"/>
    <w:rsid w:val="00120C2A"/>
    <w:rsid w:val="00120CB7"/>
    <w:rsid w:val="00120E41"/>
    <w:rsid w:val="001211B4"/>
    <w:rsid w:val="00121219"/>
    <w:rsid w:val="00121332"/>
    <w:rsid w:val="0012151D"/>
    <w:rsid w:val="001215EE"/>
    <w:rsid w:val="001218F7"/>
    <w:rsid w:val="0012196F"/>
    <w:rsid w:val="001219AD"/>
    <w:rsid w:val="00121BC4"/>
    <w:rsid w:val="00121C26"/>
    <w:rsid w:val="00121F86"/>
    <w:rsid w:val="0012204F"/>
    <w:rsid w:val="00122257"/>
    <w:rsid w:val="00122374"/>
    <w:rsid w:val="001223AD"/>
    <w:rsid w:val="001224B3"/>
    <w:rsid w:val="001224D3"/>
    <w:rsid w:val="001225FC"/>
    <w:rsid w:val="00122676"/>
    <w:rsid w:val="001226D7"/>
    <w:rsid w:val="00122B2C"/>
    <w:rsid w:val="00122CD6"/>
    <w:rsid w:val="00122D8D"/>
    <w:rsid w:val="00122F69"/>
    <w:rsid w:val="001230A3"/>
    <w:rsid w:val="00123332"/>
    <w:rsid w:val="00123457"/>
    <w:rsid w:val="001234C6"/>
    <w:rsid w:val="0012381D"/>
    <w:rsid w:val="0012394E"/>
    <w:rsid w:val="0012398E"/>
    <w:rsid w:val="001239A3"/>
    <w:rsid w:val="00123C01"/>
    <w:rsid w:val="00123F33"/>
    <w:rsid w:val="00123F40"/>
    <w:rsid w:val="00123F72"/>
    <w:rsid w:val="00124071"/>
    <w:rsid w:val="0012427F"/>
    <w:rsid w:val="001243B3"/>
    <w:rsid w:val="001244F9"/>
    <w:rsid w:val="001249A1"/>
    <w:rsid w:val="001249E3"/>
    <w:rsid w:val="00124A0F"/>
    <w:rsid w:val="00124C58"/>
    <w:rsid w:val="00124DB3"/>
    <w:rsid w:val="00124FFA"/>
    <w:rsid w:val="0012503C"/>
    <w:rsid w:val="00125480"/>
    <w:rsid w:val="00125488"/>
    <w:rsid w:val="001254E9"/>
    <w:rsid w:val="0012557F"/>
    <w:rsid w:val="001255F4"/>
    <w:rsid w:val="001256E7"/>
    <w:rsid w:val="0012570C"/>
    <w:rsid w:val="00125834"/>
    <w:rsid w:val="00125A9E"/>
    <w:rsid w:val="00125AC7"/>
    <w:rsid w:val="00125DEF"/>
    <w:rsid w:val="001264A1"/>
    <w:rsid w:val="001268A2"/>
    <w:rsid w:val="00126DEC"/>
    <w:rsid w:val="00126E60"/>
    <w:rsid w:val="00126F59"/>
    <w:rsid w:val="001270FF"/>
    <w:rsid w:val="00127142"/>
    <w:rsid w:val="00127175"/>
    <w:rsid w:val="0012727D"/>
    <w:rsid w:val="00127578"/>
    <w:rsid w:val="0012757A"/>
    <w:rsid w:val="0012777B"/>
    <w:rsid w:val="00127B8D"/>
    <w:rsid w:val="00127D5A"/>
    <w:rsid w:val="00127DA6"/>
    <w:rsid w:val="00127EEE"/>
    <w:rsid w:val="00130059"/>
    <w:rsid w:val="001304F2"/>
    <w:rsid w:val="001305FE"/>
    <w:rsid w:val="00130735"/>
    <w:rsid w:val="0013079C"/>
    <w:rsid w:val="001308E2"/>
    <w:rsid w:val="00130A49"/>
    <w:rsid w:val="00130C7B"/>
    <w:rsid w:val="00130E2C"/>
    <w:rsid w:val="00130EB1"/>
    <w:rsid w:val="001310A4"/>
    <w:rsid w:val="0013119F"/>
    <w:rsid w:val="00131422"/>
    <w:rsid w:val="0013176C"/>
    <w:rsid w:val="00131801"/>
    <w:rsid w:val="00131B8E"/>
    <w:rsid w:val="00131CC2"/>
    <w:rsid w:val="00131D0B"/>
    <w:rsid w:val="00131D3F"/>
    <w:rsid w:val="00132157"/>
    <w:rsid w:val="0013233D"/>
    <w:rsid w:val="0013249E"/>
    <w:rsid w:val="001325F7"/>
    <w:rsid w:val="00132920"/>
    <w:rsid w:val="00132961"/>
    <w:rsid w:val="00132C24"/>
    <w:rsid w:val="00132CF5"/>
    <w:rsid w:val="001335A4"/>
    <w:rsid w:val="001335C9"/>
    <w:rsid w:val="00133610"/>
    <w:rsid w:val="00133724"/>
    <w:rsid w:val="00133763"/>
    <w:rsid w:val="0013380C"/>
    <w:rsid w:val="00133871"/>
    <w:rsid w:val="00133900"/>
    <w:rsid w:val="001339B6"/>
    <w:rsid w:val="00133AF2"/>
    <w:rsid w:val="00133CB9"/>
    <w:rsid w:val="00133DB4"/>
    <w:rsid w:val="0013401E"/>
    <w:rsid w:val="001342CC"/>
    <w:rsid w:val="001342F0"/>
    <w:rsid w:val="0013430C"/>
    <w:rsid w:val="001344EF"/>
    <w:rsid w:val="001348EA"/>
    <w:rsid w:val="00134BA3"/>
    <w:rsid w:val="00135139"/>
    <w:rsid w:val="00135177"/>
    <w:rsid w:val="00135201"/>
    <w:rsid w:val="001355AB"/>
    <w:rsid w:val="00135F7B"/>
    <w:rsid w:val="00136296"/>
    <w:rsid w:val="001364A4"/>
    <w:rsid w:val="001367D1"/>
    <w:rsid w:val="0013691C"/>
    <w:rsid w:val="00136AEA"/>
    <w:rsid w:val="00136D33"/>
    <w:rsid w:val="00136DC7"/>
    <w:rsid w:val="00137361"/>
    <w:rsid w:val="001373FA"/>
    <w:rsid w:val="001374CE"/>
    <w:rsid w:val="001379FF"/>
    <w:rsid w:val="00137A4B"/>
    <w:rsid w:val="00137B4F"/>
    <w:rsid w:val="00137BBD"/>
    <w:rsid w:val="00137CB0"/>
    <w:rsid w:val="00137D27"/>
    <w:rsid w:val="00137EEC"/>
    <w:rsid w:val="00137F5B"/>
    <w:rsid w:val="00137F71"/>
    <w:rsid w:val="00137FBA"/>
    <w:rsid w:val="00137FF5"/>
    <w:rsid w:val="001404A2"/>
    <w:rsid w:val="001406EE"/>
    <w:rsid w:val="0014074C"/>
    <w:rsid w:val="001409F8"/>
    <w:rsid w:val="00140AA7"/>
    <w:rsid w:val="00140AC1"/>
    <w:rsid w:val="00140AC8"/>
    <w:rsid w:val="00140B14"/>
    <w:rsid w:val="00140B85"/>
    <w:rsid w:val="00140B90"/>
    <w:rsid w:val="00140F60"/>
    <w:rsid w:val="00140F64"/>
    <w:rsid w:val="00141520"/>
    <w:rsid w:val="0014163E"/>
    <w:rsid w:val="00141852"/>
    <w:rsid w:val="00141E9C"/>
    <w:rsid w:val="00141F03"/>
    <w:rsid w:val="0014207E"/>
    <w:rsid w:val="00142080"/>
    <w:rsid w:val="00142116"/>
    <w:rsid w:val="00142188"/>
    <w:rsid w:val="0014232E"/>
    <w:rsid w:val="0014236F"/>
    <w:rsid w:val="00142555"/>
    <w:rsid w:val="001426C9"/>
    <w:rsid w:val="00142707"/>
    <w:rsid w:val="001427D5"/>
    <w:rsid w:val="0014288C"/>
    <w:rsid w:val="00142959"/>
    <w:rsid w:val="0014297C"/>
    <w:rsid w:val="00142C6E"/>
    <w:rsid w:val="00142F30"/>
    <w:rsid w:val="00142F9D"/>
    <w:rsid w:val="0014372D"/>
    <w:rsid w:val="00143802"/>
    <w:rsid w:val="00143970"/>
    <w:rsid w:val="00143A7C"/>
    <w:rsid w:val="00143B5A"/>
    <w:rsid w:val="00143EAE"/>
    <w:rsid w:val="001440F1"/>
    <w:rsid w:val="0014415A"/>
    <w:rsid w:val="00144212"/>
    <w:rsid w:val="00144262"/>
    <w:rsid w:val="001442A3"/>
    <w:rsid w:val="001444F7"/>
    <w:rsid w:val="00144598"/>
    <w:rsid w:val="00144A0C"/>
    <w:rsid w:val="00144F8E"/>
    <w:rsid w:val="00145026"/>
    <w:rsid w:val="001450E0"/>
    <w:rsid w:val="001450E9"/>
    <w:rsid w:val="0014532F"/>
    <w:rsid w:val="001453A6"/>
    <w:rsid w:val="00145400"/>
    <w:rsid w:val="00145603"/>
    <w:rsid w:val="00145662"/>
    <w:rsid w:val="0014574F"/>
    <w:rsid w:val="00145951"/>
    <w:rsid w:val="001459A2"/>
    <w:rsid w:val="00145A2D"/>
    <w:rsid w:val="00145B33"/>
    <w:rsid w:val="00145D26"/>
    <w:rsid w:val="00145DFC"/>
    <w:rsid w:val="00145EC8"/>
    <w:rsid w:val="00145F72"/>
    <w:rsid w:val="00145FB9"/>
    <w:rsid w:val="00146002"/>
    <w:rsid w:val="00146045"/>
    <w:rsid w:val="00146298"/>
    <w:rsid w:val="00146361"/>
    <w:rsid w:val="001463C9"/>
    <w:rsid w:val="00146A2D"/>
    <w:rsid w:val="00146AEB"/>
    <w:rsid w:val="00146B74"/>
    <w:rsid w:val="00146C0F"/>
    <w:rsid w:val="00146CD9"/>
    <w:rsid w:val="00146E3A"/>
    <w:rsid w:val="00146EC6"/>
    <w:rsid w:val="00146F38"/>
    <w:rsid w:val="001470A0"/>
    <w:rsid w:val="0014710E"/>
    <w:rsid w:val="001472D8"/>
    <w:rsid w:val="0014735F"/>
    <w:rsid w:val="00147551"/>
    <w:rsid w:val="00147733"/>
    <w:rsid w:val="00147B03"/>
    <w:rsid w:val="00150061"/>
    <w:rsid w:val="0015022E"/>
    <w:rsid w:val="001502CD"/>
    <w:rsid w:val="00150321"/>
    <w:rsid w:val="0015063C"/>
    <w:rsid w:val="0015069D"/>
    <w:rsid w:val="00150718"/>
    <w:rsid w:val="001509E9"/>
    <w:rsid w:val="00150B63"/>
    <w:rsid w:val="00150E21"/>
    <w:rsid w:val="00151095"/>
    <w:rsid w:val="00151213"/>
    <w:rsid w:val="00151356"/>
    <w:rsid w:val="00151375"/>
    <w:rsid w:val="00151483"/>
    <w:rsid w:val="00151605"/>
    <w:rsid w:val="0015177C"/>
    <w:rsid w:val="00151C71"/>
    <w:rsid w:val="00151C8C"/>
    <w:rsid w:val="00151CC9"/>
    <w:rsid w:val="00151E7A"/>
    <w:rsid w:val="00151FF0"/>
    <w:rsid w:val="00152191"/>
    <w:rsid w:val="00152419"/>
    <w:rsid w:val="0015286E"/>
    <w:rsid w:val="00152AE9"/>
    <w:rsid w:val="00152FA4"/>
    <w:rsid w:val="00152FEC"/>
    <w:rsid w:val="001530B2"/>
    <w:rsid w:val="001533CC"/>
    <w:rsid w:val="001535D8"/>
    <w:rsid w:val="00153BAB"/>
    <w:rsid w:val="00153C0E"/>
    <w:rsid w:val="00154068"/>
    <w:rsid w:val="0015417C"/>
    <w:rsid w:val="00154370"/>
    <w:rsid w:val="00154375"/>
    <w:rsid w:val="0015444D"/>
    <w:rsid w:val="00154456"/>
    <w:rsid w:val="00154614"/>
    <w:rsid w:val="0015472B"/>
    <w:rsid w:val="00154A07"/>
    <w:rsid w:val="00154C43"/>
    <w:rsid w:val="00154CEB"/>
    <w:rsid w:val="00154CF4"/>
    <w:rsid w:val="00154DAF"/>
    <w:rsid w:val="00154F15"/>
    <w:rsid w:val="00155083"/>
    <w:rsid w:val="0015564F"/>
    <w:rsid w:val="001557D1"/>
    <w:rsid w:val="00155921"/>
    <w:rsid w:val="001559FB"/>
    <w:rsid w:val="00155B20"/>
    <w:rsid w:val="00155DDA"/>
    <w:rsid w:val="00155F1D"/>
    <w:rsid w:val="00155FC4"/>
    <w:rsid w:val="0015601C"/>
    <w:rsid w:val="001561F9"/>
    <w:rsid w:val="00156436"/>
    <w:rsid w:val="0015672A"/>
    <w:rsid w:val="00156758"/>
    <w:rsid w:val="001568EC"/>
    <w:rsid w:val="001569A5"/>
    <w:rsid w:val="00156A49"/>
    <w:rsid w:val="00156A6A"/>
    <w:rsid w:val="00156B8B"/>
    <w:rsid w:val="00156CFA"/>
    <w:rsid w:val="00156D1C"/>
    <w:rsid w:val="00157181"/>
    <w:rsid w:val="00157253"/>
    <w:rsid w:val="0015727F"/>
    <w:rsid w:val="0015739E"/>
    <w:rsid w:val="00157472"/>
    <w:rsid w:val="001575B1"/>
    <w:rsid w:val="00157684"/>
    <w:rsid w:val="0015781F"/>
    <w:rsid w:val="00157933"/>
    <w:rsid w:val="00157991"/>
    <w:rsid w:val="00157A45"/>
    <w:rsid w:val="00157B5F"/>
    <w:rsid w:val="00157C14"/>
    <w:rsid w:val="00157EBD"/>
    <w:rsid w:val="00157EC5"/>
    <w:rsid w:val="00157F04"/>
    <w:rsid w:val="001600F4"/>
    <w:rsid w:val="00160134"/>
    <w:rsid w:val="001603AA"/>
    <w:rsid w:val="00160501"/>
    <w:rsid w:val="00160522"/>
    <w:rsid w:val="001605A5"/>
    <w:rsid w:val="0016068C"/>
    <w:rsid w:val="00160C6D"/>
    <w:rsid w:val="00160C8E"/>
    <w:rsid w:val="00161169"/>
    <w:rsid w:val="00161357"/>
    <w:rsid w:val="00161464"/>
    <w:rsid w:val="0016148B"/>
    <w:rsid w:val="00161998"/>
    <w:rsid w:val="001619C9"/>
    <w:rsid w:val="00161B41"/>
    <w:rsid w:val="00161BAF"/>
    <w:rsid w:val="00161BF1"/>
    <w:rsid w:val="00161C3A"/>
    <w:rsid w:val="00161D8F"/>
    <w:rsid w:val="00161E1F"/>
    <w:rsid w:val="00161FA5"/>
    <w:rsid w:val="0016213D"/>
    <w:rsid w:val="0016223E"/>
    <w:rsid w:val="0016228D"/>
    <w:rsid w:val="00162434"/>
    <w:rsid w:val="001624B1"/>
    <w:rsid w:val="0016254A"/>
    <w:rsid w:val="00162581"/>
    <w:rsid w:val="00162823"/>
    <w:rsid w:val="0016286D"/>
    <w:rsid w:val="00162971"/>
    <w:rsid w:val="00162982"/>
    <w:rsid w:val="001629EC"/>
    <w:rsid w:val="00162C97"/>
    <w:rsid w:val="00162DB0"/>
    <w:rsid w:val="00162E9B"/>
    <w:rsid w:val="00162F4B"/>
    <w:rsid w:val="0016331B"/>
    <w:rsid w:val="00163740"/>
    <w:rsid w:val="00163A81"/>
    <w:rsid w:val="00163C6F"/>
    <w:rsid w:val="00163D0E"/>
    <w:rsid w:val="001642F6"/>
    <w:rsid w:val="00164553"/>
    <w:rsid w:val="001646D9"/>
    <w:rsid w:val="00164B0A"/>
    <w:rsid w:val="00164FA1"/>
    <w:rsid w:val="001651D9"/>
    <w:rsid w:val="001653E9"/>
    <w:rsid w:val="00165607"/>
    <w:rsid w:val="00165839"/>
    <w:rsid w:val="001658F8"/>
    <w:rsid w:val="00165A87"/>
    <w:rsid w:val="00165C49"/>
    <w:rsid w:val="00165E65"/>
    <w:rsid w:val="00165F90"/>
    <w:rsid w:val="0016602A"/>
    <w:rsid w:val="00166244"/>
    <w:rsid w:val="001663CC"/>
    <w:rsid w:val="00166859"/>
    <w:rsid w:val="001669A2"/>
    <w:rsid w:val="00166B9A"/>
    <w:rsid w:val="00166BDD"/>
    <w:rsid w:val="00166D76"/>
    <w:rsid w:val="00167104"/>
    <w:rsid w:val="00167163"/>
    <w:rsid w:val="0016716F"/>
    <w:rsid w:val="00167320"/>
    <w:rsid w:val="00167572"/>
    <w:rsid w:val="001676D2"/>
    <w:rsid w:val="00167727"/>
    <w:rsid w:val="001677B3"/>
    <w:rsid w:val="00167953"/>
    <w:rsid w:val="0016797C"/>
    <w:rsid w:val="00167A25"/>
    <w:rsid w:val="00167C25"/>
    <w:rsid w:val="00167D81"/>
    <w:rsid w:val="00167FA7"/>
    <w:rsid w:val="0017001E"/>
    <w:rsid w:val="001704B4"/>
    <w:rsid w:val="00170533"/>
    <w:rsid w:val="001705C8"/>
    <w:rsid w:val="00170808"/>
    <w:rsid w:val="00170956"/>
    <w:rsid w:val="00170993"/>
    <w:rsid w:val="001709FC"/>
    <w:rsid w:val="00170B72"/>
    <w:rsid w:val="00171043"/>
    <w:rsid w:val="00171204"/>
    <w:rsid w:val="001713EE"/>
    <w:rsid w:val="00171409"/>
    <w:rsid w:val="00171418"/>
    <w:rsid w:val="001714DA"/>
    <w:rsid w:val="0017161A"/>
    <w:rsid w:val="00171734"/>
    <w:rsid w:val="00171857"/>
    <w:rsid w:val="00171897"/>
    <w:rsid w:val="00171B13"/>
    <w:rsid w:val="00172116"/>
    <w:rsid w:val="00172260"/>
    <w:rsid w:val="00172711"/>
    <w:rsid w:val="00172736"/>
    <w:rsid w:val="00172811"/>
    <w:rsid w:val="0017296C"/>
    <w:rsid w:val="00172CC6"/>
    <w:rsid w:val="00172D39"/>
    <w:rsid w:val="00172FFD"/>
    <w:rsid w:val="00173565"/>
    <w:rsid w:val="0017359F"/>
    <w:rsid w:val="001736D5"/>
    <w:rsid w:val="0017370B"/>
    <w:rsid w:val="0017370E"/>
    <w:rsid w:val="0017375E"/>
    <w:rsid w:val="00173A60"/>
    <w:rsid w:val="00173B83"/>
    <w:rsid w:val="00173BF1"/>
    <w:rsid w:val="00173C4C"/>
    <w:rsid w:val="00173D14"/>
    <w:rsid w:val="0017422A"/>
    <w:rsid w:val="0017436E"/>
    <w:rsid w:val="00174400"/>
    <w:rsid w:val="00174404"/>
    <w:rsid w:val="00174413"/>
    <w:rsid w:val="00174566"/>
    <w:rsid w:val="0017463E"/>
    <w:rsid w:val="001746C1"/>
    <w:rsid w:val="00174720"/>
    <w:rsid w:val="00174734"/>
    <w:rsid w:val="00174807"/>
    <w:rsid w:val="001748E9"/>
    <w:rsid w:val="001749A5"/>
    <w:rsid w:val="00174A09"/>
    <w:rsid w:val="00174B3B"/>
    <w:rsid w:val="00174BE8"/>
    <w:rsid w:val="001751D4"/>
    <w:rsid w:val="00175232"/>
    <w:rsid w:val="00175443"/>
    <w:rsid w:val="00175669"/>
    <w:rsid w:val="00175EAF"/>
    <w:rsid w:val="00176025"/>
    <w:rsid w:val="00176028"/>
    <w:rsid w:val="00176048"/>
    <w:rsid w:val="001763EE"/>
    <w:rsid w:val="0017642E"/>
    <w:rsid w:val="00176479"/>
    <w:rsid w:val="0017660D"/>
    <w:rsid w:val="00176A9D"/>
    <w:rsid w:val="00176F36"/>
    <w:rsid w:val="0017700E"/>
    <w:rsid w:val="001770F1"/>
    <w:rsid w:val="0017718F"/>
    <w:rsid w:val="001771AC"/>
    <w:rsid w:val="00177266"/>
    <w:rsid w:val="00177461"/>
    <w:rsid w:val="00177597"/>
    <w:rsid w:val="0017789A"/>
    <w:rsid w:val="001778EA"/>
    <w:rsid w:val="0017795D"/>
    <w:rsid w:val="00177B10"/>
    <w:rsid w:val="00177BDC"/>
    <w:rsid w:val="00177E83"/>
    <w:rsid w:val="0018035F"/>
    <w:rsid w:val="00180397"/>
    <w:rsid w:val="0018060E"/>
    <w:rsid w:val="0018063E"/>
    <w:rsid w:val="00180752"/>
    <w:rsid w:val="00180A9E"/>
    <w:rsid w:val="00180C33"/>
    <w:rsid w:val="00181020"/>
    <w:rsid w:val="001810D3"/>
    <w:rsid w:val="00181141"/>
    <w:rsid w:val="0018119B"/>
    <w:rsid w:val="001814F7"/>
    <w:rsid w:val="001816C8"/>
    <w:rsid w:val="0018171F"/>
    <w:rsid w:val="00181778"/>
    <w:rsid w:val="00181821"/>
    <w:rsid w:val="0018193F"/>
    <w:rsid w:val="00181CD8"/>
    <w:rsid w:val="00181CEC"/>
    <w:rsid w:val="00181D57"/>
    <w:rsid w:val="00181EF9"/>
    <w:rsid w:val="00181F77"/>
    <w:rsid w:val="00181FDE"/>
    <w:rsid w:val="00182095"/>
    <w:rsid w:val="001820A3"/>
    <w:rsid w:val="001823AA"/>
    <w:rsid w:val="001823EC"/>
    <w:rsid w:val="00182532"/>
    <w:rsid w:val="0018263B"/>
    <w:rsid w:val="0018269A"/>
    <w:rsid w:val="001826B2"/>
    <w:rsid w:val="001826DD"/>
    <w:rsid w:val="00182758"/>
    <w:rsid w:val="00182818"/>
    <w:rsid w:val="0018289A"/>
    <w:rsid w:val="001828EF"/>
    <w:rsid w:val="00182F84"/>
    <w:rsid w:val="001830FA"/>
    <w:rsid w:val="00183361"/>
    <w:rsid w:val="00183577"/>
    <w:rsid w:val="001836AA"/>
    <w:rsid w:val="00183EA6"/>
    <w:rsid w:val="001840BB"/>
    <w:rsid w:val="00184239"/>
    <w:rsid w:val="001844A4"/>
    <w:rsid w:val="001845F1"/>
    <w:rsid w:val="00184637"/>
    <w:rsid w:val="0018478F"/>
    <w:rsid w:val="00184CCB"/>
    <w:rsid w:val="00184CF2"/>
    <w:rsid w:val="00184F3B"/>
    <w:rsid w:val="00184F70"/>
    <w:rsid w:val="00184FA5"/>
    <w:rsid w:val="0018512B"/>
    <w:rsid w:val="00185189"/>
    <w:rsid w:val="0018526E"/>
    <w:rsid w:val="0018531C"/>
    <w:rsid w:val="0018539F"/>
    <w:rsid w:val="001853B8"/>
    <w:rsid w:val="001855CD"/>
    <w:rsid w:val="001855F2"/>
    <w:rsid w:val="001859E1"/>
    <w:rsid w:val="00185B01"/>
    <w:rsid w:val="00185B4B"/>
    <w:rsid w:val="00185CC0"/>
    <w:rsid w:val="001861A0"/>
    <w:rsid w:val="00186235"/>
    <w:rsid w:val="0018672B"/>
    <w:rsid w:val="00186BA0"/>
    <w:rsid w:val="00186F42"/>
    <w:rsid w:val="00186F73"/>
    <w:rsid w:val="001870E9"/>
    <w:rsid w:val="001871AE"/>
    <w:rsid w:val="001873B4"/>
    <w:rsid w:val="001873D0"/>
    <w:rsid w:val="0018756F"/>
    <w:rsid w:val="00187588"/>
    <w:rsid w:val="00187679"/>
    <w:rsid w:val="001877C6"/>
    <w:rsid w:val="00187B4E"/>
    <w:rsid w:val="00187C2D"/>
    <w:rsid w:val="00187CE0"/>
    <w:rsid w:val="00187DF1"/>
    <w:rsid w:val="00187F91"/>
    <w:rsid w:val="00190097"/>
    <w:rsid w:val="00190280"/>
    <w:rsid w:val="0019046F"/>
    <w:rsid w:val="00190597"/>
    <w:rsid w:val="00190861"/>
    <w:rsid w:val="00190A88"/>
    <w:rsid w:val="00190A97"/>
    <w:rsid w:val="00190AEA"/>
    <w:rsid w:val="00190C27"/>
    <w:rsid w:val="0019108A"/>
    <w:rsid w:val="001911EA"/>
    <w:rsid w:val="001913CB"/>
    <w:rsid w:val="0019154D"/>
    <w:rsid w:val="0019155C"/>
    <w:rsid w:val="00191A32"/>
    <w:rsid w:val="0019217E"/>
    <w:rsid w:val="001921EE"/>
    <w:rsid w:val="001921F8"/>
    <w:rsid w:val="001922C2"/>
    <w:rsid w:val="00192416"/>
    <w:rsid w:val="00192537"/>
    <w:rsid w:val="00192548"/>
    <w:rsid w:val="001926A8"/>
    <w:rsid w:val="001926D0"/>
    <w:rsid w:val="00192D01"/>
    <w:rsid w:val="00192E39"/>
    <w:rsid w:val="00192FA0"/>
    <w:rsid w:val="0019304E"/>
    <w:rsid w:val="00193389"/>
    <w:rsid w:val="001933A9"/>
    <w:rsid w:val="00193598"/>
    <w:rsid w:val="0019363E"/>
    <w:rsid w:val="00193A3A"/>
    <w:rsid w:val="00193D01"/>
    <w:rsid w:val="00193EC4"/>
    <w:rsid w:val="00193EDD"/>
    <w:rsid w:val="00193F43"/>
    <w:rsid w:val="001940CD"/>
    <w:rsid w:val="001940E3"/>
    <w:rsid w:val="00194400"/>
    <w:rsid w:val="00194472"/>
    <w:rsid w:val="001946F3"/>
    <w:rsid w:val="001948A4"/>
    <w:rsid w:val="001948C1"/>
    <w:rsid w:val="001949DB"/>
    <w:rsid w:val="00194ABE"/>
    <w:rsid w:val="00194ACA"/>
    <w:rsid w:val="00194C7C"/>
    <w:rsid w:val="00194E1E"/>
    <w:rsid w:val="00194E38"/>
    <w:rsid w:val="00194FF5"/>
    <w:rsid w:val="001951B2"/>
    <w:rsid w:val="00195791"/>
    <w:rsid w:val="00195C5C"/>
    <w:rsid w:val="00195D71"/>
    <w:rsid w:val="00195EF0"/>
    <w:rsid w:val="00195FB5"/>
    <w:rsid w:val="0019612E"/>
    <w:rsid w:val="00196184"/>
    <w:rsid w:val="0019619C"/>
    <w:rsid w:val="00196202"/>
    <w:rsid w:val="001965A8"/>
    <w:rsid w:val="00196725"/>
    <w:rsid w:val="001967ED"/>
    <w:rsid w:val="00196807"/>
    <w:rsid w:val="0019697F"/>
    <w:rsid w:val="00196B1E"/>
    <w:rsid w:val="00196E35"/>
    <w:rsid w:val="00196E77"/>
    <w:rsid w:val="001971DF"/>
    <w:rsid w:val="00197291"/>
    <w:rsid w:val="0019751A"/>
    <w:rsid w:val="00197692"/>
    <w:rsid w:val="001977A0"/>
    <w:rsid w:val="00197821"/>
    <w:rsid w:val="0019784A"/>
    <w:rsid w:val="001978D0"/>
    <w:rsid w:val="00197A3A"/>
    <w:rsid w:val="00197ABE"/>
    <w:rsid w:val="00197CAF"/>
    <w:rsid w:val="00197FBB"/>
    <w:rsid w:val="001A0037"/>
    <w:rsid w:val="001A00CA"/>
    <w:rsid w:val="001A03F4"/>
    <w:rsid w:val="001A04D2"/>
    <w:rsid w:val="001A074F"/>
    <w:rsid w:val="001A08F2"/>
    <w:rsid w:val="001A0D2A"/>
    <w:rsid w:val="001A0ED6"/>
    <w:rsid w:val="001A0FCF"/>
    <w:rsid w:val="001A1693"/>
    <w:rsid w:val="001A19A3"/>
    <w:rsid w:val="001A1AFD"/>
    <w:rsid w:val="001A1B13"/>
    <w:rsid w:val="001A1BAB"/>
    <w:rsid w:val="001A1D06"/>
    <w:rsid w:val="001A1DBD"/>
    <w:rsid w:val="001A1DE3"/>
    <w:rsid w:val="001A1E09"/>
    <w:rsid w:val="001A1FD5"/>
    <w:rsid w:val="001A215C"/>
    <w:rsid w:val="001A2173"/>
    <w:rsid w:val="001A2334"/>
    <w:rsid w:val="001A2424"/>
    <w:rsid w:val="001A2471"/>
    <w:rsid w:val="001A25A7"/>
    <w:rsid w:val="001A26C4"/>
    <w:rsid w:val="001A28F9"/>
    <w:rsid w:val="001A2A49"/>
    <w:rsid w:val="001A2B34"/>
    <w:rsid w:val="001A2D5E"/>
    <w:rsid w:val="001A2E03"/>
    <w:rsid w:val="001A308A"/>
    <w:rsid w:val="001A31EC"/>
    <w:rsid w:val="001A329B"/>
    <w:rsid w:val="001A32EC"/>
    <w:rsid w:val="001A3309"/>
    <w:rsid w:val="001A348C"/>
    <w:rsid w:val="001A34BC"/>
    <w:rsid w:val="001A39D0"/>
    <w:rsid w:val="001A3A0E"/>
    <w:rsid w:val="001A3B78"/>
    <w:rsid w:val="001A3C24"/>
    <w:rsid w:val="001A3C60"/>
    <w:rsid w:val="001A3D8B"/>
    <w:rsid w:val="001A3E2E"/>
    <w:rsid w:val="001A3EFD"/>
    <w:rsid w:val="001A4108"/>
    <w:rsid w:val="001A415A"/>
    <w:rsid w:val="001A433F"/>
    <w:rsid w:val="001A43FF"/>
    <w:rsid w:val="001A4546"/>
    <w:rsid w:val="001A4622"/>
    <w:rsid w:val="001A479B"/>
    <w:rsid w:val="001A486B"/>
    <w:rsid w:val="001A48A6"/>
    <w:rsid w:val="001A4BB1"/>
    <w:rsid w:val="001A4E79"/>
    <w:rsid w:val="001A514E"/>
    <w:rsid w:val="001A5198"/>
    <w:rsid w:val="001A5275"/>
    <w:rsid w:val="001A52DE"/>
    <w:rsid w:val="001A55E4"/>
    <w:rsid w:val="001A570B"/>
    <w:rsid w:val="001A5837"/>
    <w:rsid w:val="001A5956"/>
    <w:rsid w:val="001A5A1B"/>
    <w:rsid w:val="001A5A23"/>
    <w:rsid w:val="001A5A36"/>
    <w:rsid w:val="001A5A5E"/>
    <w:rsid w:val="001A5CAC"/>
    <w:rsid w:val="001A6145"/>
    <w:rsid w:val="001A63FB"/>
    <w:rsid w:val="001A6459"/>
    <w:rsid w:val="001A6AA2"/>
    <w:rsid w:val="001A6AC9"/>
    <w:rsid w:val="001A6B41"/>
    <w:rsid w:val="001A6FA7"/>
    <w:rsid w:val="001A7115"/>
    <w:rsid w:val="001A7597"/>
    <w:rsid w:val="001A7689"/>
    <w:rsid w:val="001A77D9"/>
    <w:rsid w:val="001A7848"/>
    <w:rsid w:val="001B015E"/>
    <w:rsid w:val="001B0236"/>
    <w:rsid w:val="001B0301"/>
    <w:rsid w:val="001B030C"/>
    <w:rsid w:val="001B03B3"/>
    <w:rsid w:val="001B04FE"/>
    <w:rsid w:val="001B065A"/>
    <w:rsid w:val="001B0856"/>
    <w:rsid w:val="001B0ACE"/>
    <w:rsid w:val="001B0E99"/>
    <w:rsid w:val="001B11AF"/>
    <w:rsid w:val="001B1481"/>
    <w:rsid w:val="001B16AA"/>
    <w:rsid w:val="001B2051"/>
    <w:rsid w:val="001B2139"/>
    <w:rsid w:val="001B21A9"/>
    <w:rsid w:val="001B21F4"/>
    <w:rsid w:val="001B2352"/>
    <w:rsid w:val="001B24C3"/>
    <w:rsid w:val="001B26CA"/>
    <w:rsid w:val="001B2916"/>
    <w:rsid w:val="001B2A4F"/>
    <w:rsid w:val="001B2A64"/>
    <w:rsid w:val="001B2C35"/>
    <w:rsid w:val="001B2E94"/>
    <w:rsid w:val="001B3297"/>
    <w:rsid w:val="001B35B6"/>
    <w:rsid w:val="001B36EA"/>
    <w:rsid w:val="001B3ADF"/>
    <w:rsid w:val="001B42FF"/>
    <w:rsid w:val="001B4380"/>
    <w:rsid w:val="001B43AB"/>
    <w:rsid w:val="001B47B1"/>
    <w:rsid w:val="001B4CB2"/>
    <w:rsid w:val="001B4D0B"/>
    <w:rsid w:val="001B4D0D"/>
    <w:rsid w:val="001B4D26"/>
    <w:rsid w:val="001B4DF0"/>
    <w:rsid w:val="001B4E0E"/>
    <w:rsid w:val="001B4F1C"/>
    <w:rsid w:val="001B511D"/>
    <w:rsid w:val="001B5121"/>
    <w:rsid w:val="001B517A"/>
    <w:rsid w:val="001B533E"/>
    <w:rsid w:val="001B5345"/>
    <w:rsid w:val="001B53D8"/>
    <w:rsid w:val="001B5453"/>
    <w:rsid w:val="001B5464"/>
    <w:rsid w:val="001B5887"/>
    <w:rsid w:val="001B5B59"/>
    <w:rsid w:val="001B5D48"/>
    <w:rsid w:val="001B5FF4"/>
    <w:rsid w:val="001B6061"/>
    <w:rsid w:val="001B60DD"/>
    <w:rsid w:val="001B6161"/>
    <w:rsid w:val="001B659E"/>
    <w:rsid w:val="001B68EA"/>
    <w:rsid w:val="001B6C72"/>
    <w:rsid w:val="001B6DAB"/>
    <w:rsid w:val="001B6FF0"/>
    <w:rsid w:val="001B7104"/>
    <w:rsid w:val="001B71C6"/>
    <w:rsid w:val="001B742D"/>
    <w:rsid w:val="001B7A58"/>
    <w:rsid w:val="001B7BAA"/>
    <w:rsid w:val="001B7D64"/>
    <w:rsid w:val="001B7E31"/>
    <w:rsid w:val="001C002C"/>
    <w:rsid w:val="001C041E"/>
    <w:rsid w:val="001C067C"/>
    <w:rsid w:val="001C07B3"/>
    <w:rsid w:val="001C0CCC"/>
    <w:rsid w:val="001C0CD4"/>
    <w:rsid w:val="001C0D29"/>
    <w:rsid w:val="001C0E52"/>
    <w:rsid w:val="001C1181"/>
    <w:rsid w:val="001C1232"/>
    <w:rsid w:val="001C1298"/>
    <w:rsid w:val="001C12EA"/>
    <w:rsid w:val="001C152A"/>
    <w:rsid w:val="001C167D"/>
    <w:rsid w:val="001C1904"/>
    <w:rsid w:val="001C1A8A"/>
    <w:rsid w:val="001C1B45"/>
    <w:rsid w:val="001C1FD8"/>
    <w:rsid w:val="001C2111"/>
    <w:rsid w:val="001C23A7"/>
    <w:rsid w:val="001C2673"/>
    <w:rsid w:val="001C26EC"/>
    <w:rsid w:val="001C27CA"/>
    <w:rsid w:val="001C285B"/>
    <w:rsid w:val="001C292C"/>
    <w:rsid w:val="001C30BF"/>
    <w:rsid w:val="001C3241"/>
    <w:rsid w:val="001C337F"/>
    <w:rsid w:val="001C3495"/>
    <w:rsid w:val="001C34D5"/>
    <w:rsid w:val="001C3E44"/>
    <w:rsid w:val="001C4324"/>
    <w:rsid w:val="001C46F1"/>
    <w:rsid w:val="001C4956"/>
    <w:rsid w:val="001C4A57"/>
    <w:rsid w:val="001C4AE9"/>
    <w:rsid w:val="001C4BBE"/>
    <w:rsid w:val="001C4CB3"/>
    <w:rsid w:val="001C4DBF"/>
    <w:rsid w:val="001C4EB6"/>
    <w:rsid w:val="001C4FDF"/>
    <w:rsid w:val="001C5433"/>
    <w:rsid w:val="001C5546"/>
    <w:rsid w:val="001C5638"/>
    <w:rsid w:val="001C5749"/>
    <w:rsid w:val="001C5759"/>
    <w:rsid w:val="001C5A6C"/>
    <w:rsid w:val="001C5B31"/>
    <w:rsid w:val="001C5C60"/>
    <w:rsid w:val="001C5DAA"/>
    <w:rsid w:val="001C5DB9"/>
    <w:rsid w:val="001C6201"/>
    <w:rsid w:val="001C644F"/>
    <w:rsid w:val="001C65A7"/>
    <w:rsid w:val="001C6849"/>
    <w:rsid w:val="001C6932"/>
    <w:rsid w:val="001C696D"/>
    <w:rsid w:val="001C6997"/>
    <w:rsid w:val="001C69D8"/>
    <w:rsid w:val="001C6A96"/>
    <w:rsid w:val="001C6AD6"/>
    <w:rsid w:val="001C6C5B"/>
    <w:rsid w:val="001C6D5E"/>
    <w:rsid w:val="001C7013"/>
    <w:rsid w:val="001C70CC"/>
    <w:rsid w:val="001C7260"/>
    <w:rsid w:val="001C72F5"/>
    <w:rsid w:val="001C7367"/>
    <w:rsid w:val="001C7422"/>
    <w:rsid w:val="001C7456"/>
    <w:rsid w:val="001C79FB"/>
    <w:rsid w:val="001C7C80"/>
    <w:rsid w:val="001C7EA1"/>
    <w:rsid w:val="001C7EA9"/>
    <w:rsid w:val="001D006D"/>
    <w:rsid w:val="001D0105"/>
    <w:rsid w:val="001D0115"/>
    <w:rsid w:val="001D0402"/>
    <w:rsid w:val="001D0404"/>
    <w:rsid w:val="001D046A"/>
    <w:rsid w:val="001D0720"/>
    <w:rsid w:val="001D074B"/>
    <w:rsid w:val="001D0794"/>
    <w:rsid w:val="001D0CA2"/>
    <w:rsid w:val="001D0D71"/>
    <w:rsid w:val="001D0EDB"/>
    <w:rsid w:val="001D0F59"/>
    <w:rsid w:val="001D1190"/>
    <w:rsid w:val="001D1191"/>
    <w:rsid w:val="001D15FB"/>
    <w:rsid w:val="001D191D"/>
    <w:rsid w:val="001D1A33"/>
    <w:rsid w:val="001D1BFE"/>
    <w:rsid w:val="001D1CCC"/>
    <w:rsid w:val="001D2792"/>
    <w:rsid w:val="001D2871"/>
    <w:rsid w:val="001D29ED"/>
    <w:rsid w:val="001D2B57"/>
    <w:rsid w:val="001D2E3D"/>
    <w:rsid w:val="001D2EED"/>
    <w:rsid w:val="001D2F42"/>
    <w:rsid w:val="001D2F9E"/>
    <w:rsid w:val="001D33CC"/>
    <w:rsid w:val="001D367F"/>
    <w:rsid w:val="001D370E"/>
    <w:rsid w:val="001D3878"/>
    <w:rsid w:val="001D3993"/>
    <w:rsid w:val="001D39F5"/>
    <w:rsid w:val="001D3C41"/>
    <w:rsid w:val="001D3C5C"/>
    <w:rsid w:val="001D3E88"/>
    <w:rsid w:val="001D4335"/>
    <w:rsid w:val="001D463E"/>
    <w:rsid w:val="001D46CA"/>
    <w:rsid w:val="001D486C"/>
    <w:rsid w:val="001D48BB"/>
    <w:rsid w:val="001D495E"/>
    <w:rsid w:val="001D514D"/>
    <w:rsid w:val="001D540E"/>
    <w:rsid w:val="001D56E9"/>
    <w:rsid w:val="001D58F2"/>
    <w:rsid w:val="001D5902"/>
    <w:rsid w:val="001D5B3C"/>
    <w:rsid w:val="001D5F94"/>
    <w:rsid w:val="001D6335"/>
    <w:rsid w:val="001D6482"/>
    <w:rsid w:val="001D6489"/>
    <w:rsid w:val="001D657F"/>
    <w:rsid w:val="001D6607"/>
    <w:rsid w:val="001D668D"/>
    <w:rsid w:val="001D671A"/>
    <w:rsid w:val="001D6862"/>
    <w:rsid w:val="001D6ACD"/>
    <w:rsid w:val="001D6B64"/>
    <w:rsid w:val="001D6C5A"/>
    <w:rsid w:val="001D6D8F"/>
    <w:rsid w:val="001D6EA3"/>
    <w:rsid w:val="001D6EBB"/>
    <w:rsid w:val="001D6FD2"/>
    <w:rsid w:val="001D7048"/>
    <w:rsid w:val="001D71A2"/>
    <w:rsid w:val="001D74DA"/>
    <w:rsid w:val="001D7792"/>
    <w:rsid w:val="001D7810"/>
    <w:rsid w:val="001D79A5"/>
    <w:rsid w:val="001D79BE"/>
    <w:rsid w:val="001D7D4C"/>
    <w:rsid w:val="001D7E29"/>
    <w:rsid w:val="001D7FBA"/>
    <w:rsid w:val="001E028B"/>
    <w:rsid w:val="001E0363"/>
    <w:rsid w:val="001E0944"/>
    <w:rsid w:val="001E11F2"/>
    <w:rsid w:val="001E1400"/>
    <w:rsid w:val="001E15F2"/>
    <w:rsid w:val="001E1685"/>
    <w:rsid w:val="001E182D"/>
    <w:rsid w:val="001E19CA"/>
    <w:rsid w:val="001E1A11"/>
    <w:rsid w:val="001E1A16"/>
    <w:rsid w:val="001E1A9C"/>
    <w:rsid w:val="001E1D42"/>
    <w:rsid w:val="001E1E2A"/>
    <w:rsid w:val="001E1F6E"/>
    <w:rsid w:val="001E248F"/>
    <w:rsid w:val="001E293D"/>
    <w:rsid w:val="001E2E6D"/>
    <w:rsid w:val="001E3088"/>
    <w:rsid w:val="001E3283"/>
    <w:rsid w:val="001E33D7"/>
    <w:rsid w:val="001E37CB"/>
    <w:rsid w:val="001E39DA"/>
    <w:rsid w:val="001E3A3F"/>
    <w:rsid w:val="001E3B3E"/>
    <w:rsid w:val="001E3DA8"/>
    <w:rsid w:val="001E3F7C"/>
    <w:rsid w:val="001E4010"/>
    <w:rsid w:val="001E40B2"/>
    <w:rsid w:val="001E4256"/>
    <w:rsid w:val="001E433D"/>
    <w:rsid w:val="001E435A"/>
    <w:rsid w:val="001E43D3"/>
    <w:rsid w:val="001E461C"/>
    <w:rsid w:val="001E4784"/>
    <w:rsid w:val="001E4A34"/>
    <w:rsid w:val="001E4BC0"/>
    <w:rsid w:val="001E4C99"/>
    <w:rsid w:val="001E50D9"/>
    <w:rsid w:val="001E5576"/>
    <w:rsid w:val="001E56FE"/>
    <w:rsid w:val="001E59AE"/>
    <w:rsid w:val="001E5A3E"/>
    <w:rsid w:val="001E5E03"/>
    <w:rsid w:val="001E600F"/>
    <w:rsid w:val="001E6659"/>
    <w:rsid w:val="001E6668"/>
    <w:rsid w:val="001E66B7"/>
    <w:rsid w:val="001E6799"/>
    <w:rsid w:val="001E6ADB"/>
    <w:rsid w:val="001E6AEA"/>
    <w:rsid w:val="001E6B61"/>
    <w:rsid w:val="001E6DF3"/>
    <w:rsid w:val="001E6E49"/>
    <w:rsid w:val="001E6E88"/>
    <w:rsid w:val="001E737D"/>
    <w:rsid w:val="001E74A7"/>
    <w:rsid w:val="001E794B"/>
    <w:rsid w:val="001E7A4E"/>
    <w:rsid w:val="001F0174"/>
    <w:rsid w:val="001F020D"/>
    <w:rsid w:val="001F031D"/>
    <w:rsid w:val="001F0598"/>
    <w:rsid w:val="001F06A9"/>
    <w:rsid w:val="001F08B3"/>
    <w:rsid w:val="001F0940"/>
    <w:rsid w:val="001F0AE2"/>
    <w:rsid w:val="001F0B0B"/>
    <w:rsid w:val="001F0CA9"/>
    <w:rsid w:val="001F0D9B"/>
    <w:rsid w:val="001F1073"/>
    <w:rsid w:val="001F1BBC"/>
    <w:rsid w:val="001F1BEF"/>
    <w:rsid w:val="001F1C41"/>
    <w:rsid w:val="001F1DCD"/>
    <w:rsid w:val="001F1FAB"/>
    <w:rsid w:val="001F2040"/>
    <w:rsid w:val="001F2141"/>
    <w:rsid w:val="001F2365"/>
    <w:rsid w:val="001F2523"/>
    <w:rsid w:val="001F25FE"/>
    <w:rsid w:val="001F2BCB"/>
    <w:rsid w:val="001F2D50"/>
    <w:rsid w:val="001F2EFC"/>
    <w:rsid w:val="001F31F1"/>
    <w:rsid w:val="001F33DF"/>
    <w:rsid w:val="001F35CB"/>
    <w:rsid w:val="001F3923"/>
    <w:rsid w:val="001F392C"/>
    <w:rsid w:val="001F397F"/>
    <w:rsid w:val="001F39B5"/>
    <w:rsid w:val="001F3C61"/>
    <w:rsid w:val="001F3DBE"/>
    <w:rsid w:val="001F3E95"/>
    <w:rsid w:val="001F4324"/>
    <w:rsid w:val="001F44D4"/>
    <w:rsid w:val="001F48E2"/>
    <w:rsid w:val="001F4B02"/>
    <w:rsid w:val="001F4B1D"/>
    <w:rsid w:val="001F4C55"/>
    <w:rsid w:val="001F5044"/>
    <w:rsid w:val="001F50D1"/>
    <w:rsid w:val="001F522D"/>
    <w:rsid w:val="001F52E5"/>
    <w:rsid w:val="001F5660"/>
    <w:rsid w:val="001F5934"/>
    <w:rsid w:val="001F5944"/>
    <w:rsid w:val="001F5A45"/>
    <w:rsid w:val="001F5B2B"/>
    <w:rsid w:val="001F5B2E"/>
    <w:rsid w:val="001F5B95"/>
    <w:rsid w:val="001F5C17"/>
    <w:rsid w:val="001F5DA7"/>
    <w:rsid w:val="001F5DBC"/>
    <w:rsid w:val="001F5E35"/>
    <w:rsid w:val="001F605C"/>
    <w:rsid w:val="001F6197"/>
    <w:rsid w:val="001F631E"/>
    <w:rsid w:val="001F6985"/>
    <w:rsid w:val="001F6992"/>
    <w:rsid w:val="001F69F5"/>
    <w:rsid w:val="001F6A45"/>
    <w:rsid w:val="001F6B5D"/>
    <w:rsid w:val="001F6C4B"/>
    <w:rsid w:val="001F7204"/>
    <w:rsid w:val="001F7297"/>
    <w:rsid w:val="001F7409"/>
    <w:rsid w:val="001F7507"/>
    <w:rsid w:val="001F7A8F"/>
    <w:rsid w:val="001F7AFD"/>
    <w:rsid w:val="001F7E94"/>
    <w:rsid w:val="00200219"/>
    <w:rsid w:val="00200387"/>
    <w:rsid w:val="00200522"/>
    <w:rsid w:val="0020067B"/>
    <w:rsid w:val="00200685"/>
    <w:rsid w:val="002007A8"/>
    <w:rsid w:val="00200823"/>
    <w:rsid w:val="002008B7"/>
    <w:rsid w:val="002008C6"/>
    <w:rsid w:val="00200ABC"/>
    <w:rsid w:val="00200C69"/>
    <w:rsid w:val="00200C77"/>
    <w:rsid w:val="00200FB0"/>
    <w:rsid w:val="00201088"/>
    <w:rsid w:val="002010C8"/>
    <w:rsid w:val="002011A0"/>
    <w:rsid w:val="00201213"/>
    <w:rsid w:val="0020121E"/>
    <w:rsid w:val="002015DA"/>
    <w:rsid w:val="00201937"/>
    <w:rsid w:val="00201CA3"/>
    <w:rsid w:val="00201D59"/>
    <w:rsid w:val="00202079"/>
    <w:rsid w:val="002020FA"/>
    <w:rsid w:val="002021A1"/>
    <w:rsid w:val="002021AC"/>
    <w:rsid w:val="00202757"/>
    <w:rsid w:val="00202881"/>
    <w:rsid w:val="00202AD4"/>
    <w:rsid w:val="00202BD9"/>
    <w:rsid w:val="00202C30"/>
    <w:rsid w:val="00202F0B"/>
    <w:rsid w:val="002033DD"/>
    <w:rsid w:val="002036CF"/>
    <w:rsid w:val="00203897"/>
    <w:rsid w:val="002039C9"/>
    <w:rsid w:val="00203C42"/>
    <w:rsid w:val="00203CBF"/>
    <w:rsid w:val="00203EC0"/>
    <w:rsid w:val="00203F39"/>
    <w:rsid w:val="00203F4B"/>
    <w:rsid w:val="00203F4D"/>
    <w:rsid w:val="00204163"/>
    <w:rsid w:val="00204296"/>
    <w:rsid w:val="002042F0"/>
    <w:rsid w:val="00204578"/>
    <w:rsid w:val="002046A5"/>
    <w:rsid w:val="00204831"/>
    <w:rsid w:val="00204B2A"/>
    <w:rsid w:val="00204C8D"/>
    <w:rsid w:val="002050F7"/>
    <w:rsid w:val="002052D9"/>
    <w:rsid w:val="002054AC"/>
    <w:rsid w:val="00205E03"/>
    <w:rsid w:val="00205E3C"/>
    <w:rsid w:val="00205E46"/>
    <w:rsid w:val="00205F7B"/>
    <w:rsid w:val="00205FDD"/>
    <w:rsid w:val="002060EC"/>
    <w:rsid w:val="002062B9"/>
    <w:rsid w:val="00206375"/>
    <w:rsid w:val="002064CA"/>
    <w:rsid w:val="0020660E"/>
    <w:rsid w:val="00206933"/>
    <w:rsid w:val="0020693D"/>
    <w:rsid w:val="00206BE3"/>
    <w:rsid w:val="00206CAE"/>
    <w:rsid w:val="00206DB1"/>
    <w:rsid w:val="00206E54"/>
    <w:rsid w:val="00206FC5"/>
    <w:rsid w:val="002070EF"/>
    <w:rsid w:val="00207148"/>
    <w:rsid w:val="002072EE"/>
    <w:rsid w:val="00207405"/>
    <w:rsid w:val="00207618"/>
    <w:rsid w:val="00207673"/>
    <w:rsid w:val="002078B5"/>
    <w:rsid w:val="00207984"/>
    <w:rsid w:val="00207DE8"/>
    <w:rsid w:val="0021025A"/>
    <w:rsid w:val="002104DB"/>
    <w:rsid w:val="00210849"/>
    <w:rsid w:val="00210B38"/>
    <w:rsid w:val="00210B77"/>
    <w:rsid w:val="0021123E"/>
    <w:rsid w:val="0021126A"/>
    <w:rsid w:val="00211446"/>
    <w:rsid w:val="00211506"/>
    <w:rsid w:val="00211743"/>
    <w:rsid w:val="00211870"/>
    <w:rsid w:val="00211A9B"/>
    <w:rsid w:val="00211AF8"/>
    <w:rsid w:val="00211E8A"/>
    <w:rsid w:val="00212185"/>
    <w:rsid w:val="002123BA"/>
    <w:rsid w:val="00212438"/>
    <w:rsid w:val="002128FD"/>
    <w:rsid w:val="00212BEE"/>
    <w:rsid w:val="00212C64"/>
    <w:rsid w:val="00212D63"/>
    <w:rsid w:val="00212D72"/>
    <w:rsid w:val="00212E04"/>
    <w:rsid w:val="00212F38"/>
    <w:rsid w:val="00213017"/>
    <w:rsid w:val="0021301C"/>
    <w:rsid w:val="00213255"/>
    <w:rsid w:val="00213325"/>
    <w:rsid w:val="002133DE"/>
    <w:rsid w:val="00213454"/>
    <w:rsid w:val="002135E7"/>
    <w:rsid w:val="002138F7"/>
    <w:rsid w:val="0021390E"/>
    <w:rsid w:val="00213AED"/>
    <w:rsid w:val="00213C3F"/>
    <w:rsid w:val="00213E7C"/>
    <w:rsid w:val="002141B5"/>
    <w:rsid w:val="00214934"/>
    <w:rsid w:val="00214A0A"/>
    <w:rsid w:val="00214AC5"/>
    <w:rsid w:val="00214B8C"/>
    <w:rsid w:val="00214FE8"/>
    <w:rsid w:val="0021509C"/>
    <w:rsid w:val="002150DF"/>
    <w:rsid w:val="00215233"/>
    <w:rsid w:val="00215471"/>
    <w:rsid w:val="002155EB"/>
    <w:rsid w:val="002156EE"/>
    <w:rsid w:val="002159B4"/>
    <w:rsid w:val="00215D1F"/>
    <w:rsid w:val="00215E15"/>
    <w:rsid w:val="00215FB3"/>
    <w:rsid w:val="00216196"/>
    <w:rsid w:val="00216510"/>
    <w:rsid w:val="0021675B"/>
    <w:rsid w:val="002168FB"/>
    <w:rsid w:val="002169C5"/>
    <w:rsid w:val="00216A3A"/>
    <w:rsid w:val="00216EB1"/>
    <w:rsid w:val="002170BA"/>
    <w:rsid w:val="0021717D"/>
    <w:rsid w:val="0021731E"/>
    <w:rsid w:val="002173AD"/>
    <w:rsid w:val="00217405"/>
    <w:rsid w:val="0021740B"/>
    <w:rsid w:val="002174FF"/>
    <w:rsid w:val="0021751B"/>
    <w:rsid w:val="002176EB"/>
    <w:rsid w:val="00217721"/>
    <w:rsid w:val="00217761"/>
    <w:rsid w:val="002177DD"/>
    <w:rsid w:val="00217911"/>
    <w:rsid w:val="0021792A"/>
    <w:rsid w:val="00217A4A"/>
    <w:rsid w:val="00217C53"/>
    <w:rsid w:val="00217EC8"/>
    <w:rsid w:val="00217EE1"/>
    <w:rsid w:val="00217F04"/>
    <w:rsid w:val="0022051F"/>
    <w:rsid w:val="0022094C"/>
    <w:rsid w:val="002209F1"/>
    <w:rsid w:val="00220A2E"/>
    <w:rsid w:val="00220AA1"/>
    <w:rsid w:val="00220E58"/>
    <w:rsid w:val="00220EC7"/>
    <w:rsid w:val="00220F4B"/>
    <w:rsid w:val="00221304"/>
    <w:rsid w:val="0022157E"/>
    <w:rsid w:val="002215A2"/>
    <w:rsid w:val="002216CF"/>
    <w:rsid w:val="0022176C"/>
    <w:rsid w:val="002217C3"/>
    <w:rsid w:val="00221964"/>
    <w:rsid w:val="002219CF"/>
    <w:rsid w:val="00221D9E"/>
    <w:rsid w:val="00221E26"/>
    <w:rsid w:val="0022200E"/>
    <w:rsid w:val="00222041"/>
    <w:rsid w:val="002222B5"/>
    <w:rsid w:val="00222328"/>
    <w:rsid w:val="002224A0"/>
    <w:rsid w:val="0022250C"/>
    <w:rsid w:val="00222820"/>
    <w:rsid w:val="002229A7"/>
    <w:rsid w:val="00222D46"/>
    <w:rsid w:val="00222D71"/>
    <w:rsid w:val="00223250"/>
    <w:rsid w:val="00223336"/>
    <w:rsid w:val="002233D8"/>
    <w:rsid w:val="002234C6"/>
    <w:rsid w:val="0022355C"/>
    <w:rsid w:val="002236F6"/>
    <w:rsid w:val="00223904"/>
    <w:rsid w:val="00223A05"/>
    <w:rsid w:val="00223AEB"/>
    <w:rsid w:val="00223B7B"/>
    <w:rsid w:val="00223BD2"/>
    <w:rsid w:val="00223D1C"/>
    <w:rsid w:val="002241A8"/>
    <w:rsid w:val="002241F0"/>
    <w:rsid w:val="002242C0"/>
    <w:rsid w:val="00224300"/>
    <w:rsid w:val="00224332"/>
    <w:rsid w:val="0022448B"/>
    <w:rsid w:val="00224537"/>
    <w:rsid w:val="0022458A"/>
    <w:rsid w:val="002245AC"/>
    <w:rsid w:val="002245FE"/>
    <w:rsid w:val="00224753"/>
    <w:rsid w:val="00224776"/>
    <w:rsid w:val="00224868"/>
    <w:rsid w:val="002248B1"/>
    <w:rsid w:val="00224907"/>
    <w:rsid w:val="00224B7D"/>
    <w:rsid w:val="00224E2E"/>
    <w:rsid w:val="0022515A"/>
    <w:rsid w:val="002252B8"/>
    <w:rsid w:val="0022559E"/>
    <w:rsid w:val="002257B5"/>
    <w:rsid w:val="00225893"/>
    <w:rsid w:val="002258D7"/>
    <w:rsid w:val="00225929"/>
    <w:rsid w:val="00225AA9"/>
    <w:rsid w:val="00225AD3"/>
    <w:rsid w:val="00225B5C"/>
    <w:rsid w:val="00225BB6"/>
    <w:rsid w:val="00225C70"/>
    <w:rsid w:val="00225E1B"/>
    <w:rsid w:val="00225F23"/>
    <w:rsid w:val="00225FD8"/>
    <w:rsid w:val="00226077"/>
    <w:rsid w:val="002263F8"/>
    <w:rsid w:val="00226444"/>
    <w:rsid w:val="00226900"/>
    <w:rsid w:val="00226CDF"/>
    <w:rsid w:val="00226D20"/>
    <w:rsid w:val="00226DDC"/>
    <w:rsid w:val="00226DED"/>
    <w:rsid w:val="00226E7D"/>
    <w:rsid w:val="00226F3A"/>
    <w:rsid w:val="002273AF"/>
    <w:rsid w:val="002277BD"/>
    <w:rsid w:val="002279F1"/>
    <w:rsid w:val="00227A4B"/>
    <w:rsid w:val="00227A7E"/>
    <w:rsid w:val="00227AE9"/>
    <w:rsid w:val="00227E96"/>
    <w:rsid w:val="00227EC5"/>
    <w:rsid w:val="002300B9"/>
    <w:rsid w:val="0023047A"/>
    <w:rsid w:val="0023047E"/>
    <w:rsid w:val="0023051D"/>
    <w:rsid w:val="00230580"/>
    <w:rsid w:val="0023058F"/>
    <w:rsid w:val="00230650"/>
    <w:rsid w:val="002308AC"/>
    <w:rsid w:val="00230A3E"/>
    <w:rsid w:val="00230ABB"/>
    <w:rsid w:val="00230AD0"/>
    <w:rsid w:val="00230CCF"/>
    <w:rsid w:val="00230F20"/>
    <w:rsid w:val="00230F58"/>
    <w:rsid w:val="00231080"/>
    <w:rsid w:val="00231347"/>
    <w:rsid w:val="002313DB"/>
    <w:rsid w:val="002314D2"/>
    <w:rsid w:val="002315D0"/>
    <w:rsid w:val="002315E1"/>
    <w:rsid w:val="00231810"/>
    <w:rsid w:val="002318E6"/>
    <w:rsid w:val="00231966"/>
    <w:rsid w:val="00231A71"/>
    <w:rsid w:val="00231A82"/>
    <w:rsid w:val="00231AD6"/>
    <w:rsid w:val="00231BF0"/>
    <w:rsid w:val="00231DBB"/>
    <w:rsid w:val="00231E9D"/>
    <w:rsid w:val="00232023"/>
    <w:rsid w:val="00232038"/>
    <w:rsid w:val="00232335"/>
    <w:rsid w:val="0023235A"/>
    <w:rsid w:val="00232439"/>
    <w:rsid w:val="0023244B"/>
    <w:rsid w:val="002325F2"/>
    <w:rsid w:val="002326AA"/>
    <w:rsid w:val="0023280D"/>
    <w:rsid w:val="00232DB6"/>
    <w:rsid w:val="00232E75"/>
    <w:rsid w:val="00232FE0"/>
    <w:rsid w:val="002330A3"/>
    <w:rsid w:val="002336EF"/>
    <w:rsid w:val="00233820"/>
    <w:rsid w:val="00233AE7"/>
    <w:rsid w:val="00233C2A"/>
    <w:rsid w:val="00233FA1"/>
    <w:rsid w:val="002340F0"/>
    <w:rsid w:val="0023424E"/>
    <w:rsid w:val="0023457C"/>
    <w:rsid w:val="002346C2"/>
    <w:rsid w:val="00234763"/>
    <w:rsid w:val="002349F2"/>
    <w:rsid w:val="00234B23"/>
    <w:rsid w:val="00234D1C"/>
    <w:rsid w:val="00234E2F"/>
    <w:rsid w:val="002351A8"/>
    <w:rsid w:val="002352E7"/>
    <w:rsid w:val="002353C0"/>
    <w:rsid w:val="002355FF"/>
    <w:rsid w:val="0023572A"/>
    <w:rsid w:val="00235755"/>
    <w:rsid w:val="00235762"/>
    <w:rsid w:val="002357C6"/>
    <w:rsid w:val="002358FE"/>
    <w:rsid w:val="00235963"/>
    <w:rsid w:val="00235ABE"/>
    <w:rsid w:val="00235C5A"/>
    <w:rsid w:val="00235F49"/>
    <w:rsid w:val="002360AA"/>
    <w:rsid w:val="00236224"/>
    <w:rsid w:val="002363C1"/>
    <w:rsid w:val="00236424"/>
    <w:rsid w:val="002365FE"/>
    <w:rsid w:val="0023668C"/>
    <w:rsid w:val="002366BF"/>
    <w:rsid w:val="00236A32"/>
    <w:rsid w:val="00236B3E"/>
    <w:rsid w:val="00236C7C"/>
    <w:rsid w:val="00236C95"/>
    <w:rsid w:val="00236D90"/>
    <w:rsid w:val="00236E5F"/>
    <w:rsid w:val="00236F6F"/>
    <w:rsid w:val="002371C2"/>
    <w:rsid w:val="00237272"/>
    <w:rsid w:val="002374C3"/>
    <w:rsid w:val="00237579"/>
    <w:rsid w:val="0023766D"/>
    <w:rsid w:val="002379DE"/>
    <w:rsid w:val="00237A38"/>
    <w:rsid w:val="00237E51"/>
    <w:rsid w:val="00237FE5"/>
    <w:rsid w:val="002407DF"/>
    <w:rsid w:val="0024089C"/>
    <w:rsid w:val="002408B6"/>
    <w:rsid w:val="00240FDC"/>
    <w:rsid w:val="002410E9"/>
    <w:rsid w:val="002416D5"/>
    <w:rsid w:val="0024186D"/>
    <w:rsid w:val="00241965"/>
    <w:rsid w:val="00241A6B"/>
    <w:rsid w:val="00241AFE"/>
    <w:rsid w:val="00241B3D"/>
    <w:rsid w:val="00241B68"/>
    <w:rsid w:val="00241D18"/>
    <w:rsid w:val="00241E62"/>
    <w:rsid w:val="00241EAE"/>
    <w:rsid w:val="00241F98"/>
    <w:rsid w:val="0024219B"/>
    <w:rsid w:val="002421AF"/>
    <w:rsid w:val="002423FB"/>
    <w:rsid w:val="0024251C"/>
    <w:rsid w:val="0024256E"/>
    <w:rsid w:val="0024270C"/>
    <w:rsid w:val="002429A3"/>
    <w:rsid w:val="00242A11"/>
    <w:rsid w:val="00242A69"/>
    <w:rsid w:val="00242BDB"/>
    <w:rsid w:val="00242E35"/>
    <w:rsid w:val="002430D4"/>
    <w:rsid w:val="002431F9"/>
    <w:rsid w:val="00243657"/>
    <w:rsid w:val="00243909"/>
    <w:rsid w:val="0024398D"/>
    <w:rsid w:val="002439AA"/>
    <w:rsid w:val="00243BBC"/>
    <w:rsid w:val="00243CE3"/>
    <w:rsid w:val="00244553"/>
    <w:rsid w:val="002446AF"/>
    <w:rsid w:val="002448A3"/>
    <w:rsid w:val="002448CD"/>
    <w:rsid w:val="00244BB8"/>
    <w:rsid w:val="00244C18"/>
    <w:rsid w:val="00244E8B"/>
    <w:rsid w:val="00245005"/>
    <w:rsid w:val="0024502C"/>
    <w:rsid w:val="00245106"/>
    <w:rsid w:val="0024525B"/>
    <w:rsid w:val="00245395"/>
    <w:rsid w:val="002453F5"/>
    <w:rsid w:val="002454D9"/>
    <w:rsid w:val="002455A4"/>
    <w:rsid w:val="0024594D"/>
    <w:rsid w:val="00245989"/>
    <w:rsid w:val="00245D52"/>
    <w:rsid w:val="00245F04"/>
    <w:rsid w:val="00245F36"/>
    <w:rsid w:val="00246238"/>
    <w:rsid w:val="0024626C"/>
    <w:rsid w:val="00246383"/>
    <w:rsid w:val="002465C1"/>
    <w:rsid w:val="00246831"/>
    <w:rsid w:val="00246AA5"/>
    <w:rsid w:val="00246D42"/>
    <w:rsid w:val="00246E20"/>
    <w:rsid w:val="002475B6"/>
    <w:rsid w:val="0024760D"/>
    <w:rsid w:val="00247BDF"/>
    <w:rsid w:val="00247C83"/>
    <w:rsid w:val="00247FC6"/>
    <w:rsid w:val="002503A1"/>
    <w:rsid w:val="002504F4"/>
    <w:rsid w:val="00250740"/>
    <w:rsid w:val="00250ED9"/>
    <w:rsid w:val="00250F51"/>
    <w:rsid w:val="00251076"/>
    <w:rsid w:val="00251081"/>
    <w:rsid w:val="002510BA"/>
    <w:rsid w:val="002512F6"/>
    <w:rsid w:val="0025130B"/>
    <w:rsid w:val="002513BE"/>
    <w:rsid w:val="002515B1"/>
    <w:rsid w:val="002515C8"/>
    <w:rsid w:val="0025176F"/>
    <w:rsid w:val="00251A45"/>
    <w:rsid w:val="00251A8A"/>
    <w:rsid w:val="00251AFB"/>
    <w:rsid w:val="00251D32"/>
    <w:rsid w:val="0025215E"/>
    <w:rsid w:val="00252267"/>
    <w:rsid w:val="00252518"/>
    <w:rsid w:val="002525D7"/>
    <w:rsid w:val="002526CC"/>
    <w:rsid w:val="0025287E"/>
    <w:rsid w:val="00252FE6"/>
    <w:rsid w:val="00252FF2"/>
    <w:rsid w:val="00253174"/>
    <w:rsid w:val="0025317E"/>
    <w:rsid w:val="00253370"/>
    <w:rsid w:val="002536E0"/>
    <w:rsid w:val="00253730"/>
    <w:rsid w:val="00253F79"/>
    <w:rsid w:val="00254223"/>
    <w:rsid w:val="002543D2"/>
    <w:rsid w:val="0025456B"/>
    <w:rsid w:val="002546AA"/>
    <w:rsid w:val="00254EEF"/>
    <w:rsid w:val="0025525D"/>
    <w:rsid w:val="00255294"/>
    <w:rsid w:val="0025558D"/>
    <w:rsid w:val="0025593A"/>
    <w:rsid w:val="00255D63"/>
    <w:rsid w:val="00255FBD"/>
    <w:rsid w:val="00256353"/>
    <w:rsid w:val="002563DB"/>
    <w:rsid w:val="002563F5"/>
    <w:rsid w:val="00256410"/>
    <w:rsid w:val="00256C61"/>
    <w:rsid w:val="0025702E"/>
    <w:rsid w:val="00257197"/>
    <w:rsid w:val="002572E1"/>
    <w:rsid w:val="00257319"/>
    <w:rsid w:val="002573C5"/>
    <w:rsid w:val="002573F6"/>
    <w:rsid w:val="002574EE"/>
    <w:rsid w:val="00257673"/>
    <w:rsid w:val="002576CD"/>
    <w:rsid w:val="0025781A"/>
    <w:rsid w:val="0025793A"/>
    <w:rsid w:val="00257950"/>
    <w:rsid w:val="00257BFE"/>
    <w:rsid w:val="00257E0D"/>
    <w:rsid w:val="00257E71"/>
    <w:rsid w:val="0026001B"/>
    <w:rsid w:val="00260157"/>
    <w:rsid w:val="002605CF"/>
    <w:rsid w:val="002606C8"/>
    <w:rsid w:val="002607E6"/>
    <w:rsid w:val="00260A9A"/>
    <w:rsid w:val="00260AF1"/>
    <w:rsid w:val="00260BD4"/>
    <w:rsid w:val="00260C58"/>
    <w:rsid w:val="00260D7F"/>
    <w:rsid w:val="00260E6F"/>
    <w:rsid w:val="00260FE3"/>
    <w:rsid w:val="002616B6"/>
    <w:rsid w:val="002616D5"/>
    <w:rsid w:val="0026174C"/>
    <w:rsid w:val="00261BA3"/>
    <w:rsid w:val="00261BC6"/>
    <w:rsid w:val="00261CA2"/>
    <w:rsid w:val="00261CF7"/>
    <w:rsid w:val="00261F0A"/>
    <w:rsid w:val="002620E3"/>
    <w:rsid w:val="0026226B"/>
    <w:rsid w:val="00262530"/>
    <w:rsid w:val="00262580"/>
    <w:rsid w:val="002627B3"/>
    <w:rsid w:val="002627E9"/>
    <w:rsid w:val="00262854"/>
    <w:rsid w:val="00262A70"/>
    <w:rsid w:val="00262A7B"/>
    <w:rsid w:val="00262CB9"/>
    <w:rsid w:val="00262D03"/>
    <w:rsid w:val="00262D41"/>
    <w:rsid w:val="00262E6C"/>
    <w:rsid w:val="00262F74"/>
    <w:rsid w:val="002630F1"/>
    <w:rsid w:val="002631B8"/>
    <w:rsid w:val="00263299"/>
    <w:rsid w:val="0026334A"/>
    <w:rsid w:val="0026334C"/>
    <w:rsid w:val="00263366"/>
    <w:rsid w:val="00263370"/>
    <w:rsid w:val="0026338D"/>
    <w:rsid w:val="002633D2"/>
    <w:rsid w:val="0026378B"/>
    <w:rsid w:val="0026393B"/>
    <w:rsid w:val="00263CAB"/>
    <w:rsid w:val="00263E42"/>
    <w:rsid w:val="00263F5E"/>
    <w:rsid w:val="00263FE4"/>
    <w:rsid w:val="002641F9"/>
    <w:rsid w:val="002643A5"/>
    <w:rsid w:val="00264771"/>
    <w:rsid w:val="0026493A"/>
    <w:rsid w:val="00264955"/>
    <w:rsid w:val="002649B6"/>
    <w:rsid w:val="00264C13"/>
    <w:rsid w:val="00264C98"/>
    <w:rsid w:val="00264DB5"/>
    <w:rsid w:val="00264FFF"/>
    <w:rsid w:val="0026526F"/>
    <w:rsid w:val="00265439"/>
    <w:rsid w:val="002654CA"/>
    <w:rsid w:val="002655B4"/>
    <w:rsid w:val="002655D9"/>
    <w:rsid w:val="0026587D"/>
    <w:rsid w:val="00265891"/>
    <w:rsid w:val="00265E70"/>
    <w:rsid w:val="00266143"/>
    <w:rsid w:val="0026650B"/>
    <w:rsid w:val="0026660F"/>
    <w:rsid w:val="00266846"/>
    <w:rsid w:val="002669CF"/>
    <w:rsid w:val="00266AFB"/>
    <w:rsid w:val="00266B19"/>
    <w:rsid w:val="00266CB5"/>
    <w:rsid w:val="00266E5B"/>
    <w:rsid w:val="00267062"/>
    <w:rsid w:val="002670C4"/>
    <w:rsid w:val="002671D2"/>
    <w:rsid w:val="002674BA"/>
    <w:rsid w:val="00267746"/>
    <w:rsid w:val="00267982"/>
    <w:rsid w:val="00267C52"/>
    <w:rsid w:val="00267EA7"/>
    <w:rsid w:val="00267EB7"/>
    <w:rsid w:val="00267EFC"/>
    <w:rsid w:val="002701CF"/>
    <w:rsid w:val="00270280"/>
    <w:rsid w:val="0027029F"/>
    <w:rsid w:val="0027046B"/>
    <w:rsid w:val="002704C5"/>
    <w:rsid w:val="0027058D"/>
    <w:rsid w:val="002706D3"/>
    <w:rsid w:val="00270A4E"/>
    <w:rsid w:val="00270A9E"/>
    <w:rsid w:val="00270B50"/>
    <w:rsid w:val="00270B89"/>
    <w:rsid w:val="00270BE3"/>
    <w:rsid w:val="00270C7B"/>
    <w:rsid w:val="00270EA2"/>
    <w:rsid w:val="00270ED6"/>
    <w:rsid w:val="0027107D"/>
    <w:rsid w:val="0027109A"/>
    <w:rsid w:val="00271155"/>
    <w:rsid w:val="00271277"/>
    <w:rsid w:val="00271376"/>
    <w:rsid w:val="0027148A"/>
    <w:rsid w:val="002714A8"/>
    <w:rsid w:val="002714FD"/>
    <w:rsid w:val="00271694"/>
    <w:rsid w:val="002718BD"/>
    <w:rsid w:val="00271B59"/>
    <w:rsid w:val="00271C5C"/>
    <w:rsid w:val="00271E0E"/>
    <w:rsid w:val="00271F4B"/>
    <w:rsid w:val="002722AB"/>
    <w:rsid w:val="00272414"/>
    <w:rsid w:val="002728B0"/>
    <w:rsid w:val="002728EB"/>
    <w:rsid w:val="00272D27"/>
    <w:rsid w:val="00272F3B"/>
    <w:rsid w:val="00272FA7"/>
    <w:rsid w:val="002731DC"/>
    <w:rsid w:val="002732B8"/>
    <w:rsid w:val="00273398"/>
    <w:rsid w:val="002734A8"/>
    <w:rsid w:val="002735C4"/>
    <w:rsid w:val="00273649"/>
    <w:rsid w:val="0027366E"/>
    <w:rsid w:val="002736DC"/>
    <w:rsid w:val="002736E7"/>
    <w:rsid w:val="00273B42"/>
    <w:rsid w:val="00273C7D"/>
    <w:rsid w:val="00273DDE"/>
    <w:rsid w:val="002743A3"/>
    <w:rsid w:val="0027457F"/>
    <w:rsid w:val="002746E0"/>
    <w:rsid w:val="002749DF"/>
    <w:rsid w:val="00274AF0"/>
    <w:rsid w:val="0027516F"/>
    <w:rsid w:val="002751BF"/>
    <w:rsid w:val="0027537D"/>
    <w:rsid w:val="00275A17"/>
    <w:rsid w:val="00275C81"/>
    <w:rsid w:val="00275F0B"/>
    <w:rsid w:val="00275F35"/>
    <w:rsid w:val="00275FCC"/>
    <w:rsid w:val="00276516"/>
    <w:rsid w:val="00276538"/>
    <w:rsid w:val="002766FC"/>
    <w:rsid w:val="00276910"/>
    <w:rsid w:val="00276A9F"/>
    <w:rsid w:val="00276BB9"/>
    <w:rsid w:val="00276C3C"/>
    <w:rsid w:val="00276D88"/>
    <w:rsid w:val="00276EC2"/>
    <w:rsid w:val="00276EDE"/>
    <w:rsid w:val="00276FB1"/>
    <w:rsid w:val="00277001"/>
    <w:rsid w:val="002772D6"/>
    <w:rsid w:val="0027795B"/>
    <w:rsid w:val="00277A1A"/>
    <w:rsid w:val="00277AEF"/>
    <w:rsid w:val="00277B7B"/>
    <w:rsid w:val="00277BD7"/>
    <w:rsid w:val="00277C29"/>
    <w:rsid w:val="00277F14"/>
    <w:rsid w:val="002805F8"/>
    <w:rsid w:val="00280778"/>
    <w:rsid w:val="002808D3"/>
    <w:rsid w:val="00280942"/>
    <w:rsid w:val="002809F2"/>
    <w:rsid w:val="00280B8F"/>
    <w:rsid w:val="00280C5B"/>
    <w:rsid w:val="00280C92"/>
    <w:rsid w:val="00280E1D"/>
    <w:rsid w:val="00280FD4"/>
    <w:rsid w:val="002812C2"/>
    <w:rsid w:val="002812FA"/>
    <w:rsid w:val="002814CB"/>
    <w:rsid w:val="00281653"/>
    <w:rsid w:val="002816AC"/>
    <w:rsid w:val="00281BC7"/>
    <w:rsid w:val="00281E32"/>
    <w:rsid w:val="00281FC1"/>
    <w:rsid w:val="002820D6"/>
    <w:rsid w:val="002822A0"/>
    <w:rsid w:val="002823F7"/>
    <w:rsid w:val="00282513"/>
    <w:rsid w:val="00282580"/>
    <w:rsid w:val="002827BD"/>
    <w:rsid w:val="00282902"/>
    <w:rsid w:val="00282E8E"/>
    <w:rsid w:val="00282EC0"/>
    <w:rsid w:val="00282F9D"/>
    <w:rsid w:val="0028300D"/>
    <w:rsid w:val="002830BD"/>
    <w:rsid w:val="0028324A"/>
    <w:rsid w:val="002832BA"/>
    <w:rsid w:val="002833A2"/>
    <w:rsid w:val="00283421"/>
    <w:rsid w:val="00283690"/>
    <w:rsid w:val="002838A3"/>
    <w:rsid w:val="00283C12"/>
    <w:rsid w:val="00283DD4"/>
    <w:rsid w:val="00283E6C"/>
    <w:rsid w:val="00283E75"/>
    <w:rsid w:val="00283EFD"/>
    <w:rsid w:val="002842D7"/>
    <w:rsid w:val="0028453A"/>
    <w:rsid w:val="00284605"/>
    <w:rsid w:val="002846CF"/>
    <w:rsid w:val="00284716"/>
    <w:rsid w:val="00284807"/>
    <w:rsid w:val="00284813"/>
    <w:rsid w:val="0028486A"/>
    <w:rsid w:val="00284AAB"/>
    <w:rsid w:val="00284AFA"/>
    <w:rsid w:val="00284BE7"/>
    <w:rsid w:val="00284C6E"/>
    <w:rsid w:val="00284D68"/>
    <w:rsid w:val="002851CF"/>
    <w:rsid w:val="002852B8"/>
    <w:rsid w:val="002854A1"/>
    <w:rsid w:val="002855CB"/>
    <w:rsid w:val="0028576A"/>
    <w:rsid w:val="002857B3"/>
    <w:rsid w:val="002858CD"/>
    <w:rsid w:val="00285A82"/>
    <w:rsid w:val="00285A89"/>
    <w:rsid w:val="00285C3D"/>
    <w:rsid w:val="00285E01"/>
    <w:rsid w:val="00285E80"/>
    <w:rsid w:val="00285F4F"/>
    <w:rsid w:val="002860C7"/>
    <w:rsid w:val="0028611E"/>
    <w:rsid w:val="00286420"/>
    <w:rsid w:val="00286455"/>
    <w:rsid w:val="0028648B"/>
    <w:rsid w:val="002864E9"/>
    <w:rsid w:val="00286F6D"/>
    <w:rsid w:val="002870B2"/>
    <w:rsid w:val="002872AF"/>
    <w:rsid w:val="00287431"/>
    <w:rsid w:val="00287673"/>
    <w:rsid w:val="00287686"/>
    <w:rsid w:val="00287B68"/>
    <w:rsid w:val="00287CFB"/>
    <w:rsid w:val="00287E5B"/>
    <w:rsid w:val="00290006"/>
    <w:rsid w:val="00290232"/>
    <w:rsid w:val="0029025D"/>
    <w:rsid w:val="0029062E"/>
    <w:rsid w:val="00290BCD"/>
    <w:rsid w:val="00290DCF"/>
    <w:rsid w:val="00290F55"/>
    <w:rsid w:val="002910B9"/>
    <w:rsid w:val="00291250"/>
    <w:rsid w:val="00291260"/>
    <w:rsid w:val="002912C3"/>
    <w:rsid w:val="002913A5"/>
    <w:rsid w:val="00291671"/>
    <w:rsid w:val="00291730"/>
    <w:rsid w:val="0029180C"/>
    <w:rsid w:val="00291924"/>
    <w:rsid w:val="00291967"/>
    <w:rsid w:val="00291D56"/>
    <w:rsid w:val="00291FC3"/>
    <w:rsid w:val="00291FCD"/>
    <w:rsid w:val="00292129"/>
    <w:rsid w:val="00292226"/>
    <w:rsid w:val="0029226C"/>
    <w:rsid w:val="002923E2"/>
    <w:rsid w:val="002924E8"/>
    <w:rsid w:val="0029257A"/>
    <w:rsid w:val="0029268C"/>
    <w:rsid w:val="002928F5"/>
    <w:rsid w:val="00292A83"/>
    <w:rsid w:val="00292DD9"/>
    <w:rsid w:val="0029321D"/>
    <w:rsid w:val="0029326B"/>
    <w:rsid w:val="0029333D"/>
    <w:rsid w:val="002933A7"/>
    <w:rsid w:val="002934AF"/>
    <w:rsid w:val="00293674"/>
    <w:rsid w:val="002938E3"/>
    <w:rsid w:val="00293AAE"/>
    <w:rsid w:val="00294168"/>
    <w:rsid w:val="00294198"/>
    <w:rsid w:val="0029425B"/>
    <w:rsid w:val="002943A8"/>
    <w:rsid w:val="002944F6"/>
    <w:rsid w:val="00294687"/>
    <w:rsid w:val="002946E1"/>
    <w:rsid w:val="0029472B"/>
    <w:rsid w:val="00294769"/>
    <w:rsid w:val="00294880"/>
    <w:rsid w:val="00294BA3"/>
    <w:rsid w:val="00294D03"/>
    <w:rsid w:val="00294DCF"/>
    <w:rsid w:val="00294F47"/>
    <w:rsid w:val="00295113"/>
    <w:rsid w:val="0029532F"/>
    <w:rsid w:val="002955E7"/>
    <w:rsid w:val="0029562D"/>
    <w:rsid w:val="0029576B"/>
    <w:rsid w:val="00295851"/>
    <w:rsid w:val="002959AE"/>
    <w:rsid w:val="00295A61"/>
    <w:rsid w:val="00295B1D"/>
    <w:rsid w:val="00295B6C"/>
    <w:rsid w:val="00295CD1"/>
    <w:rsid w:val="00295DA2"/>
    <w:rsid w:val="00295F61"/>
    <w:rsid w:val="00295F78"/>
    <w:rsid w:val="00295FAD"/>
    <w:rsid w:val="00296118"/>
    <w:rsid w:val="002962E1"/>
    <w:rsid w:val="0029640B"/>
    <w:rsid w:val="002965D2"/>
    <w:rsid w:val="002965F1"/>
    <w:rsid w:val="0029684B"/>
    <w:rsid w:val="00296DF1"/>
    <w:rsid w:val="00296E76"/>
    <w:rsid w:val="00296EF1"/>
    <w:rsid w:val="00297006"/>
    <w:rsid w:val="0029707F"/>
    <w:rsid w:val="002970BB"/>
    <w:rsid w:val="00297149"/>
    <w:rsid w:val="002972FD"/>
    <w:rsid w:val="002973B9"/>
    <w:rsid w:val="00297451"/>
    <w:rsid w:val="0029748F"/>
    <w:rsid w:val="00297495"/>
    <w:rsid w:val="00297A16"/>
    <w:rsid w:val="00297AF4"/>
    <w:rsid w:val="00297D67"/>
    <w:rsid w:val="00297E50"/>
    <w:rsid w:val="002A001B"/>
    <w:rsid w:val="002A02BE"/>
    <w:rsid w:val="002A0481"/>
    <w:rsid w:val="002A0522"/>
    <w:rsid w:val="002A0766"/>
    <w:rsid w:val="002A076C"/>
    <w:rsid w:val="002A0845"/>
    <w:rsid w:val="002A091B"/>
    <w:rsid w:val="002A0A89"/>
    <w:rsid w:val="002A0AFA"/>
    <w:rsid w:val="002A0BB1"/>
    <w:rsid w:val="002A0D89"/>
    <w:rsid w:val="002A1022"/>
    <w:rsid w:val="002A10BA"/>
    <w:rsid w:val="002A1227"/>
    <w:rsid w:val="002A13C8"/>
    <w:rsid w:val="002A13D4"/>
    <w:rsid w:val="002A13DA"/>
    <w:rsid w:val="002A1540"/>
    <w:rsid w:val="002A17B0"/>
    <w:rsid w:val="002A21AE"/>
    <w:rsid w:val="002A22AB"/>
    <w:rsid w:val="002A22D1"/>
    <w:rsid w:val="002A2335"/>
    <w:rsid w:val="002A2481"/>
    <w:rsid w:val="002A252A"/>
    <w:rsid w:val="002A25A7"/>
    <w:rsid w:val="002A286D"/>
    <w:rsid w:val="002A2875"/>
    <w:rsid w:val="002A2900"/>
    <w:rsid w:val="002A2906"/>
    <w:rsid w:val="002A2A26"/>
    <w:rsid w:val="002A2E44"/>
    <w:rsid w:val="002A3209"/>
    <w:rsid w:val="002A32DD"/>
    <w:rsid w:val="002A3358"/>
    <w:rsid w:val="002A33F2"/>
    <w:rsid w:val="002A350B"/>
    <w:rsid w:val="002A35E9"/>
    <w:rsid w:val="002A36C2"/>
    <w:rsid w:val="002A3937"/>
    <w:rsid w:val="002A3961"/>
    <w:rsid w:val="002A3B84"/>
    <w:rsid w:val="002A3C40"/>
    <w:rsid w:val="002A3DD9"/>
    <w:rsid w:val="002A3E8F"/>
    <w:rsid w:val="002A3FDD"/>
    <w:rsid w:val="002A4177"/>
    <w:rsid w:val="002A427E"/>
    <w:rsid w:val="002A436D"/>
    <w:rsid w:val="002A4480"/>
    <w:rsid w:val="002A4652"/>
    <w:rsid w:val="002A4714"/>
    <w:rsid w:val="002A4A24"/>
    <w:rsid w:val="002A4A32"/>
    <w:rsid w:val="002A4CAC"/>
    <w:rsid w:val="002A55D2"/>
    <w:rsid w:val="002A56B6"/>
    <w:rsid w:val="002A5844"/>
    <w:rsid w:val="002A594C"/>
    <w:rsid w:val="002A5A44"/>
    <w:rsid w:val="002A5A8A"/>
    <w:rsid w:val="002A5D42"/>
    <w:rsid w:val="002A6282"/>
    <w:rsid w:val="002A62C4"/>
    <w:rsid w:val="002A65D3"/>
    <w:rsid w:val="002A6659"/>
    <w:rsid w:val="002A66D9"/>
    <w:rsid w:val="002A6808"/>
    <w:rsid w:val="002A682B"/>
    <w:rsid w:val="002A68FE"/>
    <w:rsid w:val="002A6DCE"/>
    <w:rsid w:val="002A7034"/>
    <w:rsid w:val="002A719D"/>
    <w:rsid w:val="002A7213"/>
    <w:rsid w:val="002A7284"/>
    <w:rsid w:val="002A77FB"/>
    <w:rsid w:val="002A7A5B"/>
    <w:rsid w:val="002A7AB5"/>
    <w:rsid w:val="002A7CBA"/>
    <w:rsid w:val="002A7D40"/>
    <w:rsid w:val="002A7EB3"/>
    <w:rsid w:val="002A7F1F"/>
    <w:rsid w:val="002A7F86"/>
    <w:rsid w:val="002B019C"/>
    <w:rsid w:val="002B01AC"/>
    <w:rsid w:val="002B01F6"/>
    <w:rsid w:val="002B0299"/>
    <w:rsid w:val="002B04BE"/>
    <w:rsid w:val="002B05C3"/>
    <w:rsid w:val="002B0682"/>
    <w:rsid w:val="002B074B"/>
    <w:rsid w:val="002B0790"/>
    <w:rsid w:val="002B0935"/>
    <w:rsid w:val="002B0E24"/>
    <w:rsid w:val="002B0EEA"/>
    <w:rsid w:val="002B128E"/>
    <w:rsid w:val="002B171B"/>
    <w:rsid w:val="002B1793"/>
    <w:rsid w:val="002B17F5"/>
    <w:rsid w:val="002B188C"/>
    <w:rsid w:val="002B1A4B"/>
    <w:rsid w:val="002B1C83"/>
    <w:rsid w:val="002B1CE5"/>
    <w:rsid w:val="002B2070"/>
    <w:rsid w:val="002B22BA"/>
    <w:rsid w:val="002B23A3"/>
    <w:rsid w:val="002B23C1"/>
    <w:rsid w:val="002B2503"/>
    <w:rsid w:val="002B25DC"/>
    <w:rsid w:val="002B2630"/>
    <w:rsid w:val="002B2B0A"/>
    <w:rsid w:val="002B2D9A"/>
    <w:rsid w:val="002B2FBB"/>
    <w:rsid w:val="002B2FFC"/>
    <w:rsid w:val="002B379D"/>
    <w:rsid w:val="002B3B1A"/>
    <w:rsid w:val="002B3B62"/>
    <w:rsid w:val="002B3B6D"/>
    <w:rsid w:val="002B3E4D"/>
    <w:rsid w:val="002B406B"/>
    <w:rsid w:val="002B42EE"/>
    <w:rsid w:val="002B45D7"/>
    <w:rsid w:val="002B48C6"/>
    <w:rsid w:val="002B499B"/>
    <w:rsid w:val="002B4A90"/>
    <w:rsid w:val="002B4ADA"/>
    <w:rsid w:val="002B4C32"/>
    <w:rsid w:val="002B4E94"/>
    <w:rsid w:val="002B4F38"/>
    <w:rsid w:val="002B527B"/>
    <w:rsid w:val="002B5398"/>
    <w:rsid w:val="002B5795"/>
    <w:rsid w:val="002B58CD"/>
    <w:rsid w:val="002B5982"/>
    <w:rsid w:val="002B59E4"/>
    <w:rsid w:val="002B5A5E"/>
    <w:rsid w:val="002B5B88"/>
    <w:rsid w:val="002B5BB1"/>
    <w:rsid w:val="002B5D02"/>
    <w:rsid w:val="002B654A"/>
    <w:rsid w:val="002B6A9E"/>
    <w:rsid w:val="002B6B0C"/>
    <w:rsid w:val="002B6BD7"/>
    <w:rsid w:val="002B6CE9"/>
    <w:rsid w:val="002B6E47"/>
    <w:rsid w:val="002B7292"/>
    <w:rsid w:val="002B75CB"/>
    <w:rsid w:val="002B7683"/>
    <w:rsid w:val="002B76AC"/>
    <w:rsid w:val="002B7989"/>
    <w:rsid w:val="002B7990"/>
    <w:rsid w:val="002B7A3B"/>
    <w:rsid w:val="002B7DA6"/>
    <w:rsid w:val="002B7E38"/>
    <w:rsid w:val="002C00AC"/>
    <w:rsid w:val="002C0366"/>
    <w:rsid w:val="002C0535"/>
    <w:rsid w:val="002C08E1"/>
    <w:rsid w:val="002C0A1F"/>
    <w:rsid w:val="002C0AE8"/>
    <w:rsid w:val="002C0E7A"/>
    <w:rsid w:val="002C0E85"/>
    <w:rsid w:val="002C0F5F"/>
    <w:rsid w:val="002C11AB"/>
    <w:rsid w:val="002C13C9"/>
    <w:rsid w:val="002C1604"/>
    <w:rsid w:val="002C161F"/>
    <w:rsid w:val="002C164E"/>
    <w:rsid w:val="002C173F"/>
    <w:rsid w:val="002C1B1F"/>
    <w:rsid w:val="002C1BC5"/>
    <w:rsid w:val="002C1C19"/>
    <w:rsid w:val="002C1E5A"/>
    <w:rsid w:val="002C1EB2"/>
    <w:rsid w:val="002C2148"/>
    <w:rsid w:val="002C2184"/>
    <w:rsid w:val="002C2441"/>
    <w:rsid w:val="002C25F5"/>
    <w:rsid w:val="002C2977"/>
    <w:rsid w:val="002C29C9"/>
    <w:rsid w:val="002C2C8D"/>
    <w:rsid w:val="002C2E56"/>
    <w:rsid w:val="002C3091"/>
    <w:rsid w:val="002C3174"/>
    <w:rsid w:val="002C32DE"/>
    <w:rsid w:val="002C33DA"/>
    <w:rsid w:val="002C3BDC"/>
    <w:rsid w:val="002C3ED0"/>
    <w:rsid w:val="002C3F2F"/>
    <w:rsid w:val="002C45F9"/>
    <w:rsid w:val="002C4966"/>
    <w:rsid w:val="002C4BE9"/>
    <w:rsid w:val="002C4BFD"/>
    <w:rsid w:val="002C4CA8"/>
    <w:rsid w:val="002C534A"/>
    <w:rsid w:val="002C5A0A"/>
    <w:rsid w:val="002C5F51"/>
    <w:rsid w:val="002C5FBD"/>
    <w:rsid w:val="002C6170"/>
    <w:rsid w:val="002C6416"/>
    <w:rsid w:val="002C650D"/>
    <w:rsid w:val="002C66CC"/>
    <w:rsid w:val="002C6766"/>
    <w:rsid w:val="002C691A"/>
    <w:rsid w:val="002C6B94"/>
    <w:rsid w:val="002C6C5C"/>
    <w:rsid w:val="002C6ECD"/>
    <w:rsid w:val="002C7092"/>
    <w:rsid w:val="002C7258"/>
    <w:rsid w:val="002C73F4"/>
    <w:rsid w:val="002C7416"/>
    <w:rsid w:val="002C7431"/>
    <w:rsid w:val="002C7BCF"/>
    <w:rsid w:val="002C7F10"/>
    <w:rsid w:val="002D0025"/>
    <w:rsid w:val="002D0211"/>
    <w:rsid w:val="002D02F8"/>
    <w:rsid w:val="002D0385"/>
    <w:rsid w:val="002D0603"/>
    <w:rsid w:val="002D0D23"/>
    <w:rsid w:val="002D1282"/>
    <w:rsid w:val="002D1303"/>
    <w:rsid w:val="002D15E6"/>
    <w:rsid w:val="002D160F"/>
    <w:rsid w:val="002D1674"/>
    <w:rsid w:val="002D1847"/>
    <w:rsid w:val="002D1B96"/>
    <w:rsid w:val="002D1E21"/>
    <w:rsid w:val="002D1E24"/>
    <w:rsid w:val="002D227E"/>
    <w:rsid w:val="002D23EA"/>
    <w:rsid w:val="002D242C"/>
    <w:rsid w:val="002D24BB"/>
    <w:rsid w:val="002D2737"/>
    <w:rsid w:val="002D28F7"/>
    <w:rsid w:val="002D2B72"/>
    <w:rsid w:val="002D2DED"/>
    <w:rsid w:val="002D2F2D"/>
    <w:rsid w:val="002D2F55"/>
    <w:rsid w:val="002D3096"/>
    <w:rsid w:val="002D3283"/>
    <w:rsid w:val="002D33EA"/>
    <w:rsid w:val="002D34C7"/>
    <w:rsid w:val="002D3609"/>
    <w:rsid w:val="002D3898"/>
    <w:rsid w:val="002D3928"/>
    <w:rsid w:val="002D3A5E"/>
    <w:rsid w:val="002D3BC7"/>
    <w:rsid w:val="002D3C93"/>
    <w:rsid w:val="002D3EC7"/>
    <w:rsid w:val="002D3F47"/>
    <w:rsid w:val="002D405F"/>
    <w:rsid w:val="002D40AC"/>
    <w:rsid w:val="002D4164"/>
    <w:rsid w:val="002D41C2"/>
    <w:rsid w:val="002D43A1"/>
    <w:rsid w:val="002D44C2"/>
    <w:rsid w:val="002D4542"/>
    <w:rsid w:val="002D45AB"/>
    <w:rsid w:val="002D4649"/>
    <w:rsid w:val="002D46B5"/>
    <w:rsid w:val="002D4D82"/>
    <w:rsid w:val="002D4FC4"/>
    <w:rsid w:val="002D5138"/>
    <w:rsid w:val="002D53C1"/>
    <w:rsid w:val="002D5501"/>
    <w:rsid w:val="002D550A"/>
    <w:rsid w:val="002D5522"/>
    <w:rsid w:val="002D5676"/>
    <w:rsid w:val="002D64CA"/>
    <w:rsid w:val="002D66B0"/>
    <w:rsid w:val="002D693A"/>
    <w:rsid w:val="002D6D2E"/>
    <w:rsid w:val="002D6D4E"/>
    <w:rsid w:val="002D6D8B"/>
    <w:rsid w:val="002D6E5F"/>
    <w:rsid w:val="002D6E8E"/>
    <w:rsid w:val="002D6EB1"/>
    <w:rsid w:val="002D6ED8"/>
    <w:rsid w:val="002D70D0"/>
    <w:rsid w:val="002D71AA"/>
    <w:rsid w:val="002D7309"/>
    <w:rsid w:val="002D7622"/>
    <w:rsid w:val="002D7689"/>
    <w:rsid w:val="002D7EF9"/>
    <w:rsid w:val="002E02DB"/>
    <w:rsid w:val="002E03C9"/>
    <w:rsid w:val="002E04E1"/>
    <w:rsid w:val="002E078F"/>
    <w:rsid w:val="002E08B7"/>
    <w:rsid w:val="002E08D6"/>
    <w:rsid w:val="002E08FF"/>
    <w:rsid w:val="002E099B"/>
    <w:rsid w:val="002E0A7A"/>
    <w:rsid w:val="002E10C8"/>
    <w:rsid w:val="002E11F5"/>
    <w:rsid w:val="002E1221"/>
    <w:rsid w:val="002E150E"/>
    <w:rsid w:val="002E15BC"/>
    <w:rsid w:val="002E1651"/>
    <w:rsid w:val="002E16CD"/>
    <w:rsid w:val="002E16D5"/>
    <w:rsid w:val="002E17F5"/>
    <w:rsid w:val="002E1806"/>
    <w:rsid w:val="002E1BF7"/>
    <w:rsid w:val="002E1CED"/>
    <w:rsid w:val="002E1EA5"/>
    <w:rsid w:val="002E1FDF"/>
    <w:rsid w:val="002E212D"/>
    <w:rsid w:val="002E2158"/>
    <w:rsid w:val="002E21C8"/>
    <w:rsid w:val="002E246F"/>
    <w:rsid w:val="002E282A"/>
    <w:rsid w:val="002E2947"/>
    <w:rsid w:val="002E2AA7"/>
    <w:rsid w:val="002E2C64"/>
    <w:rsid w:val="002E2F9D"/>
    <w:rsid w:val="002E2FC3"/>
    <w:rsid w:val="002E3100"/>
    <w:rsid w:val="002E328D"/>
    <w:rsid w:val="002E355B"/>
    <w:rsid w:val="002E3823"/>
    <w:rsid w:val="002E38CD"/>
    <w:rsid w:val="002E39AD"/>
    <w:rsid w:val="002E3C2E"/>
    <w:rsid w:val="002E3CAD"/>
    <w:rsid w:val="002E3F7F"/>
    <w:rsid w:val="002E401B"/>
    <w:rsid w:val="002E4262"/>
    <w:rsid w:val="002E4689"/>
    <w:rsid w:val="002E4907"/>
    <w:rsid w:val="002E4A7F"/>
    <w:rsid w:val="002E4AE2"/>
    <w:rsid w:val="002E531B"/>
    <w:rsid w:val="002E537C"/>
    <w:rsid w:val="002E53EF"/>
    <w:rsid w:val="002E54B6"/>
    <w:rsid w:val="002E5971"/>
    <w:rsid w:val="002E5AFB"/>
    <w:rsid w:val="002E6028"/>
    <w:rsid w:val="002E62DF"/>
    <w:rsid w:val="002E62FA"/>
    <w:rsid w:val="002E6C73"/>
    <w:rsid w:val="002E6CF5"/>
    <w:rsid w:val="002E71C7"/>
    <w:rsid w:val="002E7351"/>
    <w:rsid w:val="002E7774"/>
    <w:rsid w:val="002E7794"/>
    <w:rsid w:val="002E7830"/>
    <w:rsid w:val="002E787B"/>
    <w:rsid w:val="002E78AE"/>
    <w:rsid w:val="002E79ED"/>
    <w:rsid w:val="002E7B27"/>
    <w:rsid w:val="002E7B60"/>
    <w:rsid w:val="002E7F29"/>
    <w:rsid w:val="002E7F81"/>
    <w:rsid w:val="002F0004"/>
    <w:rsid w:val="002F005D"/>
    <w:rsid w:val="002F022E"/>
    <w:rsid w:val="002F03F1"/>
    <w:rsid w:val="002F0551"/>
    <w:rsid w:val="002F05AE"/>
    <w:rsid w:val="002F0824"/>
    <w:rsid w:val="002F084B"/>
    <w:rsid w:val="002F09B8"/>
    <w:rsid w:val="002F0A5A"/>
    <w:rsid w:val="002F0B21"/>
    <w:rsid w:val="002F0B73"/>
    <w:rsid w:val="002F0CCA"/>
    <w:rsid w:val="002F0D06"/>
    <w:rsid w:val="002F0E27"/>
    <w:rsid w:val="002F10D3"/>
    <w:rsid w:val="002F1210"/>
    <w:rsid w:val="002F12DE"/>
    <w:rsid w:val="002F13CE"/>
    <w:rsid w:val="002F161C"/>
    <w:rsid w:val="002F17F3"/>
    <w:rsid w:val="002F1860"/>
    <w:rsid w:val="002F1AE0"/>
    <w:rsid w:val="002F1BED"/>
    <w:rsid w:val="002F1D06"/>
    <w:rsid w:val="002F1D2F"/>
    <w:rsid w:val="002F1DE3"/>
    <w:rsid w:val="002F1E24"/>
    <w:rsid w:val="002F2045"/>
    <w:rsid w:val="002F23C1"/>
    <w:rsid w:val="002F2625"/>
    <w:rsid w:val="002F293C"/>
    <w:rsid w:val="002F2AFE"/>
    <w:rsid w:val="002F2B5A"/>
    <w:rsid w:val="002F2DDA"/>
    <w:rsid w:val="002F3167"/>
    <w:rsid w:val="002F350D"/>
    <w:rsid w:val="002F35C0"/>
    <w:rsid w:val="002F36E5"/>
    <w:rsid w:val="002F3A0E"/>
    <w:rsid w:val="002F3C56"/>
    <w:rsid w:val="002F3DA0"/>
    <w:rsid w:val="002F3F0C"/>
    <w:rsid w:val="002F4088"/>
    <w:rsid w:val="002F4126"/>
    <w:rsid w:val="002F41FD"/>
    <w:rsid w:val="002F4237"/>
    <w:rsid w:val="002F467C"/>
    <w:rsid w:val="002F4953"/>
    <w:rsid w:val="002F4DE5"/>
    <w:rsid w:val="002F5440"/>
    <w:rsid w:val="002F5674"/>
    <w:rsid w:val="002F57BD"/>
    <w:rsid w:val="002F5A6A"/>
    <w:rsid w:val="002F5CAF"/>
    <w:rsid w:val="002F5F59"/>
    <w:rsid w:val="002F69C9"/>
    <w:rsid w:val="002F6A6D"/>
    <w:rsid w:val="002F6ACA"/>
    <w:rsid w:val="002F6C15"/>
    <w:rsid w:val="002F6E21"/>
    <w:rsid w:val="002F6FA9"/>
    <w:rsid w:val="002F70BB"/>
    <w:rsid w:val="002F7142"/>
    <w:rsid w:val="002F7193"/>
    <w:rsid w:val="002F721F"/>
    <w:rsid w:val="002F732B"/>
    <w:rsid w:val="002F7374"/>
    <w:rsid w:val="002F7467"/>
    <w:rsid w:val="002F76D5"/>
    <w:rsid w:val="002F7769"/>
    <w:rsid w:val="002F7A6B"/>
    <w:rsid w:val="002F7A8D"/>
    <w:rsid w:val="002F7C35"/>
    <w:rsid w:val="002F7F25"/>
    <w:rsid w:val="003001AF"/>
    <w:rsid w:val="0030024C"/>
    <w:rsid w:val="0030053E"/>
    <w:rsid w:val="00300B2E"/>
    <w:rsid w:val="003010E1"/>
    <w:rsid w:val="0030126B"/>
    <w:rsid w:val="003015B1"/>
    <w:rsid w:val="003017AA"/>
    <w:rsid w:val="00301835"/>
    <w:rsid w:val="00301C03"/>
    <w:rsid w:val="00301CC8"/>
    <w:rsid w:val="00301E93"/>
    <w:rsid w:val="00301F85"/>
    <w:rsid w:val="00302336"/>
    <w:rsid w:val="003023BE"/>
    <w:rsid w:val="003024B1"/>
    <w:rsid w:val="00302CC0"/>
    <w:rsid w:val="00302DAC"/>
    <w:rsid w:val="00303555"/>
    <w:rsid w:val="00303759"/>
    <w:rsid w:val="00303818"/>
    <w:rsid w:val="00303821"/>
    <w:rsid w:val="003039D3"/>
    <w:rsid w:val="00303BE2"/>
    <w:rsid w:val="00303C81"/>
    <w:rsid w:val="003041BE"/>
    <w:rsid w:val="003043CD"/>
    <w:rsid w:val="00304476"/>
    <w:rsid w:val="00304635"/>
    <w:rsid w:val="00304653"/>
    <w:rsid w:val="00304983"/>
    <w:rsid w:val="003049AF"/>
    <w:rsid w:val="003049C9"/>
    <w:rsid w:val="00304B4B"/>
    <w:rsid w:val="00304BFA"/>
    <w:rsid w:val="00304D0D"/>
    <w:rsid w:val="00304D38"/>
    <w:rsid w:val="00304F20"/>
    <w:rsid w:val="0030513E"/>
    <w:rsid w:val="00305153"/>
    <w:rsid w:val="00305223"/>
    <w:rsid w:val="003052D6"/>
    <w:rsid w:val="00305310"/>
    <w:rsid w:val="003053AD"/>
    <w:rsid w:val="003054BC"/>
    <w:rsid w:val="0030550E"/>
    <w:rsid w:val="0030570F"/>
    <w:rsid w:val="003057A0"/>
    <w:rsid w:val="003057B8"/>
    <w:rsid w:val="003058CE"/>
    <w:rsid w:val="00305C46"/>
    <w:rsid w:val="00305C72"/>
    <w:rsid w:val="00305D43"/>
    <w:rsid w:val="00305F4B"/>
    <w:rsid w:val="00305FD4"/>
    <w:rsid w:val="003060A7"/>
    <w:rsid w:val="003060B8"/>
    <w:rsid w:val="003061F7"/>
    <w:rsid w:val="0030626A"/>
    <w:rsid w:val="0030673A"/>
    <w:rsid w:val="0030679B"/>
    <w:rsid w:val="0030693B"/>
    <w:rsid w:val="003069C6"/>
    <w:rsid w:val="003069E3"/>
    <w:rsid w:val="00306A5F"/>
    <w:rsid w:val="00306BBC"/>
    <w:rsid w:val="00306E53"/>
    <w:rsid w:val="003070DF"/>
    <w:rsid w:val="0030719E"/>
    <w:rsid w:val="00307261"/>
    <w:rsid w:val="003072B0"/>
    <w:rsid w:val="00307511"/>
    <w:rsid w:val="003075B8"/>
    <w:rsid w:val="003075BA"/>
    <w:rsid w:val="0030764D"/>
    <w:rsid w:val="003077EF"/>
    <w:rsid w:val="00307AB6"/>
    <w:rsid w:val="00307B2F"/>
    <w:rsid w:val="00307D47"/>
    <w:rsid w:val="00307EED"/>
    <w:rsid w:val="00307FC8"/>
    <w:rsid w:val="0031015E"/>
    <w:rsid w:val="003108A8"/>
    <w:rsid w:val="003108CC"/>
    <w:rsid w:val="0031095D"/>
    <w:rsid w:val="00310E40"/>
    <w:rsid w:val="003110B2"/>
    <w:rsid w:val="00311237"/>
    <w:rsid w:val="0031136A"/>
    <w:rsid w:val="003113C3"/>
    <w:rsid w:val="0031143F"/>
    <w:rsid w:val="00311457"/>
    <w:rsid w:val="003114BB"/>
    <w:rsid w:val="003119E4"/>
    <w:rsid w:val="00311C77"/>
    <w:rsid w:val="00311D91"/>
    <w:rsid w:val="003123E3"/>
    <w:rsid w:val="00312432"/>
    <w:rsid w:val="0031245A"/>
    <w:rsid w:val="00312595"/>
    <w:rsid w:val="003125C3"/>
    <w:rsid w:val="003126F7"/>
    <w:rsid w:val="003129BD"/>
    <w:rsid w:val="00312AAD"/>
    <w:rsid w:val="00312ACD"/>
    <w:rsid w:val="00312C3B"/>
    <w:rsid w:val="00312CBB"/>
    <w:rsid w:val="00312D4A"/>
    <w:rsid w:val="0031308F"/>
    <w:rsid w:val="0031340C"/>
    <w:rsid w:val="00313470"/>
    <w:rsid w:val="003135C8"/>
    <w:rsid w:val="0031372F"/>
    <w:rsid w:val="00313960"/>
    <w:rsid w:val="003139C7"/>
    <w:rsid w:val="00313B78"/>
    <w:rsid w:val="00313D1F"/>
    <w:rsid w:val="00314018"/>
    <w:rsid w:val="003147E2"/>
    <w:rsid w:val="003151C9"/>
    <w:rsid w:val="003151D3"/>
    <w:rsid w:val="00315284"/>
    <w:rsid w:val="00315293"/>
    <w:rsid w:val="00315319"/>
    <w:rsid w:val="00315333"/>
    <w:rsid w:val="00315509"/>
    <w:rsid w:val="00315AF8"/>
    <w:rsid w:val="00315C17"/>
    <w:rsid w:val="00316345"/>
    <w:rsid w:val="00316356"/>
    <w:rsid w:val="00316409"/>
    <w:rsid w:val="003169FD"/>
    <w:rsid w:val="00316A0E"/>
    <w:rsid w:val="00316AA3"/>
    <w:rsid w:val="00316AD5"/>
    <w:rsid w:val="00316DC8"/>
    <w:rsid w:val="00316EAA"/>
    <w:rsid w:val="00316ECF"/>
    <w:rsid w:val="00316F14"/>
    <w:rsid w:val="003177D0"/>
    <w:rsid w:val="0031780B"/>
    <w:rsid w:val="003178E9"/>
    <w:rsid w:val="00317AAE"/>
    <w:rsid w:val="00317BB8"/>
    <w:rsid w:val="00317D82"/>
    <w:rsid w:val="00317E2A"/>
    <w:rsid w:val="0032012F"/>
    <w:rsid w:val="00320150"/>
    <w:rsid w:val="0032026B"/>
    <w:rsid w:val="00320485"/>
    <w:rsid w:val="00320486"/>
    <w:rsid w:val="0032063A"/>
    <w:rsid w:val="003206D7"/>
    <w:rsid w:val="00320DBF"/>
    <w:rsid w:val="00320ED0"/>
    <w:rsid w:val="00321031"/>
    <w:rsid w:val="003213C8"/>
    <w:rsid w:val="003215B6"/>
    <w:rsid w:val="00321675"/>
    <w:rsid w:val="003217AB"/>
    <w:rsid w:val="003217B5"/>
    <w:rsid w:val="003219BA"/>
    <w:rsid w:val="00321B6B"/>
    <w:rsid w:val="00321DB2"/>
    <w:rsid w:val="00321FAA"/>
    <w:rsid w:val="00321FC7"/>
    <w:rsid w:val="00322004"/>
    <w:rsid w:val="003220E7"/>
    <w:rsid w:val="00322124"/>
    <w:rsid w:val="003221BA"/>
    <w:rsid w:val="003225E8"/>
    <w:rsid w:val="003226D5"/>
    <w:rsid w:val="0032274F"/>
    <w:rsid w:val="00322849"/>
    <w:rsid w:val="00322894"/>
    <w:rsid w:val="003228EC"/>
    <w:rsid w:val="003229D7"/>
    <w:rsid w:val="00322CCB"/>
    <w:rsid w:val="00322D8D"/>
    <w:rsid w:val="00322E54"/>
    <w:rsid w:val="00322E79"/>
    <w:rsid w:val="00322E8E"/>
    <w:rsid w:val="00322EDB"/>
    <w:rsid w:val="00323580"/>
    <w:rsid w:val="003238C4"/>
    <w:rsid w:val="00323902"/>
    <w:rsid w:val="00323988"/>
    <w:rsid w:val="00323A42"/>
    <w:rsid w:val="00323BD6"/>
    <w:rsid w:val="00323EAD"/>
    <w:rsid w:val="00323F60"/>
    <w:rsid w:val="00323FA7"/>
    <w:rsid w:val="003240F8"/>
    <w:rsid w:val="0032422F"/>
    <w:rsid w:val="00324395"/>
    <w:rsid w:val="00324683"/>
    <w:rsid w:val="003246A0"/>
    <w:rsid w:val="003247D4"/>
    <w:rsid w:val="003249AE"/>
    <w:rsid w:val="00324A71"/>
    <w:rsid w:val="00324D09"/>
    <w:rsid w:val="0032512E"/>
    <w:rsid w:val="00325292"/>
    <w:rsid w:val="00325681"/>
    <w:rsid w:val="003256F2"/>
    <w:rsid w:val="0032594D"/>
    <w:rsid w:val="003259CA"/>
    <w:rsid w:val="00325AB1"/>
    <w:rsid w:val="00325EBA"/>
    <w:rsid w:val="00326016"/>
    <w:rsid w:val="0032603C"/>
    <w:rsid w:val="00326073"/>
    <w:rsid w:val="003262E4"/>
    <w:rsid w:val="00326575"/>
    <w:rsid w:val="003266DA"/>
    <w:rsid w:val="003267C9"/>
    <w:rsid w:val="00326B7E"/>
    <w:rsid w:val="00326C04"/>
    <w:rsid w:val="0032709E"/>
    <w:rsid w:val="003270CE"/>
    <w:rsid w:val="00327121"/>
    <w:rsid w:val="003271FD"/>
    <w:rsid w:val="00327291"/>
    <w:rsid w:val="0032730D"/>
    <w:rsid w:val="00327375"/>
    <w:rsid w:val="00327596"/>
    <w:rsid w:val="00327778"/>
    <w:rsid w:val="00327A80"/>
    <w:rsid w:val="00327AF5"/>
    <w:rsid w:val="00330044"/>
    <w:rsid w:val="00330066"/>
    <w:rsid w:val="003303CE"/>
    <w:rsid w:val="00330499"/>
    <w:rsid w:val="0033069F"/>
    <w:rsid w:val="00330717"/>
    <w:rsid w:val="003307AF"/>
    <w:rsid w:val="00330911"/>
    <w:rsid w:val="00330AC3"/>
    <w:rsid w:val="00330AFF"/>
    <w:rsid w:val="00330B2A"/>
    <w:rsid w:val="00330FA4"/>
    <w:rsid w:val="00331233"/>
    <w:rsid w:val="003312CF"/>
    <w:rsid w:val="00331796"/>
    <w:rsid w:val="00331A8D"/>
    <w:rsid w:val="00331B1D"/>
    <w:rsid w:val="00331C05"/>
    <w:rsid w:val="00331C6E"/>
    <w:rsid w:val="00331CD3"/>
    <w:rsid w:val="00331D5D"/>
    <w:rsid w:val="00331F73"/>
    <w:rsid w:val="00332821"/>
    <w:rsid w:val="0033285C"/>
    <w:rsid w:val="00332A6C"/>
    <w:rsid w:val="00332B2C"/>
    <w:rsid w:val="00332C3F"/>
    <w:rsid w:val="00332D7C"/>
    <w:rsid w:val="00332E09"/>
    <w:rsid w:val="00332EDC"/>
    <w:rsid w:val="003330B1"/>
    <w:rsid w:val="003332A8"/>
    <w:rsid w:val="00333387"/>
    <w:rsid w:val="003335EB"/>
    <w:rsid w:val="0033363C"/>
    <w:rsid w:val="0033372B"/>
    <w:rsid w:val="00333834"/>
    <w:rsid w:val="00333DC2"/>
    <w:rsid w:val="00333DD1"/>
    <w:rsid w:val="00333EBF"/>
    <w:rsid w:val="0033430D"/>
    <w:rsid w:val="00334394"/>
    <w:rsid w:val="00334532"/>
    <w:rsid w:val="003345A1"/>
    <w:rsid w:val="003345BB"/>
    <w:rsid w:val="0033468F"/>
    <w:rsid w:val="00334887"/>
    <w:rsid w:val="00334B66"/>
    <w:rsid w:val="00334B83"/>
    <w:rsid w:val="00334C84"/>
    <w:rsid w:val="00334CB2"/>
    <w:rsid w:val="00334CCB"/>
    <w:rsid w:val="00334F45"/>
    <w:rsid w:val="00335056"/>
    <w:rsid w:val="00335202"/>
    <w:rsid w:val="003352AA"/>
    <w:rsid w:val="0033535D"/>
    <w:rsid w:val="0033536B"/>
    <w:rsid w:val="0033545E"/>
    <w:rsid w:val="0033553D"/>
    <w:rsid w:val="003357A2"/>
    <w:rsid w:val="00335F9E"/>
    <w:rsid w:val="00335FAA"/>
    <w:rsid w:val="00336013"/>
    <w:rsid w:val="00336119"/>
    <w:rsid w:val="00336183"/>
    <w:rsid w:val="00336245"/>
    <w:rsid w:val="0033626C"/>
    <w:rsid w:val="00336808"/>
    <w:rsid w:val="00336954"/>
    <w:rsid w:val="00336986"/>
    <w:rsid w:val="00336A11"/>
    <w:rsid w:val="00336CF8"/>
    <w:rsid w:val="00336DAD"/>
    <w:rsid w:val="0033707D"/>
    <w:rsid w:val="003370A1"/>
    <w:rsid w:val="00337213"/>
    <w:rsid w:val="00337218"/>
    <w:rsid w:val="00337278"/>
    <w:rsid w:val="003372BC"/>
    <w:rsid w:val="00337396"/>
    <w:rsid w:val="003373E5"/>
    <w:rsid w:val="00337460"/>
    <w:rsid w:val="00337602"/>
    <w:rsid w:val="003378EF"/>
    <w:rsid w:val="00337A81"/>
    <w:rsid w:val="00337AD5"/>
    <w:rsid w:val="00337B85"/>
    <w:rsid w:val="00337BED"/>
    <w:rsid w:val="00337C1F"/>
    <w:rsid w:val="00337D1F"/>
    <w:rsid w:val="00337E61"/>
    <w:rsid w:val="00340715"/>
    <w:rsid w:val="003407AA"/>
    <w:rsid w:val="00340842"/>
    <w:rsid w:val="00340910"/>
    <w:rsid w:val="00340956"/>
    <w:rsid w:val="00340978"/>
    <w:rsid w:val="00340A6F"/>
    <w:rsid w:val="00340CED"/>
    <w:rsid w:val="00340D4A"/>
    <w:rsid w:val="00340D57"/>
    <w:rsid w:val="00340FD6"/>
    <w:rsid w:val="00341229"/>
    <w:rsid w:val="003412BA"/>
    <w:rsid w:val="003414D3"/>
    <w:rsid w:val="0034163B"/>
    <w:rsid w:val="00341B1A"/>
    <w:rsid w:val="00341B20"/>
    <w:rsid w:val="00341DAF"/>
    <w:rsid w:val="00341FE7"/>
    <w:rsid w:val="0034212B"/>
    <w:rsid w:val="003424F0"/>
    <w:rsid w:val="0034262C"/>
    <w:rsid w:val="003428F4"/>
    <w:rsid w:val="00342BBE"/>
    <w:rsid w:val="00342CB8"/>
    <w:rsid w:val="00342CD5"/>
    <w:rsid w:val="00342DB9"/>
    <w:rsid w:val="0034302D"/>
    <w:rsid w:val="00343179"/>
    <w:rsid w:val="003431DE"/>
    <w:rsid w:val="0034343F"/>
    <w:rsid w:val="0034357C"/>
    <w:rsid w:val="00343622"/>
    <w:rsid w:val="00343666"/>
    <w:rsid w:val="003439DA"/>
    <w:rsid w:val="003439FE"/>
    <w:rsid w:val="00343A94"/>
    <w:rsid w:val="00343E86"/>
    <w:rsid w:val="00343F87"/>
    <w:rsid w:val="003442B6"/>
    <w:rsid w:val="003443D3"/>
    <w:rsid w:val="003443E7"/>
    <w:rsid w:val="0034449B"/>
    <w:rsid w:val="003444EC"/>
    <w:rsid w:val="0034479C"/>
    <w:rsid w:val="0034493F"/>
    <w:rsid w:val="0034496D"/>
    <w:rsid w:val="00344A48"/>
    <w:rsid w:val="00344A54"/>
    <w:rsid w:val="00344AF4"/>
    <w:rsid w:val="00344AF8"/>
    <w:rsid w:val="00344C57"/>
    <w:rsid w:val="00344CD5"/>
    <w:rsid w:val="00344D12"/>
    <w:rsid w:val="00344D56"/>
    <w:rsid w:val="00344E6B"/>
    <w:rsid w:val="00344FA2"/>
    <w:rsid w:val="00345013"/>
    <w:rsid w:val="00345095"/>
    <w:rsid w:val="00345264"/>
    <w:rsid w:val="003453CC"/>
    <w:rsid w:val="003457D0"/>
    <w:rsid w:val="003458E7"/>
    <w:rsid w:val="00345ABD"/>
    <w:rsid w:val="00345CC1"/>
    <w:rsid w:val="00345D31"/>
    <w:rsid w:val="00345DDA"/>
    <w:rsid w:val="00345E6E"/>
    <w:rsid w:val="00345EA4"/>
    <w:rsid w:val="00345F8C"/>
    <w:rsid w:val="00345FBB"/>
    <w:rsid w:val="00345FDC"/>
    <w:rsid w:val="00346142"/>
    <w:rsid w:val="003463DE"/>
    <w:rsid w:val="00346554"/>
    <w:rsid w:val="0034657E"/>
    <w:rsid w:val="00346773"/>
    <w:rsid w:val="003467FE"/>
    <w:rsid w:val="003468D9"/>
    <w:rsid w:val="00346941"/>
    <w:rsid w:val="0034695F"/>
    <w:rsid w:val="00346BC1"/>
    <w:rsid w:val="00346F1B"/>
    <w:rsid w:val="00347015"/>
    <w:rsid w:val="0034701F"/>
    <w:rsid w:val="00347095"/>
    <w:rsid w:val="00347167"/>
    <w:rsid w:val="00347527"/>
    <w:rsid w:val="00347559"/>
    <w:rsid w:val="00347613"/>
    <w:rsid w:val="00347802"/>
    <w:rsid w:val="0034783E"/>
    <w:rsid w:val="00347CF7"/>
    <w:rsid w:val="00347EAB"/>
    <w:rsid w:val="00347F51"/>
    <w:rsid w:val="0035028C"/>
    <w:rsid w:val="00350693"/>
    <w:rsid w:val="003507F7"/>
    <w:rsid w:val="0035083D"/>
    <w:rsid w:val="003508A4"/>
    <w:rsid w:val="00350939"/>
    <w:rsid w:val="00350958"/>
    <w:rsid w:val="00350AB9"/>
    <w:rsid w:val="00350C13"/>
    <w:rsid w:val="00350DD1"/>
    <w:rsid w:val="00351266"/>
    <w:rsid w:val="003512FD"/>
    <w:rsid w:val="00351421"/>
    <w:rsid w:val="0035142D"/>
    <w:rsid w:val="003514E3"/>
    <w:rsid w:val="00351507"/>
    <w:rsid w:val="00351966"/>
    <w:rsid w:val="00352008"/>
    <w:rsid w:val="0035207A"/>
    <w:rsid w:val="00352194"/>
    <w:rsid w:val="003521A6"/>
    <w:rsid w:val="00352AB4"/>
    <w:rsid w:val="00352C02"/>
    <w:rsid w:val="00352C4F"/>
    <w:rsid w:val="00352C7F"/>
    <w:rsid w:val="00352E3B"/>
    <w:rsid w:val="00352FFF"/>
    <w:rsid w:val="0035328B"/>
    <w:rsid w:val="00353298"/>
    <w:rsid w:val="00353353"/>
    <w:rsid w:val="00353401"/>
    <w:rsid w:val="0035375D"/>
    <w:rsid w:val="003538B8"/>
    <w:rsid w:val="00353A39"/>
    <w:rsid w:val="00353BBE"/>
    <w:rsid w:val="00353E4F"/>
    <w:rsid w:val="00353F1F"/>
    <w:rsid w:val="00353F7E"/>
    <w:rsid w:val="00354291"/>
    <w:rsid w:val="0035442A"/>
    <w:rsid w:val="003545BF"/>
    <w:rsid w:val="003550FC"/>
    <w:rsid w:val="00355453"/>
    <w:rsid w:val="0035594C"/>
    <w:rsid w:val="00355A81"/>
    <w:rsid w:val="00355AF7"/>
    <w:rsid w:val="003561DC"/>
    <w:rsid w:val="00356497"/>
    <w:rsid w:val="003564E8"/>
    <w:rsid w:val="003566B6"/>
    <w:rsid w:val="00356789"/>
    <w:rsid w:val="00356926"/>
    <w:rsid w:val="00356B35"/>
    <w:rsid w:val="00356BC0"/>
    <w:rsid w:val="00356D3F"/>
    <w:rsid w:val="003571A2"/>
    <w:rsid w:val="00357203"/>
    <w:rsid w:val="0035720E"/>
    <w:rsid w:val="00357262"/>
    <w:rsid w:val="00357B20"/>
    <w:rsid w:val="00357B22"/>
    <w:rsid w:val="00357DD5"/>
    <w:rsid w:val="00357FD5"/>
    <w:rsid w:val="003601BE"/>
    <w:rsid w:val="003601FD"/>
    <w:rsid w:val="0036024F"/>
    <w:rsid w:val="003602FE"/>
    <w:rsid w:val="0036037A"/>
    <w:rsid w:val="003604C6"/>
    <w:rsid w:val="003604F8"/>
    <w:rsid w:val="003605B2"/>
    <w:rsid w:val="003608D6"/>
    <w:rsid w:val="00360A00"/>
    <w:rsid w:val="00360C92"/>
    <w:rsid w:val="00360E8B"/>
    <w:rsid w:val="00360F16"/>
    <w:rsid w:val="0036109C"/>
    <w:rsid w:val="00361181"/>
    <w:rsid w:val="0036123F"/>
    <w:rsid w:val="00361261"/>
    <w:rsid w:val="0036135B"/>
    <w:rsid w:val="00361377"/>
    <w:rsid w:val="003616FD"/>
    <w:rsid w:val="00361936"/>
    <w:rsid w:val="00361AE6"/>
    <w:rsid w:val="00361AF3"/>
    <w:rsid w:val="00361DB7"/>
    <w:rsid w:val="00361F3F"/>
    <w:rsid w:val="00362398"/>
    <w:rsid w:val="0036240F"/>
    <w:rsid w:val="003624F1"/>
    <w:rsid w:val="00362893"/>
    <w:rsid w:val="00362CAA"/>
    <w:rsid w:val="00362E08"/>
    <w:rsid w:val="00362E68"/>
    <w:rsid w:val="00362F93"/>
    <w:rsid w:val="0036300D"/>
    <w:rsid w:val="00363162"/>
    <w:rsid w:val="003632EC"/>
    <w:rsid w:val="0036345E"/>
    <w:rsid w:val="00363567"/>
    <w:rsid w:val="0036374B"/>
    <w:rsid w:val="003638C4"/>
    <w:rsid w:val="003638E1"/>
    <w:rsid w:val="003639F3"/>
    <w:rsid w:val="00363B20"/>
    <w:rsid w:val="00363C34"/>
    <w:rsid w:val="00363CD4"/>
    <w:rsid w:val="00363DEB"/>
    <w:rsid w:val="00363F00"/>
    <w:rsid w:val="00363F3D"/>
    <w:rsid w:val="0036410D"/>
    <w:rsid w:val="00364119"/>
    <w:rsid w:val="003641C6"/>
    <w:rsid w:val="00364263"/>
    <w:rsid w:val="003644E7"/>
    <w:rsid w:val="0036450C"/>
    <w:rsid w:val="003645D9"/>
    <w:rsid w:val="00364642"/>
    <w:rsid w:val="00364677"/>
    <w:rsid w:val="00364B85"/>
    <w:rsid w:val="00364CB3"/>
    <w:rsid w:val="00364FC1"/>
    <w:rsid w:val="003650FB"/>
    <w:rsid w:val="00365250"/>
    <w:rsid w:val="003652C4"/>
    <w:rsid w:val="0036577B"/>
    <w:rsid w:val="00365C93"/>
    <w:rsid w:val="00365CD0"/>
    <w:rsid w:val="00365D68"/>
    <w:rsid w:val="00365F93"/>
    <w:rsid w:val="00366144"/>
    <w:rsid w:val="00366190"/>
    <w:rsid w:val="00366330"/>
    <w:rsid w:val="003663AF"/>
    <w:rsid w:val="003663C4"/>
    <w:rsid w:val="003664D6"/>
    <w:rsid w:val="0036659F"/>
    <w:rsid w:val="00366804"/>
    <w:rsid w:val="0036680E"/>
    <w:rsid w:val="003668C8"/>
    <w:rsid w:val="00366B35"/>
    <w:rsid w:val="00366C70"/>
    <w:rsid w:val="00366E6C"/>
    <w:rsid w:val="00366FA1"/>
    <w:rsid w:val="00367082"/>
    <w:rsid w:val="00367300"/>
    <w:rsid w:val="0036744E"/>
    <w:rsid w:val="00367578"/>
    <w:rsid w:val="0036761A"/>
    <w:rsid w:val="003678F7"/>
    <w:rsid w:val="00367B7A"/>
    <w:rsid w:val="00367BA4"/>
    <w:rsid w:val="00367BD7"/>
    <w:rsid w:val="00367ECD"/>
    <w:rsid w:val="00367ECE"/>
    <w:rsid w:val="00370359"/>
    <w:rsid w:val="00370404"/>
    <w:rsid w:val="00370423"/>
    <w:rsid w:val="00370466"/>
    <w:rsid w:val="0037051E"/>
    <w:rsid w:val="003705E3"/>
    <w:rsid w:val="003707E0"/>
    <w:rsid w:val="00370958"/>
    <w:rsid w:val="00370B19"/>
    <w:rsid w:val="00370D82"/>
    <w:rsid w:val="00370DB9"/>
    <w:rsid w:val="00370FF4"/>
    <w:rsid w:val="003713F4"/>
    <w:rsid w:val="003716BF"/>
    <w:rsid w:val="003716C2"/>
    <w:rsid w:val="00371AB5"/>
    <w:rsid w:val="00371F18"/>
    <w:rsid w:val="00371FAE"/>
    <w:rsid w:val="003720CA"/>
    <w:rsid w:val="003720DC"/>
    <w:rsid w:val="00372225"/>
    <w:rsid w:val="00372606"/>
    <w:rsid w:val="00372891"/>
    <w:rsid w:val="0037289F"/>
    <w:rsid w:val="00372914"/>
    <w:rsid w:val="00372ADE"/>
    <w:rsid w:val="00372B9C"/>
    <w:rsid w:val="00372BE0"/>
    <w:rsid w:val="00373106"/>
    <w:rsid w:val="00373210"/>
    <w:rsid w:val="0037328F"/>
    <w:rsid w:val="0037355D"/>
    <w:rsid w:val="0037394A"/>
    <w:rsid w:val="003739F6"/>
    <w:rsid w:val="00373A62"/>
    <w:rsid w:val="00373D12"/>
    <w:rsid w:val="00373D17"/>
    <w:rsid w:val="00373FEC"/>
    <w:rsid w:val="00374175"/>
    <w:rsid w:val="00374716"/>
    <w:rsid w:val="003747BA"/>
    <w:rsid w:val="00374A21"/>
    <w:rsid w:val="00374A52"/>
    <w:rsid w:val="00374B25"/>
    <w:rsid w:val="00374FD6"/>
    <w:rsid w:val="00375293"/>
    <w:rsid w:val="003752CE"/>
    <w:rsid w:val="003753C5"/>
    <w:rsid w:val="00375555"/>
    <w:rsid w:val="003757AA"/>
    <w:rsid w:val="003758B5"/>
    <w:rsid w:val="0037592E"/>
    <w:rsid w:val="00375D97"/>
    <w:rsid w:val="00375E66"/>
    <w:rsid w:val="00375EC0"/>
    <w:rsid w:val="00376178"/>
    <w:rsid w:val="003761A8"/>
    <w:rsid w:val="003764E3"/>
    <w:rsid w:val="00376905"/>
    <w:rsid w:val="00376983"/>
    <w:rsid w:val="00376B34"/>
    <w:rsid w:val="00376B4E"/>
    <w:rsid w:val="00376CAF"/>
    <w:rsid w:val="00376E83"/>
    <w:rsid w:val="00376EE7"/>
    <w:rsid w:val="003770B2"/>
    <w:rsid w:val="003770C2"/>
    <w:rsid w:val="00377260"/>
    <w:rsid w:val="00377472"/>
    <w:rsid w:val="003774DE"/>
    <w:rsid w:val="0037780D"/>
    <w:rsid w:val="003778DA"/>
    <w:rsid w:val="00377B09"/>
    <w:rsid w:val="00377B92"/>
    <w:rsid w:val="00380007"/>
    <w:rsid w:val="00380335"/>
    <w:rsid w:val="00380574"/>
    <w:rsid w:val="0038058E"/>
    <w:rsid w:val="003805F2"/>
    <w:rsid w:val="003808E8"/>
    <w:rsid w:val="00380B16"/>
    <w:rsid w:val="00380BB3"/>
    <w:rsid w:val="00380E91"/>
    <w:rsid w:val="00381149"/>
    <w:rsid w:val="00381775"/>
    <w:rsid w:val="003817E3"/>
    <w:rsid w:val="003817FD"/>
    <w:rsid w:val="00381913"/>
    <w:rsid w:val="003819C1"/>
    <w:rsid w:val="00381A94"/>
    <w:rsid w:val="00381AC7"/>
    <w:rsid w:val="00381BFC"/>
    <w:rsid w:val="00381C38"/>
    <w:rsid w:val="00381D71"/>
    <w:rsid w:val="00381EDC"/>
    <w:rsid w:val="00381EEC"/>
    <w:rsid w:val="00381F42"/>
    <w:rsid w:val="00381FB9"/>
    <w:rsid w:val="00381FF8"/>
    <w:rsid w:val="003821D2"/>
    <w:rsid w:val="00382240"/>
    <w:rsid w:val="003824C0"/>
    <w:rsid w:val="003826D7"/>
    <w:rsid w:val="003827EA"/>
    <w:rsid w:val="00382C40"/>
    <w:rsid w:val="00382E6E"/>
    <w:rsid w:val="00383280"/>
    <w:rsid w:val="0038329F"/>
    <w:rsid w:val="0038331E"/>
    <w:rsid w:val="0038337D"/>
    <w:rsid w:val="00383442"/>
    <w:rsid w:val="0038359A"/>
    <w:rsid w:val="00383AC3"/>
    <w:rsid w:val="00384545"/>
    <w:rsid w:val="003845C7"/>
    <w:rsid w:val="0038465D"/>
    <w:rsid w:val="0038483A"/>
    <w:rsid w:val="00384A06"/>
    <w:rsid w:val="00384A6E"/>
    <w:rsid w:val="00384AD2"/>
    <w:rsid w:val="00384B29"/>
    <w:rsid w:val="00384D63"/>
    <w:rsid w:val="00384DBD"/>
    <w:rsid w:val="00384F4A"/>
    <w:rsid w:val="00385191"/>
    <w:rsid w:val="00385347"/>
    <w:rsid w:val="0038578C"/>
    <w:rsid w:val="00385A99"/>
    <w:rsid w:val="00385EDE"/>
    <w:rsid w:val="00385F2F"/>
    <w:rsid w:val="00386233"/>
    <w:rsid w:val="0038624E"/>
    <w:rsid w:val="003862D3"/>
    <w:rsid w:val="003862FA"/>
    <w:rsid w:val="0038652B"/>
    <w:rsid w:val="00386552"/>
    <w:rsid w:val="003868AE"/>
    <w:rsid w:val="00386A67"/>
    <w:rsid w:val="00386AD6"/>
    <w:rsid w:val="00386D79"/>
    <w:rsid w:val="00386F1A"/>
    <w:rsid w:val="00387087"/>
    <w:rsid w:val="00387093"/>
    <w:rsid w:val="0038756B"/>
    <w:rsid w:val="003875E8"/>
    <w:rsid w:val="0038766E"/>
    <w:rsid w:val="003877E0"/>
    <w:rsid w:val="003879F6"/>
    <w:rsid w:val="00387A12"/>
    <w:rsid w:val="00387A64"/>
    <w:rsid w:val="00387C88"/>
    <w:rsid w:val="00387D69"/>
    <w:rsid w:val="00387D84"/>
    <w:rsid w:val="0039030B"/>
    <w:rsid w:val="00390497"/>
    <w:rsid w:val="0039053B"/>
    <w:rsid w:val="0039068C"/>
    <w:rsid w:val="003906FD"/>
    <w:rsid w:val="00390753"/>
    <w:rsid w:val="00390983"/>
    <w:rsid w:val="003909B9"/>
    <w:rsid w:val="00390E40"/>
    <w:rsid w:val="00390ED0"/>
    <w:rsid w:val="00390F16"/>
    <w:rsid w:val="00391321"/>
    <w:rsid w:val="00391590"/>
    <w:rsid w:val="0039173C"/>
    <w:rsid w:val="00391868"/>
    <w:rsid w:val="00391C71"/>
    <w:rsid w:val="00391D2A"/>
    <w:rsid w:val="00391D7B"/>
    <w:rsid w:val="00391DAE"/>
    <w:rsid w:val="00391F17"/>
    <w:rsid w:val="00392187"/>
    <w:rsid w:val="003922CE"/>
    <w:rsid w:val="0039268D"/>
    <w:rsid w:val="003927F3"/>
    <w:rsid w:val="00392844"/>
    <w:rsid w:val="003928BE"/>
    <w:rsid w:val="00392B76"/>
    <w:rsid w:val="00392B83"/>
    <w:rsid w:val="00392CD5"/>
    <w:rsid w:val="00392CF4"/>
    <w:rsid w:val="00392DF3"/>
    <w:rsid w:val="00392ECC"/>
    <w:rsid w:val="0039321D"/>
    <w:rsid w:val="00393450"/>
    <w:rsid w:val="00393573"/>
    <w:rsid w:val="00393593"/>
    <w:rsid w:val="003937AC"/>
    <w:rsid w:val="00393907"/>
    <w:rsid w:val="003939F3"/>
    <w:rsid w:val="00393AC2"/>
    <w:rsid w:val="00393BED"/>
    <w:rsid w:val="00393EA2"/>
    <w:rsid w:val="00394716"/>
    <w:rsid w:val="003947A7"/>
    <w:rsid w:val="0039498C"/>
    <w:rsid w:val="00394A28"/>
    <w:rsid w:val="00394E49"/>
    <w:rsid w:val="00394E57"/>
    <w:rsid w:val="00394EBB"/>
    <w:rsid w:val="003950A2"/>
    <w:rsid w:val="00395266"/>
    <w:rsid w:val="0039554B"/>
    <w:rsid w:val="00395949"/>
    <w:rsid w:val="00395A32"/>
    <w:rsid w:val="00395E74"/>
    <w:rsid w:val="00395F79"/>
    <w:rsid w:val="00395FD9"/>
    <w:rsid w:val="003963E9"/>
    <w:rsid w:val="00396861"/>
    <w:rsid w:val="00396987"/>
    <w:rsid w:val="00396DA8"/>
    <w:rsid w:val="00396DE4"/>
    <w:rsid w:val="00396E38"/>
    <w:rsid w:val="00396F43"/>
    <w:rsid w:val="00396FDA"/>
    <w:rsid w:val="003971B6"/>
    <w:rsid w:val="003971E6"/>
    <w:rsid w:val="00397205"/>
    <w:rsid w:val="0039759B"/>
    <w:rsid w:val="00397E02"/>
    <w:rsid w:val="00397FD2"/>
    <w:rsid w:val="003A0236"/>
    <w:rsid w:val="003A02F4"/>
    <w:rsid w:val="003A0410"/>
    <w:rsid w:val="003A0795"/>
    <w:rsid w:val="003A07E0"/>
    <w:rsid w:val="003A08AD"/>
    <w:rsid w:val="003A0BB3"/>
    <w:rsid w:val="003A0BD6"/>
    <w:rsid w:val="003A0DE3"/>
    <w:rsid w:val="003A0F05"/>
    <w:rsid w:val="003A1522"/>
    <w:rsid w:val="003A1770"/>
    <w:rsid w:val="003A17BA"/>
    <w:rsid w:val="003A183D"/>
    <w:rsid w:val="003A18FB"/>
    <w:rsid w:val="003A1930"/>
    <w:rsid w:val="003A1C03"/>
    <w:rsid w:val="003A1CB9"/>
    <w:rsid w:val="003A1F0D"/>
    <w:rsid w:val="003A2099"/>
    <w:rsid w:val="003A227B"/>
    <w:rsid w:val="003A249A"/>
    <w:rsid w:val="003A24EB"/>
    <w:rsid w:val="003A2551"/>
    <w:rsid w:val="003A25A5"/>
    <w:rsid w:val="003A25F2"/>
    <w:rsid w:val="003A2786"/>
    <w:rsid w:val="003A2953"/>
    <w:rsid w:val="003A2AF0"/>
    <w:rsid w:val="003A2CB4"/>
    <w:rsid w:val="003A2D69"/>
    <w:rsid w:val="003A2E2E"/>
    <w:rsid w:val="003A2FE9"/>
    <w:rsid w:val="003A306F"/>
    <w:rsid w:val="003A318F"/>
    <w:rsid w:val="003A3480"/>
    <w:rsid w:val="003A3656"/>
    <w:rsid w:val="003A36B5"/>
    <w:rsid w:val="003A36F4"/>
    <w:rsid w:val="003A3769"/>
    <w:rsid w:val="003A3817"/>
    <w:rsid w:val="003A3A9B"/>
    <w:rsid w:val="003A3D12"/>
    <w:rsid w:val="003A3E32"/>
    <w:rsid w:val="003A3F86"/>
    <w:rsid w:val="003A4076"/>
    <w:rsid w:val="003A4290"/>
    <w:rsid w:val="003A43EB"/>
    <w:rsid w:val="003A4427"/>
    <w:rsid w:val="003A44D1"/>
    <w:rsid w:val="003A47E2"/>
    <w:rsid w:val="003A4800"/>
    <w:rsid w:val="003A4D64"/>
    <w:rsid w:val="003A4E98"/>
    <w:rsid w:val="003A5018"/>
    <w:rsid w:val="003A51C1"/>
    <w:rsid w:val="003A52B8"/>
    <w:rsid w:val="003A5432"/>
    <w:rsid w:val="003A5721"/>
    <w:rsid w:val="003A5977"/>
    <w:rsid w:val="003A59E9"/>
    <w:rsid w:val="003A5BD4"/>
    <w:rsid w:val="003A64BE"/>
    <w:rsid w:val="003A6574"/>
    <w:rsid w:val="003A6583"/>
    <w:rsid w:val="003A66F4"/>
    <w:rsid w:val="003A6837"/>
    <w:rsid w:val="003A6932"/>
    <w:rsid w:val="003A6C2A"/>
    <w:rsid w:val="003A6CD6"/>
    <w:rsid w:val="003A6CF5"/>
    <w:rsid w:val="003A6E33"/>
    <w:rsid w:val="003A6E7E"/>
    <w:rsid w:val="003A6EAD"/>
    <w:rsid w:val="003A700A"/>
    <w:rsid w:val="003A712D"/>
    <w:rsid w:val="003A71D5"/>
    <w:rsid w:val="003A747E"/>
    <w:rsid w:val="003A764C"/>
    <w:rsid w:val="003A779F"/>
    <w:rsid w:val="003A77A0"/>
    <w:rsid w:val="003A77A3"/>
    <w:rsid w:val="003A7C9A"/>
    <w:rsid w:val="003A7CC8"/>
    <w:rsid w:val="003A7E7B"/>
    <w:rsid w:val="003B0206"/>
    <w:rsid w:val="003B0925"/>
    <w:rsid w:val="003B0928"/>
    <w:rsid w:val="003B09A4"/>
    <w:rsid w:val="003B0A05"/>
    <w:rsid w:val="003B0A20"/>
    <w:rsid w:val="003B0A5D"/>
    <w:rsid w:val="003B0B02"/>
    <w:rsid w:val="003B0B2F"/>
    <w:rsid w:val="003B0BA4"/>
    <w:rsid w:val="003B0D72"/>
    <w:rsid w:val="003B0DAF"/>
    <w:rsid w:val="003B0FC3"/>
    <w:rsid w:val="003B0FDA"/>
    <w:rsid w:val="003B10D0"/>
    <w:rsid w:val="003B10DC"/>
    <w:rsid w:val="003B110B"/>
    <w:rsid w:val="003B1186"/>
    <w:rsid w:val="003B124D"/>
    <w:rsid w:val="003B145C"/>
    <w:rsid w:val="003B146B"/>
    <w:rsid w:val="003B14FD"/>
    <w:rsid w:val="003B1523"/>
    <w:rsid w:val="003B1846"/>
    <w:rsid w:val="003B1B72"/>
    <w:rsid w:val="003B1C23"/>
    <w:rsid w:val="003B1C7E"/>
    <w:rsid w:val="003B1DFC"/>
    <w:rsid w:val="003B1EA6"/>
    <w:rsid w:val="003B1EFB"/>
    <w:rsid w:val="003B2178"/>
    <w:rsid w:val="003B2538"/>
    <w:rsid w:val="003B266B"/>
    <w:rsid w:val="003B2AFB"/>
    <w:rsid w:val="003B2B40"/>
    <w:rsid w:val="003B2D44"/>
    <w:rsid w:val="003B2F32"/>
    <w:rsid w:val="003B3030"/>
    <w:rsid w:val="003B304C"/>
    <w:rsid w:val="003B30FB"/>
    <w:rsid w:val="003B3228"/>
    <w:rsid w:val="003B3237"/>
    <w:rsid w:val="003B3260"/>
    <w:rsid w:val="003B3291"/>
    <w:rsid w:val="003B3446"/>
    <w:rsid w:val="003B3595"/>
    <w:rsid w:val="003B3635"/>
    <w:rsid w:val="003B370B"/>
    <w:rsid w:val="003B372E"/>
    <w:rsid w:val="003B397E"/>
    <w:rsid w:val="003B3B3F"/>
    <w:rsid w:val="003B4154"/>
    <w:rsid w:val="003B4193"/>
    <w:rsid w:val="003B41EA"/>
    <w:rsid w:val="003B45A2"/>
    <w:rsid w:val="003B4667"/>
    <w:rsid w:val="003B46B5"/>
    <w:rsid w:val="003B472B"/>
    <w:rsid w:val="003B4797"/>
    <w:rsid w:val="003B4AA4"/>
    <w:rsid w:val="003B4AFA"/>
    <w:rsid w:val="003B4BE7"/>
    <w:rsid w:val="003B4D55"/>
    <w:rsid w:val="003B4D57"/>
    <w:rsid w:val="003B4F0E"/>
    <w:rsid w:val="003B51FF"/>
    <w:rsid w:val="003B53F9"/>
    <w:rsid w:val="003B5536"/>
    <w:rsid w:val="003B564C"/>
    <w:rsid w:val="003B56CB"/>
    <w:rsid w:val="003B58F9"/>
    <w:rsid w:val="003B59CB"/>
    <w:rsid w:val="003B5A54"/>
    <w:rsid w:val="003B5D07"/>
    <w:rsid w:val="003B6060"/>
    <w:rsid w:val="003B607F"/>
    <w:rsid w:val="003B6217"/>
    <w:rsid w:val="003B6233"/>
    <w:rsid w:val="003B6352"/>
    <w:rsid w:val="003B645F"/>
    <w:rsid w:val="003B665B"/>
    <w:rsid w:val="003B66F8"/>
    <w:rsid w:val="003B6985"/>
    <w:rsid w:val="003B6CA5"/>
    <w:rsid w:val="003B6DBC"/>
    <w:rsid w:val="003B6E28"/>
    <w:rsid w:val="003B7345"/>
    <w:rsid w:val="003B74DE"/>
    <w:rsid w:val="003B7519"/>
    <w:rsid w:val="003B7793"/>
    <w:rsid w:val="003B79F0"/>
    <w:rsid w:val="003B7B06"/>
    <w:rsid w:val="003B7B25"/>
    <w:rsid w:val="003B7B31"/>
    <w:rsid w:val="003B7B6B"/>
    <w:rsid w:val="003B7CD6"/>
    <w:rsid w:val="003B7D51"/>
    <w:rsid w:val="003B7F20"/>
    <w:rsid w:val="003C01EA"/>
    <w:rsid w:val="003C048A"/>
    <w:rsid w:val="003C0738"/>
    <w:rsid w:val="003C07A0"/>
    <w:rsid w:val="003C07A9"/>
    <w:rsid w:val="003C07B4"/>
    <w:rsid w:val="003C0851"/>
    <w:rsid w:val="003C09AF"/>
    <w:rsid w:val="003C0ADC"/>
    <w:rsid w:val="003C0F56"/>
    <w:rsid w:val="003C0FFF"/>
    <w:rsid w:val="003C11A0"/>
    <w:rsid w:val="003C12F6"/>
    <w:rsid w:val="003C146F"/>
    <w:rsid w:val="003C14C4"/>
    <w:rsid w:val="003C1504"/>
    <w:rsid w:val="003C1566"/>
    <w:rsid w:val="003C19E2"/>
    <w:rsid w:val="003C1C79"/>
    <w:rsid w:val="003C1E5E"/>
    <w:rsid w:val="003C1EB7"/>
    <w:rsid w:val="003C1FDE"/>
    <w:rsid w:val="003C20B0"/>
    <w:rsid w:val="003C215D"/>
    <w:rsid w:val="003C21F4"/>
    <w:rsid w:val="003C22FC"/>
    <w:rsid w:val="003C2334"/>
    <w:rsid w:val="003C246E"/>
    <w:rsid w:val="003C2528"/>
    <w:rsid w:val="003C25EE"/>
    <w:rsid w:val="003C27C6"/>
    <w:rsid w:val="003C29EE"/>
    <w:rsid w:val="003C2A0A"/>
    <w:rsid w:val="003C2AF8"/>
    <w:rsid w:val="003C2BFC"/>
    <w:rsid w:val="003C2E9E"/>
    <w:rsid w:val="003C2F65"/>
    <w:rsid w:val="003C306A"/>
    <w:rsid w:val="003C31FA"/>
    <w:rsid w:val="003C3246"/>
    <w:rsid w:val="003C3282"/>
    <w:rsid w:val="003C3331"/>
    <w:rsid w:val="003C36CC"/>
    <w:rsid w:val="003C39E1"/>
    <w:rsid w:val="003C3A5A"/>
    <w:rsid w:val="003C3D08"/>
    <w:rsid w:val="003C3F2E"/>
    <w:rsid w:val="003C4109"/>
    <w:rsid w:val="003C419F"/>
    <w:rsid w:val="003C4AD1"/>
    <w:rsid w:val="003C4B78"/>
    <w:rsid w:val="003C4CDA"/>
    <w:rsid w:val="003C4E12"/>
    <w:rsid w:val="003C4E1F"/>
    <w:rsid w:val="003C4E3A"/>
    <w:rsid w:val="003C5068"/>
    <w:rsid w:val="003C5140"/>
    <w:rsid w:val="003C54E5"/>
    <w:rsid w:val="003C5583"/>
    <w:rsid w:val="003C55DE"/>
    <w:rsid w:val="003C57CB"/>
    <w:rsid w:val="003C5D9C"/>
    <w:rsid w:val="003C611E"/>
    <w:rsid w:val="003C6188"/>
    <w:rsid w:val="003C6364"/>
    <w:rsid w:val="003C640E"/>
    <w:rsid w:val="003C65A9"/>
    <w:rsid w:val="003C6658"/>
    <w:rsid w:val="003C6A3A"/>
    <w:rsid w:val="003C6C91"/>
    <w:rsid w:val="003C6CAD"/>
    <w:rsid w:val="003C6D12"/>
    <w:rsid w:val="003C6D58"/>
    <w:rsid w:val="003C7390"/>
    <w:rsid w:val="003C76A6"/>
    <w:rsid w:val="003C77D0"/>
    <w:rsid w:val="003C78E8"/>
    <w:rsid w:val="003C7A17"/>
    <w:rsid w:val="003C7A1C"/>
    <w:rsid w:val="003C7A79"/>
    <w:rsid w:val="003C7BA7"/>
    <w:rsid w:val="003C7DD7"/>
    <w:rsid w:val="003C7FAD"/>
    <w:rsid w:val="003D02B9"/>
    <w:rsid w:val="003D0414"/>
    <w:rsid w:val="003D0B79"/>
    <w:rsid w:val="003D0EB9"/>
    <w:rsid w:val="003D10E5"/>
    <w:rsid w:val="003D11E1"/>
    <w:rsid w:val="003D1330"/>
    <w:rsid w:val="003D146B"/>
    <w:rsid w:val="003D149B"/>
    <w:rsid w:val="003D15C0"/>
    <w:rsid w:val="003D15E1"/>
    <w:rsid w:val="003D165A"/>
    <w:rsid w:val="003D17D0"/>
    <w:rsid w:val="003D198D"/>
    <w:rsid w:val="003D1C7A"/>
    <w:rsid w:val="003D1EB1"/>
    <w:rsid w:val="003D22DC"/>
    <w:rsid w:val="003D2357"/>
    <w:rsid w:val="003D24FD"/>
    <w:rsid w:val="003D25A8"/>
    <w:rsid w:val="003D25AF"/>
    <w:rsid w:val="003D2618"/>
    <w:rsid w:val="003D2A55"/>
    <w:rsid w:val="003D2A61"/>
    <w:rsid w:val="003D2C4B"/>
    <w:rsid w:val="003D2DA6"/>
    <w:rsid w:val="003D2F15"/>
    <w:rsid w:val="003D2FA5"/>
    <w:rsid w:val="003D2FC3"/>
    <w:rsid w:val="003D30B6"/>
    <w:rsid w:val="003D31A7"/>
    <w:rsid w:val="003D3309"/>
    <w:rsid w:val="003D358F"/>
    <w:rsid w:val="003D3689"/>
    <w:rsid w:val="003D3722"/>
    <w:rsid w:val="003D3EC9"/>
    <w:rsid w:val="003D4160"/>
    <w:rsid w:val="003D4200"/>
    <w:rsid w:val="003D43AF"/>
    <w:rsid w:val="003D469C"/>
    <w:rsid w:val="003D47D2"/>
    <w:rsid w:val="003D4EDC"/>
    <w:rsid w:val="003D4FF5"/>
    <w:rsid w:val="003D534C"/>
    <w:rsid w:val="003D5404"/>
    <w:rsid w:val="003D54C8"/>
    <w:rsid w:val="003D5B31"/>
    <w:rsid w:val="003D5B39"/>
    <w:rsid w:val="003D5C0D"/>
    <w:rsid w:val="003D5C6D"/>
    <w:rsid w:val="003D5DDC"/>
    <w:rsid w:val="003D60B9"/>
    <w:rsid w:val="003D6222"/>
    <w:rsid w:val="003D62C0"/>
    <w:rsid w:val="003D631C"/>
    <w:rsid w:val="003D6329"/>
    <w:rsid w:val="003D6764"/>
    <w:rsid w:val="003D693D"/>
    <w:rsid w:val="003D6992"/>
    <w:rsid w:val="003D69E5"/>
    <w:rsid w:val="003D6A1C"/>
    <w:rsid w:val="003D6AE1"/>
    <w:rsid w:val="003D6F59"/>
    <w:rsid w:val="003D700B"/>
    <w:rsid w:val="003D712F"/>
    <w:rsid w:val="003D78B4"/>
    <w:rsid w:val="003D7E30"/>
    <w:rsid w:val="003E0592"/>
    <w:rsid w:val="003E0887"/>
    <w:rsid w:val="003E0A8D"/>
    <w:rsid w:val="003E0BD5"/>
    <w:rsid w:val="003E0C30"/>
    <w:rsid w:val="003E0CCE"/>
    <w:rsid w:val="003E10AC"/>
    <w:rsid w:val="003E114A"/>
    <w:rsid w:val="003E123B"/>
    <w:rsid w:val="003E1520"/>
    <w:rsid w:val="003E163D"/>
    <w:rsid w:val="003E190E"/>
    <w:rsid w:val="003E1A08"/>
    <w:rsid w:val="003E1A4F"/>
    <w:rsid w:val="003E1A60"/>
    <w:rsid w:val="003E1F64"/>
    <w:rsid w:val="003E1FA2"/>
    <w:rsid w:val="003E2BF5"/>
    <w:rsid w:val="003E2C0A"/>
    <w:rsid w:val="003E2D00"/>
    <w:rsid w:val="003E2E59"/>
    <w:rsid w:val="003E31D5"/>
    <w:rsid w:val="003E329B"/>
    <w:rsid w:val="003E335E"/>
    <w:rsid w:val="003E3404"/>
    <w:rsid w:val="003E3732"/>
    <w:rsid w:val="003E391D"/>
    <w:rsid w:val="003E3ACF"/>
    <w:rsid w:val="003E3BDA"/>
    <w:rsid w:val="003E40B7"/>
    <w:rsid w:val="003E4442"/>
    <w:rsid w:val="003E453B"/>
    <w:rsid w:val="003E455F"/>
    <w:rsid w:val="003E45A0"/>
    <w:rsid w:val="003E4610"/>
    <w:rsid w:val="003E46AB"/>
    <w:rsid w:val="003E473F"/>
    <w:rsid w:val="003E47B3"/>
    <w:rsid w:val="003E4BBB"/>
    <w:rsid w:val="003E4D3F"/>
    <w:rsid w:val="003E4E1C"/>
    <w:rsid w:val="003E4E7F"/>
    <w:rsid w:val="003E4E9A"/>
    <w:rsid w:val="003E4FA9"/>
    <w:rsid w:val="003E52B0"/>
    <w:rsid w:val="003E5471"/>
    <w:rsid w:val="003E552E"/>
    <w:rsid w:val="003E56F5"/>
    <w:rsid w:val="003E57D6"/>
    <w:rsid w:val="003E58C4"/>
    <w:rsid w:val="003E59A0"/>
    <w:rsid w:val="003E5B45"/>
    <w:rsid w:val="003E5CB5"/>
    <w:rsid w:val="003E5D81"/>
    <w:rsid w:val="003E60CA"/>
    <w:rsid w:val="003E628C"/>
    <w:rsid w:val="003E65CB"/>
    <w:rsid w:val="003E6AB7"/>
    <w:rsid w:val="003E6C44"/>
    <w:rsid w:val="003E6C98"/>
    <w:rsid w:val="003E6DCA"/>
    <w:rsid w:val="003E6F9E"/>
    <w:rsid w:val="003E6FCC"/>
    <w:rsid w:val="003E721E"/>
    <w:rsid w:val="003E7241"/>
    <w:rsid w:val="003E76EE"/>
    <w:rsid w:val="003E7782"/>
    <w:rsid w:val="003E7810"/>
    <w:rsid w:val="003E78E5"/>
    <w:rsid w:val="003E7970"/>
    <w:rsid w:val="003E7BE8"/>
    <w:rsid w:val="003E7E0E"/>
    <w:rsid w:val="003E7E65"/>
    <w:rsid w:val="003E7F0B"/>
    <w:rsid w:val="003F0477"/>
    <w:rsid w:val="003F047B"/>
    <w:rsid w:val="003F049A"/>
    <w:rsid w:val="003F09F0"/>
    <w:rsid w:val="003F0B21"/>
    <w:rsid w:val="003F0CF4"/>
    <w:rsid w:val="003F0DF8"/>
    <w:rsid w:val="003F10E4"/>
    <w:rsid w:val="003F133D"/>
    <w:rsid w:val="003F1797"/>
    <w:rsid w:val="003F1869"/>
    <w:rsid w:val="003F1BB9"/>
    <w:rsid w:val="003F1BE4"/>
    <w:rsid w:val="003F1EA0"/>
    <w:rsid w:val="003F1F8F"/>
    <w:rsid w:val="003F1FF2"/>
    <w:rsid w:val="003F237E"/>
    <w:rsid w:val="003F2423"/>
    <w:rsid w:val="003F2570"/>
    <w:rsid w:val="003F261D"/>
    <w:rsid w:val="003F2678"/>
    <w:rsid w:val="003F2697"/>
    <w:rsid w:val="003F285E"/>
    <w:rsid w:val="003F292F"/>
    <w:rsid w:val="003F29E8"/>
    <w:rsid w:val="003F2B83"/>
    <w:rsid w:val="003F2C13"/>
    <w:rsid w:val="003F2CF6"/>
    <w:rsid w:val="003F2D54"/>
    <w:rsid w:val="003F2D5F"/>
    <w:rsid w:val="003F2F28"/>
    <w:rsid w:val="003F2F3C"/>
    <w:rsid w:val="003F2F7E"/>
    <w:rsid w:val="003F30D4"/>
    <w:rsid w:val="003F321E"/>
    <w:rsid w:val="003F33E4"/>
    <w:rsid w:val="003F353D"/>
    <w:rsid w:val="003F35D2"/>
    <w:rsid w:val="003F39D3"/>
    <w:rsid w:val="003F3AD0"/>
    <w:rsid w:val="003F3B62"/>
    <w:rsid w:val="003F3BCE"/>
    <w:rsid w:val="003F3BD8"/>
    <w:rsid w:val="003F3C21"/>
    <w:rsid w:val="003F3ED2"/>
    <w:rsid w:val="003F407E"/>
    <w:rsid w:val="003F42D3"/>
    <w:rsid w:val="003F4303"/>
    <w:rsid w:val="003F435E"/>
    <w:rsid w:val="003F4478"/>
    <w:rsid w:val="003F4741"/>
    <w:rsid w:val="003F4881"/>
    <w:rsid w:val="003F49D1"/>
    <w:rsid w:val="003F4A6D"/>
    <w:rsid w:val="003F4E69"/>
    <w:rsid w:val="003F4ECA"/>
    <w:rsid w:val="003F4F4E"/>
    <w:rsid w:val="003F4F5C"/>
    <w:rsid w:val="003F5439"/>
    <w:rsid w:val="003F559C"/>
    <w:rsid w:val="003F58D8"/>
    <w:rsid w:val="003F59CB"/>
    <w:rsid w:val="003F5B8C"/>
    <w:rsid w:val="003F5C57"/>
    <w:rsid w:val="003F604D"/>
    <w:rsid w:val="003F6058"/>
    <w:rsid w:val="003F606F"/>
    <w:rsid w:val="003F6132"/>
    <w:rsid w:val="003F6173"/>
    <w:rsid w:val="003F6622"/>
    <w:rsid w:val="003F6A27"/>
    <w:rsid w:val="003F6B77"/>
    <w:rsid w:val="003F6C67"/>
    <w:rsid w:val="003F6CAB"/>
    <w:rsid w:val="003F6DC0"/>
    <w:rsid w:val="003F6FAF"/>
    <w:rsid w:val="003F7012"/>
    <w:rsid w:val="003F7430"/>
    <w:rsid w:val="003F74E6"/>
    <w:rsid w:val="003F7550"/>
    <w:rsid w:val="003F789E"/>
    <w:rsid w:val="003F7C69"/>
    <w:rsid w:val="003F7F03"/>
    <w:rsid w:val="003F7F86"/>
    <w:rsid w:val="00400243"/>
    <w:rsid w:val="004003EF"/>
    <w:rsid w:val="00400461"/>
    <w:rsid w:val="004005A6"/>
    <w:rsid w:val="004006C1"/>
    <w:rsid w:val="004008D3"/>
    <w:rsid w:val="00400AFA"/>
    <w:rsid w:val="00400DE3"/>
    <w:rsid w:val="00400FAC"/>
    <w:rsid w:val="0040108F"/>
    <w:rsid w:val="004010E3"/>
    <w:rsid w:val="00401497"/>
    <w:rsid w:val="004017B9"/>
    <w:rsid w:val="004017E7"/>
    <w:rsid w:val="0040186D"/>
    <w:rsid w:val="004018C3"/>
    <w:rsid w:val="00401AD8"/>
    <w:rsid w:val="00401B59"/>
    <w:rsid w:val="00401C44"/>
    <w:rsid w:val="00401F04"/>
    <w:rsid w:val="00401F5A"/>
    <w:rsid w:val="00401F5B"/>
    <w:rsid w:val="00401F73"/>
    <w:rsid w:val="00401FFE"/>
    <w:rsid w:val="004020DB"/>
    <w:rsid w:val="004021DD"/>
    <w:rsid w:val="004021E0"/>
    <w:rsid w:val="00402597"/>
    <w:rsid w:val="004025EC"/>
    <w:rsid w:val="00402734"/>
    <w:rsid w:val="0040282C"/>
    <w:rsid w:val="00402A3D"/>
    <w:rsid w:val="00402B55"/>
    <w:rsid w:val="00402BE6"/>
    <w:rsid w:val="00402EE5"/>
    <w:rsid w:val="00403019"/>
    <w:rsid w:val="00403190"/>
    <w:rsid w:val="00403207"/>
    <w:rsid w:val="004032A9"/>
    <w:rsid w:val="004032EE"/>
    <w:rsid w:val="00403335"/>
    <w:rsid w:val="0040376A"/>
    <w:rsid w:val="0040409D"/>
    <w:rsid w:val="00404205"/>
    <w:rsid w:val="004044B6"/>
    <w:rsid w:val="0040456A"/>
    <w:rsid w:val="004048FD"/>
    <w:rsid w:val="00404B24"/>
    <w:rsid w:val="00404BD4"/>
    <w:rsid w:val="00404CBE"/>
    <w:rsid w:val="00404CC1"/>
    <w:rsid w:val="00404E6C"/>
    <w:rsid w:val="00404ED8"/>
    <w:rsid w:val="00405076"/>
    <w:rsid w:val="00405094"/>
    <w:rsid w:val="00405232"/>
    <w:rsid w:val="0040532A"/>
    <w:rsid w:val="00405372"/>
    <w:rsid w:val="0040559B"/>
    <w:rsid w:val="004055AE"/>
    <w:rsid w:val="0040568B"/>
    <w:rsid w:val="00405CC2"/>
    <w:rsid w:val="00405E51"/>
    <w:rsid w:val="0040601C"/>
    <w:rsid w:val="0040617A"/>
    <w:rsid w:val="004061F0"/>
    <w:rsid w:val="00406494"/>
    <w:rsid w:val="004064CE"/>
    <w:rsid w:val="00406A85"/>
    <w:rsid w:val="00406AEA"/>
    <w:rsid w:val="00406B0F"/>
    <w:rsid w:val="00406B6B"/>
    <w:rsid w:val="00406E9A"/>
    <w:rsid w:val="00406F61"/>
    <w:rsid w:val="0040703C"/>
    <w:rsid w:val="0040708B"/>
    <w:rsid w:val="0040729F"/>
    <w:rsid w:val="0040765C"/>
    <w:rsid w:val="004076BB"/>
    <w:rsid w:val="00407701"/>
    <w:rsid w:val="004079A1"/>
    <w:rsid w:val="00407A76"/>
    <w:rsid w:val="00407ACD"/>
    <w:rsid w:val="00407B51"/>
    <w:rsid w:val="00407D42"/>
    <w:rsid w:val="00407E87"/>
    <w:rsid w:val="004100E9"/>
    <w:rsid w:val="0041013C"/>
    <w:rsid w:val="004104FB"/>
    <w:rsid w:val="0041063C"/>
    <w:rsid w:val="00410645"/>
    <w:rsid w:val="0041074D"/>
    <w:rsid w:val="00410A60"/>
    <w:rsid w:val="00410CAE"/>
    <w:rsid w:val="00410E39"/>
    <w:rsid w:val="00410FF7"/>
    <w:rsid w:val="00411238"/>
    <w:rsid w:val="004113F6"/>
    <w:rsid w:val="004116E1"/>
    <w:rsid w:val="00411CD7"/>
    <w:rsid w:val="00411CDF"/>
    <w:rsid w:val="00411DC4"/>
    <w:rsid w:val="00412270"/>
    <w:rsid w:val="00412280"/>
    <w:rsid w:val="0041288F"/>
    <w:rsid w:val="004129D8"/>
    <w:rsid w:val="00412BDD"/>
    <w:rsid w:val="00412C03"/>
    <w:rsid w:val="00412F82"/>
    <w:rsid w:val="00412FD4"/>
    <w:rsid w:val="004130F4"/>
    <w:rsid w:val="00413363"/>
    <w:rsid w:val="004135F6"/>
    <w:rsid w:val="0041369B"/>
    <w:rsid w:val="00413965"/>
    <w:rsid w:val="00413A1E"/>
    <w:rsid w:val="00413A57"/>
    <w:rsid w:val="00413B88"/>
    <w:rsid w:val="00413B89"/>
    <w:rsid w:val="00413BCD"/>
    <w:rsid w:val="00413EF9"/>
    <w:rsid w:val="004140A7"/>
    <w:rsid w:val="00414E42"/>
    <w:rsid w:val="00414E89"/>
    <w:rsid w:val="00414EF8"/>
    <w:rsid w:val="00414F96"/>
    <w:rsid w:val="00414FFC"/>
    <w:rsid w:val="004151A0"/>
    <w:rsid w:val="004151D4"/>
    <w:rsid w:val="00415224"/>
    <w:rsid w:val="00415443"/>
    <w:rsid w:val="00415454"/>
    <w:rsid w:val="0041563F"/>
    <w:rsid w:val="004157D9"/>
    <w:rsid w:val="004158DB"/>
    <w:rsid w:val="00415929"/>
    <w:rsid w:val="004159D5"/>
    <w:rsid w:val="00415C49"/>
    <w:rsid w:val="00416131"/>
    <w:rsid w:val="00416162"/>
    <w:rsid w:val="00416593"/>
    <w:rsid w:val="004168C4"/>
    <w:rsid w:val="004168CE"/>
    <w:rsid w:val="00416B51"/>
    <w:rsid w:val="00417504"/>
    <w:rsid w:val="0041752A"/>
    <w:rsid w:val="004175A3"/>
    <w:rsid w:val="00417829"/>
    <w:rsid w:val="00417F5C"/>
    <w:rsid w:val="00420743"/>
    <w:rsid w:val="00420A1C"/>
    <w:rsid w:val="00420A32"/>
    <w:rsid w:val="00420BA9"/>
    <w:rsid w:val="00420BEC"/>
    <w:rsid w:val="00420C4C"/>
    <w:rsid w:val="00420D2A"/>
    <w:rsid w:val="00420F6F"/>
    <w:rsid w:val="00421179"/>
    <w:rsid w:val="00421205"/>
    <w:rsid w:val="004214B9"/>
    <w:rsid w:val="004216D0"/>
    <w:rsid w:val="00421709"/>
    <w:rsid w:val="004218DA"/>
    <w:rsid w:val="00421A77"/>
    <w:rsid w:val="00421A89"/>
    <w:rsid w:val="00421ABB"/>
    <w:rsid w:val="00421E96"/>
    <w:rsid w:val="00422137"/>
    <w:rsid w:val="00422214"/>
    <w:rsid w:val="00422263"/>
    <w:rsid w:val="004224AE"/>
    <w:rsid w:val="0042253A"/>
    <w:rsid w:val="00422927"/>
    <w:rsid w:val="00422973"/>
    <w:rsid w:val="00422C23"/>
    <w:rsid w:val="00422C6F"/>
    <w:rsid w:val="00422EF8"/>
    <w:rsid w:val="00422FEC"/>
    <w:rsid w:val="004230F6"/>
    <w:rsid w:val="00423290"/>
    <w:rsid w:val="004233D5"/>
    <w:rsid w:val="004234E0"/>
    <w:rsid w:val="004235AF"/>
    <w:rsid w:val="0042369B"/>
    <w:rsid w:val="004238EE"/>
    <w:rsid w:val="00423D23"/>
    <w:rsid w:val="00423DA3"/>
    <w:rsid w:val="00423E07"/>
    <w:rsid w:val="00423E2F"/>
    <w:rsid w:val="00423EC1"/>
    <w:rsid w:val="00423EF9"/>
    <w:rsid w:val="00423F14"/>
    <w:rsid w:val="00423F5C"/>
    <w:rsid w:val="004241C6"/>
    <w:rsid w:val="004242F5"/>
    <w:rsid w:val="00424524"/>
    <w:rsid w:val="0042472C"/>
    <w:rsid w:val="0042472D"/>
    <w:rsid w:val="00424C82"/>
    <w:rsid w:val="00424E3F"/>
    <w:rsid w:val="00424E50"/>
    <w:rsid w:val="00425060"/>
    <w:rsid w:val="004251E6"/>
    <w:rsid w:val="004254B4"/>
    <w:rsid w:val="00425573"/>
    <w:rsid w:val="004255B6"/>
    <w:rsid w:val="004255D5"/>
    <w:rsid w:val="00425618"/>
    <w:rsid w:val="00425A56"/>
    <w:rsid w:val="00425C4C"/>
    <w:rsid w:val="0042636A"/>
    <w:rsid w:val="00426682"/>
    <w:rsid w:val="00426972"/>
    <w:rsid w:val="00426AF3"/>
    <w:rsid w:val="00426E23"/>
    <w:rsid w:val="00426E48"/>
    <w:rsid w:val="0042722D"/>
    <w:rsid w:val="004276A1"/>
    <w:rsid w:val="004277EA"/>
    <w:rsid w:val="00427B40"/>
    <w:rsid w:val="00427C55"/>
    <w:rsid w:val="00427E03"/>
    <w:rsid w:val="0043029A"/>
    <w:rsid w:val="0043066E"/>
    <w:rsid w:val="0043095F"/>
    <w:rsid w:val="00430D04"/>
    <w:rsid w:val="00430E88"/>
    <w:rsid w:val="00430EB6"/>
    <w:rsid w:val="00431048"/>
    <w:rsid w:val="004312BC"/>
    <w:rsid w:val="004316DF"/>
    <w:rsid w:val="004316E9"/>
    <w:rsid w:val="00431855"/>
    <w:rsid w:val="00431974"/>
    <w:rsid w:val="004319D9"/>
    <w:rsid w:val="004319F9"/>
    <w:rsid w:val="00431AE1"/>
    <w:rsid w:val="00431BDE"/>
    <w:rsid w:val="00431DC7"/>
    <w:rsid w:val="00431EEC"/>
    <w:rsid w:val="00431FB5"/>
    <w:rsid w:val="00432059"/>
    <w:rsid w:val="00432502"/>
    <w:rsid w:val="0043261D"/>
    <w:rsid w:val="004328BF"/>
    <w:rsid w:val="004329D1"/>
    <w:rsid w:val="00432B30"/>
    <w:rsid w:val="00432C13"/>
    <w:rsid w:val="00432EB6"/>
    <w:rsid w:val="00432F63"/>
    <w:rsid w:val="00433136"/>
    <w:rsid w:val="004333BA"/>
    <w:rsid w:val="0043379D"/>
    <w:rsid w:val="00433C8D"/>
    <w:rsid w:val="00433CFD"/>
    <w:rsid w:val="00433F16"/>
    <w:rsid w:val="0043415A"/>
    <w:rsid w:val="00434224"/>
    <w:rsid w:val="0043432E"/>
    <w:rsid w:val="00434399"/>
    <w:rsid w:val="00434709"/>
    <w:rsid w:val="00434CDF"/>
    <w:rsid w:val="00434D3A"/>
    <w:rsid w:val="00434F10"/>
    <w:rsid w:val="00435171"/>
    <w:rsid w:val="004351FD"/>
    <w:rsid w:val="004355BA"/>
    <w:rsid w:val="00435A3E"/>
    <w:rsid w:val="00435AE4"/>
    <w:rsid w:val="00435C45"/>
    <w:rsid w:val="00435C64"/>
    <w:rsid w:val="00435D73"/>
    <w:rsid w:val="00435E9A"/>
    <w:rsid w:val="004360EA"/>
    <w:rsid w:val="0043611D"/>
    <w:rsid w:val="0043626A"/>
    <w:rsid w:val="004362FE"/>
    <w:rsid w:val="00436354"/>
    <w:rsid w:val="004364F9"/>
    <w:rsid w:val="00436598"/>
    <w:rsid w:val="004365BE"/>
    <w:rsid w:val="004365F1"/>
    <w:rsid w:val="004366B5"/>
    <w:rsid w:val="004367B3"/>
    <w:rsid w:val="00436A28"/>
    <w:rsid w:val="00436B0E"/>
    <w:rsid w:val="00436F3C"/>
    <w:rsid w:val="00436F43"/>
    <w:rsid w:val="00436FAA"/>
    <w:rsid w:val="00436FBD"/>
    <w:rsid w:val="00437027"/>
    <w:rsid w:val="004372CD"/>
    <w:rsid w:val="00437445"/>
    <w:rsid w:val="00437797"/>
    <w:rsid w:val="00437838"/>
    <w:rsid w:val="004379DD"/>
    <w:rsid w:val="00437A11"/>
    <w:rsid w:val="00437AEA"/>
    <w:rsid w:val="00437F91"/>
    <w:rsid w:val="0044029D"/>
    <w:rsid w:val="00440311"/>
    <w:rsid w:val="004403C7"/>
    <w:rsid w:val="00440590"/>
    <w:rsid w:val="004405A7"/>
    <w:rsid w:val="00440D73"/>
    <w:rsid w:val="004417E4"/>
    <w:rsid w:val="00441937"/>
    <w:rsid w:val="0044198B"/>
    <w:rsid w:val="004419C6"/>
    <w:rsid w:val="00441A1F"/>
    <w:rsid w:val="00441BC9"/>
    <w:rsid w:val="00441D78"/>
    <w:rsid w:val="00441E86"/>
    <w:rsid w:val="0044216E"/>
    <w:rsid w:val="004421A3"/>
    <w:rsid w:val="00442242"/>
    <w:rsid w:val="0044238F"/>
    <w:rsid w:val="004423B6"/>
    <w:rsid w:val="004423F0"/>
    <w:rsid w:val="00442590"/>
    <w:rsid w:val="00442620"/>
    <w:rsid w:val="0044263E"/>
    <w:rsid w:val="004428FF"/>
    <w:rsid w:val="00442A48"/>
    <w:rsid w:val="00442B0C"/>
    <w:rsid w:val="00442BF3"/>
    <w:rsid w:val="00442D03"/>
    <w:rsid w:val="00442D8C"/>
    <w:rsid w:val="00442E88"/>
    <w:rsid w:val="00442EE3"/>
    <w:rsid w:val="00443043"/>
    <w:rsid w:val="004430A1"/>
    <w:rsid w:val="004431CF"/>
    <w:rsid w:val="004432A1"/>
    <w:rsid w:val="004432E2"/>
    <w:rsid w:val="004433A3"/>
    <w:rsid w:val="0044348B"/>
    <w:rsid w:val="0044363C"/>
    <w:rsid w:val="004438A3"/>
    <w:rsid w:val="0044393D"/>
    <w:rsid w:val="00443D14"/>
    <w:rsid w:val="00443E6A"/>
    <w:rsid w:val="004444A4"/>
    <w:rsid w:val="00444746"/>
    <w:rsid w:val="0044497D"/>
    <w:rsid w:val="00444BDD"/>
    <w:rsid w:val="00444CAA"/>
    <w:rsid w:val="00444F04"/>
    <w:rsid w:val="00445116"/>
    <w:rsid w:val="004453A5"/>
    <w:rsid w:val="0044560C"/>
    <w:rsid w:val="00445612"/>
    <w:rsid w:val="004456E8"/>
    <w:rsid w:val="004462AB"/>
    <w:rsid w:val="0044689E"/>
    <w:rsid w:val="004468AC"/>
    <w:rsid w:val="004469F0"/>
    <w:rsid w:val="00446BF7"/>
    <w:rsid w:val="00446ED6"/>
    <w:rsid w:val="00447086"/>
    <w:rsid w:val="004470E2"/>
    <w:rsid w:val="004470FD"/>
    <w:rsid w:val="00447480"/>
    <w:rsid w:val="00447515"/>
    <w:rsid w:val="00447812"/>
    <w:rsid w:val="00447AA1"/>
    <w:rsid w:val="00447AC7"/>
    <w:rsid w:val="00447AD5"/>
    <w:rsid w:val="00447C4E"/>
    <w:rsid w:val="00447CCD"/>
    <w:rsid w:val="00447FDB"/>
    <w:rsid w:val="00447FFB"/>
    <w:rsid w:val="00450152"/>
    <w:rsid w:val="004501B5"/>
    <w:rsid w:val="0045029B"/>
    <w:rsid w:val="00450572"/>
    <w:rsid w:val="004506DC"/>
    <w:rsid w:val="00450737"/>
    <w:rsid w:val="00450798"/>
    <w:rsid w:val="00450C0B"/>
    <w:rsid w:val="00450E23"/>
    <w:rsid w:val="00450E71"/>
    <w:rsid w:val="00451085"/>
    <w:rsid w:val="004511B2"/>
    <w:rsid w:val="00451284"/>
    <w:rsid w:val="004515DE"/>
    <w:rsid w:val="00451946"/>
    <w:rsid w:val="00451B28"/>
    <w:rsid w:val="00451BA3"/>
    <w:rsid w:val="00451C6D"/>
    <w:rsid w:val="00451CB2"/>
    <w:rsid w:val="0045203C"/>
    <w:rsid w:val="00452426"/>
    <w:rsid w:val="00452518"/>
    <w:rsid w:val="0045253A"/>
    <w:rsid w:val="004527BA"/>
    <w:rsid w:val="004528B9"/>
    <w:rsid w:val="00452A6D"/>
    <w:rsid w:val="00452C9F"/>
    <w:rsid w:val="00452FA8"/>
    <w:rsid w:val="00452FAF"/>
    <w:rsid w:val="004534F8"/>
    <w:rsid w:val="004538BC"/>
    <w:rsid w:val="00453927"/>
    <w:rsid w:val="0045394C"/>
    <w:rsid w:val="0045397A"/>
    <w:rsid w:val="00453D4B"/>
    <w:rsid w:val="00453D88"/>
    <w:rsid w:val="00453E0D"/>
    <w:rsid w:val="00453F5B"/>
    <w:rsid w:val="00454018"/>
    <w:rsid w:val="0045402A"/>
    <w:rsid w:val="004541B2"/>
    <w:rsid w:val="00454231"/>
    <w:rsid w:val="0045436E"/>
    <w:rsid w:val="004543E2"/>
    <w:rsid w:val="0045482A"/>
    <w:rsid w:val="00454B7E"/>
    <w:rsid w:val="00454C8D"/>
    <w:rsid w:val="00454CD5"/>
    <w:rsid w:val="00454DE7"/>
    <w:rsid w:val="00455033"/>
    <w:rsid w:val="00455164"/>
    <w:rsid w:val="00455816"/>
    <w:rsid w:val="00455891"/>
    <w:rsid w:val="00455BBC"/>
    <w:rsid w:val="00455D09"/>
    <w:rsid w:val="004560FB"/>
    <w:rsid w:val="004565B9"/>
    <w:rsid w:val="00456AEB"/>
    <w:rsid w:val="00456B69"/>
    <w:rsid w:val="00456C74"/>
    <w:rsid w:val="00456EC0"/>
    <w:rsid w:val="0045718D"/>
    <w:rsid w:val="00457212"/>
    <w:rsid w:val="00457440"/>
    <w:rsid w:val="00457711"/>
    <w:rsid w:val="0045787C"/>
    <w:rsid w:val="00457980"/>
    <w:rsid w:val="00457A48"/>
    <w:rsid w:val="00457A8B"/>
    <w:rsid w:val="00457AA2"/>
    <w:rsid w:val="00457D18"/>
    <w:rsid w:val="00457D91"/>
    <w:rsid w:val="004600B5"/>
    <w:rsid w:val="004600F4"/>
    <w:rsid w:val="00460170"/>
    <w:rsid w:val="0046048E"/>
    <w:rsid w:val="004607CE"/>
    <w:rsid w:val="004607FD"/>
    <w:rsid w:val="0046098A"/>
    <w:rsid w:val="00460A20"/>
    <w:rsid w:val="00460B3A"/>
    <w:rsid w:val="00460C66"/>
    <w:rsid w:val="004611A6"/>
    <w:rsid w:val="004613FD"/>
    <w:rsid w:val="004614DD"/>
    <w:rsid w:val="00461589"/>
    <w:rsid w:val="004615FF"/>
    <w:rsid w:val="0046178A"/>
    <w:rsid w:val="004618B4"/>
    <w:rsid w:val="004618BA"/>
    <w:rsid w:val="00461A9F"/>
    <w:rsid w:val="00461BE0"/>
    <w:rsid w:val="004620B1"/>
    <w:rsid w:val="004622D8"/>
    <w:rsid w:val="00462318"/>
    <w:rsid w:val="0046268A"/>
    <w:rsid w:val="0046284C"/>
    <w:rsid w:val="00462954"/>
    <w:rsid w:val="0046296D"/>
    <w:rsid w:val="00462A24"/>
    <w:rsid w:val="00462D25"/>
    <w:rsid w:val="00462DFC"/>
    <w:rsid w:val="00463471"/>
    <w:rsid w:val="0046358E"/>
    <w:rsid w:val="00463836"/>
    <w:rsid w:val="0046384C"/>
    <w:rsid w:val="004638F5"/>
    <w:rsid w:val="00463942"/>
    <w:rsid w:val="00463A00"/>
    <w:rsid w:val="00463A70"/>
    <w:rsid w:val="00463BD7"/>
    <w:rsid w:val="00463C1C"/>
    <w:rsid w:val="00463C23"/>
    <w:rsid w:val="00463C82"/>
    <w:rsid w:val="00463D23"/>
    <w:rsid w:val="00464088"/>
    <w:rsid w:val="0046439A"/>
    <w:rsid w:val="0046459B"/>
    <w:rsid w:val="004647E7"/>
    <w:rsid w:val="00464E85"/>
    <w:rsid w:val="00464F36"/>
    <w:rsid w:val="004650F0"/>
    <w:rsid w:val="00465121"/>
    <w:rsid w:val="004652F4"/>
    <w:rsid w:val="00465622"/>
    <w:rsid w:val="004656AE"/>
    <w:rsid w:val="00465716"/>
    <w:rsid w:val="00465B88"/>
    <w:rsid w:val="00465C71"/>
    <w:rsid w:val="00465F49"/>
    <w:rsid w:val="00465F50"/>
    <w:rsid w:val="0046605C"/>
    <w:rsid w:val="004663A5"/>
    <w:rsid w:val="00466468"/>
    <w:rsid w:val="004666EF"/>
    <w:rsid w:val="00466736"/>
    <w:rsid w:val="00466841"/>
    <w:rsid w:val="00466AD5"/>
    <w:rsid w:val="00466AD9"/>
    <w:rsid w:val="00466B0D"/>
    <w:rsid w:val="00466B15"/>
    <w:rsid w:val="00466C24"/>
    <w:rsid w:val="00466C2E"/>
    <w:rsid w:val="00466D17"/>
    <w:rsid w:val="00466E95"/>
    <w:rsid w:val="0046744E"/>
    <w:rsid w:val="004675DF"/>
    <w:rsid w:val="0046781F"/>
    <w:rsid w:val="0046789F"/>
    <w:rsid w:val="004678C4"/>
    <w:rsid w:val="00467BED"/>
    <w:rsid w:val="00467C2D"/>
    <w:rsid w:val="00467C3D"/>
    <w:rsid w:val="00467DD5"/>
    <w:rsid w:val="00470048"/>
    <w:rsid w:val="004700A0"/>
    <w:rsid w:val="004702DE"/>
    <w:rsid w:val="0047093D"/>
    <w:rsid w:val="00470C6A"/>
    <w:rsid w:val="00470ECF"/>
    <w:rsid w:val="00470F8E"/>
    <w:rsid w:val="00470F91"/>
    <w:rsid w:val="0047103E"/>
    <w:rsid w:val="00471089"/>
    <w:rsid w:val="00471291"/>
    <w:rsid w:val="00471370"/>
    <w:rsid w:val="00471663"/>
    <w:rsid w:val="00471711"/>
    <w:rsid w:val="0047174F"/>
    <w:rsid w:val="00471769"/>
    <w:rsid w:val="0047179A"/>
    <w:rsid w:val="0047179D"/>
    <w:rsid w:val="00471C0C"/>
    <w:rsid w:val="00471CA0"/>
    <w:rsid w:val="00471CEC"/>
    <w:rsid w:val="00471D2A"/>
    <w:rsid w:val="00471DD6"/>
    <w:rsid w:val="00471F3A"/>
    <w:rsid w:val="00472021"/>
    <w:rsid w:val="004720D2"/>
    <w:rsid w:val="00472224"/>
    <w:rsid w:val="00472401"/>
    <w:rsid w:val="004724A8"/>
    <w:rsid w:val="004725C5"/>
    <w:rsid w:val="00472789"/>
    <w:rsid w:val="00472993"/>
    <w:rsid w:val="004729E1"/>
    <w:rsid w:val="00472A6C"/>
    <w:rsid w:val="00472AA9"/>
    <w:rsid w:val="00472BE9"/>
    <w:rsid w:val="00472C12"/>
    <w:rsid w:val="004731C0"/>
    <w:rsid w:val="004733F9"/>
    <w:rsid w:val="00473526"/>
    <w:rsid w:val="0047384F"/>
    <w:rsid w:val="0047388A"/>
    <w:rsid w:val="0047398F"/>
    <w:rsid w:val="00473C8C"/>
    <w:rsid w:val="00473D44"/>
    <w:rsid w:val="00474023"/>
    <w:rsid w:val="00474210"/>
    <w:rsid w:val="0047439E"/>
    <w:rsid w:val="00474511"/>
    <w:rsid w:val="00474677"/>
    <w:rsid w:val="00474740"/>
    <w:rsid w:val="004748CA"/>
    <w:rsid w:val="00474979"/>
    <w:rsid w:val="00474D91"/>
    <w:rsid w:val="00475533"/>
    <w:rsid w:val="004755DD"/>
    <w:rsid w:val="00475646"/>
    <w:rsid w:val="0047569C"/>
    <w:rsid w:val="00475757"/>
    <w:rsid w:val="0047578F"/>
    <w:rsid w:val="004758A8"/>
    <w:rsid w:val="00475A4C"/>
    <w:rsid w:val="00475B42"/>
    <w:rsid w:val="00475EB6"/>
    <w:rsid w:val="0047604C"/>
    <w:rsid w:val="00476131"/>
    <w:rsid w:val="004762E4"/>
    <w:rsid w:val="004763AC"/>
    <w:rsid w:val="0047646E"/>
    <w:rsid w:val="00476A90"/>
    <w:rsid w:val="00476D23"/>
    <w:rsid w:val="00476D8F"/>
    <w:rsid w:val="00476E7E"/>
    <w:rsid w:val="00476FB7"/>
    <w:rsid w:val="0047708B"/>
    <w:rsid w:val="004770AB"/>
    <w:rsid w:val="0047737A"/>
    <w:rsid w:val="004774E4"/>
    <w:rsid w:val="004775F1"/>
    <w:rsid w:val="004776B1"/>
    <w:rsid w:val="00477AC0"/>
    <w:rsid w:val="00477B61"/>
    <w:rsid w:val="00477CBB"/>
    <w:rsid w:val="00477EC6"/>
    <w:rsid w:val="00477F2A"/>
    <w:rsid w:val="00477FBA"/>
    <w:rsid w:val="00477FD5"/>
    <w:rsid w:val="0048005A"/>
    <w:rsid w:val="004800AD"/>
    <w:rsid w:val="004800B8"/>
    <w:rsid w:val="004803DD"/>
    <w:rsid w:val="00480541"/>
    <w:rsid w:val="004805C1"/>
    <w:rsid w:val="00480631"/>
    <w:rsid w:val="004806A4"/>
    <w:rsid w:val="00480B00"/>
    <w:rsid w:val="00480C19"/>
    <w:rsid w:val="00480F13"/>
    <w:rsid w:val="00481042"/>
    <w:rsid w:val="00481120"/>
    <w:rsid w:val="00481315"/>
    <w:rsid w:val="004816DB"/>
    <w:rsid w:val="004819F1"/>
    <w:rsid w:val="00481C7C"/>
    <w:rsid w:val="00481D5D"/>
    <w:rsid w:val="00481DB7"/>
    <w:rsid w:val="00481F37"/>
    <w:rsid w:val="0048210F"/>
    <w:rsid w:val="00482112"/>
    <w:rsid w:val="00482172"/>
    <w:rsid w:val="004821A6"/>
    <w:rsid w:val="004822A8"/>
    <w:rsid w:val="00482598"/>
    <w:rsid w:val="004825BC"/>
    <w:rsid w:val="0048283A"/>
    <w:rsid w:val="00482B72"/>
    <w:rsid w:val="00482B8D"/>
    <w:rsid w:val="00482BEC"/>
    <w:rsid w:val="00482DD8"/>
    <w:rsid w:val="00482DE9"/>
    <w:rsid w:val="00482E59"/>
    <w:rsid w:val="00482EF3"/>
    <w:rsid w:val="00483035"/>
    <w:rsid w:val="004833BA"/>
    <w:rsid w:val="0048363F"/>
    <w:rsid w:val="004836E4"/>
    <w:rsid w:val="00483736"/>
    <w:rsid w:val="00483765"/>
    <w:rsid w:val="00483983"/>
    <w:rsid w:val="004839C2"/>
    <w:rsid w:val="004839CA"/>
    <w:rsid w:val="00483BC6"/>
    <w:rsid w:val="00483EC8"/>
    <w:rsid w:val="00483F0A"/>
    <w:rsid w:val="00483FE7"/>
    <w:rsid w:val="004840A1"/>
    <w:rsid w:val="0048429D"/>
    <w:rsid w:val="004843E4"/>
    <w:rsid w:val="004845F1"/>
    <w:rsid w:val="004847B5"/>
    <w:rsid w:val="00484B14"/>
    <w:rsid w:val="00484B29"/>
    <w:rsid w:val="00484B9A"/>
    <w:rsid w:val="00484C9F"/>
    <w:rsid w:val="00484CE4"/>
    <w:rsid w:val="00485040"/>
    <w:rsid w:val="0048507F"/>
    <w:rsid w:val="0048520A"/>
    <w:rsid w:val="004853D0"/>
    <w:rsid w:val="00485493"/>
    <w:rsid w:val="00485532"/>
    <w:rsid w:val="00485DDD"/>
    <w:rsid w:val="00485FD4"/>
    <w:rsid w:val="004860C5"/>
    <w:rsid w:val="004861AA"/>
    <w:rsid w:val="0048637D"/>
    <w:rsid w:val="004864CA"/>
    <w:rsid w:val="004867FD"/>
    <w:rsid w:val="00486801"/>
    <w:rsid w:val="004869B7"/>
    <w:rsid w:val="00486AA2"/>
    <w:rsid w:val="00486BD0"/>
    <w:rsid w:val="00486C28"/>
    <w:rsid w:val="00486C63"/>
    <w:rsid w:val="00486C67"/>
    <w:rsid w:val="00486E8F"/>
    <w:rsid w:val="00486F92"/>
    <w:rsid w:val="00486FE8"/>
    <w:rsid w:val="00487144"/>
    <w:rsid w:val="0048737D"/>
    <w:rsid w:val="004874EE"/>
    <w:rsid w:val="00487676"/>
    <w:rsid w:val="00487837"/>
    <w:rsid w:val="00487994"/>
    <w:rsid w:val="00487B0A"/>
    <w:rsid w:val="00487CFC"/>
    <w:rsid w:val="00487E97"/>
    <w:rsid w:val="00487F33"/>
    <w:rsid w:val="00487FE2"/>
    <w:rsid w:val="004900EA"/>
    <w:rsid w:val="0049018A"/>
    <w:rsid w:val="004901DD"/>
    <w:rsid w:val="00490220"/>
    <w:rsid w:val="0049025D"/>
    <w:rsid w:val="0049051D"/>
    <w:rsid w:val="00490C60"/>
    <w:rsid w:val="00490D7E"/>
    <w:rsid w:val="00490F10"/>
    <w:rsid w:val="00491408"/>
    <w:rsid w:val="0049156F"/>
    <w:rsid w:val="00491888"/>
    <w:rsid w:val="00491945"/>
    <w:rsid w:val="00491BBD"/>
    <w:rsid w:val="00491C9B"/>
    <w:rsid w:val="0049209A"/>
    <w:rsid w:val="00492122"/>
    <w:rsid w:val="004921ED"/>
    <w:rsid w:val="00492219"/>
    <w:rsid w:val="00492339"/>
    <w:rsid w:val="004924E6"/>
    <w:rsid w:val="00492657"/>
    <w:rsid w:val="0049282A"/>
    <w:rsid w:val="004929D2"/>
    <w:rsid w:val="00492A31"/>
    <w:rsid w:val="00492B95"/>
    <w:rsid w:val="00492E36"/>
    <w:rsid w:val="00492FCE"/>
    <w:rsid w:val="004930A3"/>
    <w:rsid w:val="004930B6"/>
    <w:rsid w:val="00493380"/>
    <w:rsid w:val="0049361B"/>
    <w:rsid w:val="004938B7"/>
    <w:rsid w:val="00493B26"/>
    <w:rsid w:val="00493CE4"/>
    <w:rsid w:val="00493D2C"/>
    <w:rsid w:val="00493D73"/>
    <w:rsid w:val="00493DC0"/>
    <w:rsid w:val="00493E65"/>
    <w:rsid w:val="00493F31"/>
    <w:rsid w:val="00494345"/>
    <w:rsid w:val="0049438C"/>
    <w:rsid w:val="004943BB"/>
    <w:rsid w:val="004946D4"/>
    <w:rsid w:val="00494A52"/>
    <w:rsid w:val="00494EAC"/>
    <w:rsid w:val="00495051"/>
    <w:rsid w:val="00495231"/>
    <w:rsid w:val="00495304"/>
    <w:rsid w:val="004954B3"/>
    <w:rsid w:val="0049581F"/>
    <w:rsid w:val="00495CD2"/>
    <w:rsid w:val="00495DB5"/>
    <w:rsid w:val="00496003"/>
    <w:rsid w:val="0049612E"/>
    <w:rsid w:val="00496181"/>
    <w:rsid w:val="0049637E"/>
    <w:rsid w:val="004964C1"/>
    <w:rsid w:val="004965E6"/>
    <w:rsid w:val="004968C3"/>
    <w:rsid w:val="004968FD"/>
    <w:rsid w:val="004969C1"/>
    <w:rsid w:val="00496A45"/>
    <w:rsid w:val="00496ACC"/>
    <w:rsid w:val="00496B3F"/>
    <w:rsid w:val="00496C3C"/>
    <w:rsid w:val="00496EE8"/>
    <w:rsid w:val="00497050"/>
    <w:rsid w:val="00497223"/>
    <w:rsid w:val="0049753C"/>
    <w:rsid w:val="0049770A"/>
    <w:rsid w:val="004977B2"/>
    <w:rsid w:val="00497B69"/>
    <w:rsid w:val="00497CE8"/>
    <w:rsid w:val="00497E9F"/>
    <w:rsid w:val="00497F26"/>
    <w:rsid w:val="00497F73"/>
    <w:rsid w:val="004A0084"/>
    <w:rsid w:val="004A01C9"/>
    <w:rsid w:val="004A03DA"/>
    <w:rsid w:val="004A0586"/>
    <w:rsid w:val="004A0607"/>
    <w:rsid w:val="004A065F"/>
    <w:rsid w:val="004A09A3"/>
    <w:rsid w:val="004A0BBC"/>
    <w:rsid w:val="004A0E47"/>
    <w:rsid w:val="004A0EF1"/>
    <w:rsid w:val="004A1013"/>
    <w:rsid w:val="004A13FF"/>
    <w:rsid w:val="004A1519"/>
    <w:rsid w:val="004A16F7"/>
    <w:rsid w:val="004A18EE"/>
    <w:rsid w:val="004A190E"/>
    <w:rsid w:val="004A1C99"/>
    <w:rsid w:val="004A1F7F"/>
    <w:rsid w:val="004A1FB6"/>
    <w:rsid w:val="004A202F"/>
    <w:rsid w:val="004A2074"/>
    <w:rsid w:val="004A2215"/>
    <w:rsid w:val="004A2389"/>
    <w:rsid w:val="004A2514"/>
    <w:rsid w:val="004A252C"/>
    <w:rsid w:val="004A2695"/>
    <w:rsid w:val="004A26F0"/>
    <w:rsid w:val="004A26F3"/>
    <w:rsid w:val="004A2748"/>
    <w:rsid w:val="004A2835"/>
    <w:rsid w:val="004A2A5B"/>
    <w:rsid w:val="004A2C81"/>
    <w:rsid w:val="004A2D6D"/>
    <w:rsid w:val="004A2E9C"/>
    <w:rsid w:val="004A3013"/>
    <w:rsid w:val="004A3085"/>
    <w:rsid w:val="004A31D1"/>
    <w:rsid w:val="004A358A"/>
    <w:rsid w:val="004A363B"/>
    <w:rsid w:val="004A36AF"/>
    <w:rsid w:val="004A3746"/>
    <w:rsid w:val="004A3B0D"/>
    <w:rsid w:val="004A3CAA"/>
    <w:rsid w:val="004A3E3F"/>
    <w:rsid w:val="004A3EB9"/>
    <w:rsid w:val="004A40B9"/>
    <w:rsid w:val="004A4171"/>
    <w:rsid w:val="004A435D"/>
    <w:rsid w:val="004A437F"/>
    <w:rsid w:val="004A46CC"/>
    <w:rsid w:val="004A48DF"/>
    <w:rsid w:val="004A494A"/>
    <w:rsid w:val="004A4CAE"/>
    <w:rsid w:val="004A5234"/>
    <w:rsid w:val="004A52CC"/>
    <w:rsid w:val="004A531B"/>
    <w:rsid w:val="004A543D"/>
    <w:rsid w:val="004A5592"/>
    <w:rsid w:val="004A55D8"/>
    <w:rsid w:val="004A5637"/>
    <w:rsid w:val="004A564C"/>
    <w:rsid w:val="004A591C"/>
    <w:rsid w:val="004A5B8A"/>
    <w:rsid w:val="004A60C8"/>
    <w:rsid w:val="004A61CB"/>
    <w:rsid w:val="004A62A0"/>
    <w:rsid w:val="004A63A4"/>
    <w:rsid w:val="004A641A"/>
    <w:rsid w:val="004A64B3"/>
    <w:rsid w:val="004A65AC"/>
    <w:rsid w:val="004A6760"/>
    <w:rsid w:val="004A67A2"/>
    <w:rsid w:val="004A68EA"/>
    <w:rsid w:val="004A68F9"/>
    <w:rsid w:val="004A6A01"/>
    <w:rsid w:val="004A6AF3"/>
    <w:rsid w:val="004A6C76"/>
    <w:rsid w:val="004A6D0E"/>
    <w:rsid w:val="004A707C"/>
    <w:rsid w:val="004A71A0"/>
    <w:rsid w:val="004A76D9"/>
    <w:rsid w:val="004A7972"/>
    <w:rsid w:val="004A7A49"/>
    <w:rsid w:val="004A7A58"/>
    <w:rsid w:val="004A7C65"/>
    <w:rsid w:val="004A7D94"/>
    <w:rsid w:val="004A7DD6"/>
    <w:rsid w:val="004A7F12"/>
    <w:rsid w:val="004A7F6B"/>
    <w:rsid w:val="004B0128"/>
    <w:rsid w:val="004B0385"/>
    <w:rsid w:val="004B0428"/>
    <w:rsid w:val="004B04FA"/>
    <w:rsid w:val="004B068F"/>
    <w:rsid w:val="004B06DE"/>
    <w:rsid w:val="004B0AC1"/>
    <w:rsid w:val="004B0BD8"/>
    <w:rsid w:val="004B0FE0"/>
    <w:rsid w:val="004B10BD"/>
    <w:rsid w:val="004B1123"/>
    <w:rsid w:val="004B14D6"/>
    <w:rsid w:val="004B1572"/>
    <w:rsid w:val="004B178C"/>
    <w:rsid w:val="004B18A1"/>
    <w:rsid w:val="004B1BF1"/>
    <w:rsid w:val="004B1C66"/>
    <w:rsid w:val="004B1D9D"/>
    <w:rsid w:val="004B1E2A"/>
    <w:rsid w:val="004B1F44"/>
    <w:rsid w:val="004B1FF1"/>
    <w:rsid w:val="004B21E4"/>
    <w:rsid w:val="004B24FD"/>
    <w:rsid w:val="004B2861"/>
    <w:rsid w:val="004B2C0D"/>
    <w:rsid w:val="004B2DF9"/>
    <w:rsid w:val="004B2EC6"/>
    <w:rsid w:val="004B2FB2"/>
    <w:rsid w:val="004B2FF5"/>
    <w:rsid w:val="004B309C"/>
    <w:rsid w:val="004B30FB"/>
    <w:rsid w:val="004B3148"/>
    <w:rsid w:val="004B31DB"/>
    <w:rsid w:val="004B365D"/>
    <w:rsid w:val="004B3718"/>
    <w:rsid w:val="004B375B"/>
    <w:rsid w:val="004B3790"/>
    <w:rsid w:val="004B3997"/>
    <w:rsid w:val="004B39AD"/>
    <w:rsid w:val="004B39BB"/>
    <w:rsid w:val="004B3A95"/>
    <w:rsid w:val="004B3ADA"/>
    <w:rsid w:val="004B3C74"/>
    <w:rsid w:val="004B3CBC"/>
    <w:rsid w:val="004B3DE1"/>
    <w:rsid w:val="004B3F3B"/>
    <w:rsid w:val="004B3F45"/>
    <w:rsid w:val="004B3F64"/>
    <w:rsid w:val="004B4060"/>
    <w:rsid w:val="004B43CD"/>
    <w:rsid w:val="004B4451"/>
    <w:rsid w:val="004B45BF"/>
    <w:rsid w:val="004B468C"/>
    <w:rsid w:val="004B46DA"/>
    <w:rsid w:val="004B4B46"/>
    <w:rsid w:val="004B4B6D"/>
    <w:rsid w:val="004B4C5E"/>
    <w:rsid w:val="004B50C5"/>
    <w:rsid w:val="004B5104"/>
    <w:rsid w:val="004B565A"/>
    <w:rsid w:val="004B58F1"/>
    <w:rsid w:val="004B5B94"/>
    <w:rsid w:val="004B5DD5"/>
    <w:rsid w:val="004B5E35"/>
    <w:rsid w:val="004B5F01"/>
    <w:rsid w:val="004B5FB2"/>
    <w:rsid w:val="004B6346"/>
    <w:rsid w:val="004B6361"/>
    <w:rsid w:val="004B6827"/>
    <w:rsid w:val="004B6958"/>
    <w:rsid w:val="004B6A45"/>
    <w:rsid w:val="004B6CEB"/>
    <w:rsid w:val="004B6DD7"/>
    <w:rsid w:val="004B6E1B"/>
    <w:rsid w:val="004B707D"/>
    <w:rsid w:val="004B7101"/>
    <w:rsid w:val="004B73C8"/>
    <w:rsid w:val="004B73D7"/>
    <w:rsid w:val="004B73DF"/>
    <w:rsid w:val="004B7A26"/>
    <w:rsid w:val="004B7AE7"/>
    <w:rsid w:val="004C003B"/>
    <w:rsid w:val="004C00C1"/>
    <w:rsid w:val="004C02E5"/>
    <w:rsid w:val="004C03B5"/>
    <w:rsid w:val="004C0753"/>
    <w:rsid w:val="004C0A27"/>
    <w:rsid w:val="004C0B46"/>
    <w:rsid w:val="004C10BF"/>
    <w:rsid w:val="004C19A2"/>
    <w:rsid w:val="004C1A91"/>
    <w:rsid w:val="004C1BD7"/>
    <w:rsid w:val="004C1F25"/>
    <w:rsid w:val="004C20FE"/>
    <w:rsid w:val="004C217F"/>
    <w:rsid w:val="004C23F7"/>
    <w:rsid w:val="004C2435"/>
    <w:rsid w:val="004C24DB"/>
    <w:rsid w:val="004C262F"/>
    <w:rsid w:val="004C2687"/>
    <w:rsid w:val="004C27F5"/>
    <w:rsid w:val="004C2A6A"/>
    <w:rsid w:val="004C2BAB"/>
    <w:rsid w:val="004C2BF7"/>
    <w:rsid w:val="004C325C"/>
    <w:rsid w:val="004C332C"/>
    <w:rsid w:val="004C33A0"/>
    <w:rsid w:val="004C35D6"/>
    <w:rsid w:val="004C37A5"/>
    <w:rsid w:val="004C3914"/>
    <w:rsid w:val="004C3A89"/>
    <w:rsid w:val="004C3C0A"/>
    <w:rsid w:val="004C3C28"/>
    <w:rsid w:val="004C3C94"/>
    <w:rsid w:val="004C42F0"/>
    <w:rsid w:val="004C430B"/>
    <w:rsid w:val="004C43F7"/>
    <w:rsid w:val="004C4477"/>
    <w:rsid w:val="004C45CC"/>
    <w:rsid w:val="004C4608"/>
    <w:rsid w:val="004C4AE7"/>
    <w:rsid w:val="004C4EA6"/>
    <w:rsid w:val="004C4EC5"/>
    <w:rsid w:val="004C5009"/>
    <w:rsid w:val="004C537F"/>
    <w:rsid w:val="004C5595"/>
    <w:rsid w:val="004C5631"/>
    <w:rsid w:val="004C5835"/>
    <w:rsid w:val="004C5920"/>
    <w:rsid w:val="004C5A4D"/>
    <w:rsid w:val="004C5B5A"/>
    <w:rsid w:val="004C5C99"/>
    <w:rsid w:val="004C5D26"/>
    <w:rsid w:val="004C5D83"/>
    <w:rsid w:val="004C5D8E"/>
    <w:rsid w:val="004C5EA4"/>
    <w:rsid w:val="004C5F4A"/>
    <w:rsid w:val="004C6044"/>
    <w:rsid w:val="004C604D"/>
    <w:rsid w:val="004C620C"/>
    <w:rsid w:val="004C62D7"/>
    <w:rsid w:val="004C63C7"/>
    <w:rsid w:val="004C63F0"/>
    <w:rsid w:val="004C655B"/>
    <w:rsid w:val="004C658E"/>
    <w:rsid w:val="004C68D4"/>
    <w:rsid w:val="004C69C6"/>
    <w:rsid w:val="004C6A5D"/>
    <w:rsid w:val="004C6A6B"/>
    <w:rsid w:val="004C703C"/>
    <w:rsid w:val="004C706B"/>
    <w:rsid w:val="004C710B"/>
    <w:rsid w:val="004C7111"/>
    <w:rsid w:val="004C71CE"/>
    <w:rsid w:val="004C727F"/>
    <w:rsid w:val="004C72B3"/>
    <w:rsid w:val="004C739C"/>
    <w:rsid w:val="004C74D0"/>
    <w:rsid w:val="004C74D5"/>
    <w:rsid w:val="004C7563"/>
    <w:rsid w:val="004C775B"/>
    <w:rsid w:val="004C78BF"/>
    <w:rsid w:val="004D0150"/>
    <w:rsid w:val="004D02F7"/>
    <w:rsid w:val="004D05A6"/>
    <w:rsid w:val="004D08D1"/>
    <w:rsid w:val="004D090F"/>
    <w:rsid w:val="004D0A8C"/>
    <w:rsid w:val="004D0BDD"/>
    <w:rsid w:val="004D0D05"/>
    <w:rsid w:val="004D0D9D"/>
    <w:rsid w:val="004D1149"/>
    <w:rsid w:val="004D1215"/>
    <w:rsid w:val="004D12D1"/>
    <w:rsid w:val="004D13A8"/>
    <w:rsid w:val="004D1412"/>
    <w:rsid w:val="004D1555"/>
    <w:rsid w:val="004D1587"/>
    <w:rsid w:val="004D15CB"/>
    <w:rsid w:val="004D16B4"/>
    <w:rsid w:val="004D18F7"/>
    <w:rsid w:val="004D1EBE"/>
    <w:rsid w:val="004D1F43"/>
    <w:rsid w:val="004D212D"/>
    <w:rsid w:val="004D21A0"/>
    <w:rsid w:val="004D21BD"/>
    <w:rsid w:val="004D226D"/>
    <w:rsid w:val="004D258C"/>
    <w:rsid w:val="004D289F"/>
    <w:rsid w:val="004D2963"/>
    <w:rsid w:val="004D2BB5"/>
    <w:rsid w:val="004D2C3B"/>
    <w:rsid w:val="004D2D12"/>
    <w:rsid w:val="004D2DE1"/>
    <w:rsid w:val="004D2E78"/>
    <w:rsid w:val="004D2EF9"/>
    <w:rsid w:val="004D2F9B"/>
    <w:rsid w:val="004D3333"/>
    <w:rsid w:val="004D34E7"/>
    <w:rsid w:val="004D37D2"/>
    <w:rsid w:val="004D38B4"/>
    <w:rsid w:val="004D3A12"/>
    <w:rsid w:val="004D3AEB"/>
    <w:rsid w:val="004D3BD5"/>
    <w:rsid w:val="004D3E57"/>
    <w:rsid w:val="004D3F18"/>
    <w:rsid w:val="004D4004"/>
    <w:rsid w:val="004D4160"/>
    <w:rsid w:val="004D41A4"/>
    <w:rsid w:val="004D4223"/>
    <w:rsid w:val="004D4651"/>
    <w:rsid w:val="004D478D"/>
    <w:rsid w:val="004D4B81"/>
    <w:rsid w:val="004D4BEE"/>
    <w:rsid w:val="004D4D87"/>
    <w:rsid w:val="004D4DFF"/>
    <w:rsid w:val="004D4F71"/>
    <w:rsid w:val="004D548D"/>
    <w:rsid w:val="004D568D"/>
    <w:rsid w:val="004D576C"/>
    <w:rsid w:val="004D5AA8"/>
    <w:rsid w:val="004D5C0B"/>
    <w:rsid w:val="004D6049"/>
    <w:rsid w:val="004D621A"/>
    <w:rsid w:val="004D62AA"/>
    <w:rsid w:val="004D6679"/>
    <w:rsid w:val="004D6921"/>
    <w:rsid w:val="004D693F"/>
    <w:rsid w:val="004D694A"/>
    <w:rsid w:val="004D6AE4"/>
    <w:rsid w:val="004D6D8A"/>
    <w:rsid w:val="004D6FC5"/>
    <w:rsid w:val="004D7333"/>
    <w:rsid w:val="004D7391"/>
    <w:rsid w:val="004D749F"/>
    <w:rsid w:val="004D7515"/>
    <w:rsid w:val="004D76EA"/>
    <w:rsid w:val="004D76EB"/>
    <w:rsid w:val="004D7787"/>
    <w:rsid w:val="004D79F0"/>
    <w:rsid w:val="004D7A14"/>
    <w:rsid w:val="004D7ABC"/>
    <w:rsid w:val="004D7B9B"/>
    <w:rsid w:val="004D7BFC"/>
    <w:rsid w:val="004D7C98"/>
    <w:rsid w:val="004D7DAD"/>
    <w:rsid w:val="004D7E8E"/>
    <w:rsid w:val="004E01D0"/>
    <w:rsid w:val="004E0315"/>
    <w:rsid w:val="004E038B"/>
    <w:rsid w:val="004E041D"/>
    <w:rsid w:val="004E0481"/>
    <w:rsid w:val="004E05B6"/>
    <w:rsid w:val="004E0779"/>
    <w:rsid w:val="004E094C"/>
    <w:rsid w:val="004E0B7B"/>
    <w:rsid w:val="004E0C12"/>
    <w:rsid w:val="004E0C4E"/>
    <w:rsid w:val="004E0D30"/>
    <w:rsid w:val="004E0D67"/>
    <w:rsid w:val="004E0DA2"/>
    <w:rsid w:val="004E0DB8"/>
    <w:rsid w:val="004E0EE9"/>
    <w:rsid w:val="004E0FBB"/>
    <w:rsid w:val="004E0FBE"/>
    <w:rsid w:val="004E11C4"/>
    <w:rsid w:val="004E1372"/>
    <w:rsid w:val="004E14CB"/>
    <w:rsid w:val="004E1657"/>
    <w:rsid w:val="004E167D"/>
    <w:rsid w:val="004E16BD"/>
    <w:rsid w:val="004E17F0"/>
    <w:rsid w:val="004E1876"/>
    <w:rsid w:val="004E18D2"/>
    <w:rsid w:val="004E195D"/>
    <w:rsid w:val="004E1995"/>
    <w:rsid w:val="004E1C3C"/>
    <w:rsid w:val="004E1D1B"/>
    <w:rsid w:val="004E1F2E"/>
    <w:rsid w:val="004E2378"/>
    <w:rsid w:val="004E23A1"/>
    <w:rsid w:val="004E25DB"/>
    <w:rsid w:val="004E2793"/>
    <w:rsid w:val="004E28A1"/>
    <w:rsid w:val="004E28E4"/>
    <w:rsid w:val="004E2ADB"/>
    <w:rsid w:val="004E2CBF"/>
    <w:rsid w:val="004E32F4"/>
    <w:rsid w:val="004E3380"/>
    <w:rsid w:val="004E37C7"/>
    <w:rsid w:val="004E3C8F"/>
    <w:rsid w:val="004E3F79"/>
    <w:rsid w:val="004E3FC4"/>
    <w:rsid w:val="004E4043"/>
    <w:rsid w:val="004E4170"/>
    <w:rsid w:val="004E4381"/>
    <w:rsid w:val="004E43C2"/>
    <w:rsid w:val="004E4434"/>
    <w:rsid w:val="004E493E"/>
    <w:rsid w:val="004E4A36"/>
    <w:rsid w:val="004E4B39"/>
    <w:rsid w:val="004E4E74"/>
    <w:rsid w:val="004E4EEC"/>
    <w:rsid w:val="004E515F"/>
    <w:rsid w:val="004E5303"/>
    <w:rsid w:val="004E5398"/>
    <w:rsid w:val="004E5537"/>
    <w:rsid w:val="004E55D5"/>
    <w:rsid w:val="004E5811"/>
    <w:rsid w:val="004E59CC"/>
    <w:rsid w:val="004E5A0A"/>
    <w:rsid w:val="004E5AF4"/>
    <w:rsid w:val="004E5BA6"/>
    <w:rsid w:val="004E5D8F"/>
    <w:rsid w:val="004E5FA4"/>
    <w:rsid w:val="004E60D5"/>
    <w:rsid w:val="004E6114"/>
    <w:rsid w:val="004E6392"/>
    <w:rsid w:val="004E646E"/>
    <w:rsid w:val="004E647B"/>
    <w:rsid w:val="004E65DC"/>
    <w:rsid w:val="004E672A"/>
    <w:rsid w:val="004E68C6"/>
    <w:rsid w:val="004E6A92"/>
    <w:rsid w:val="004E6B21"/>
    <w:rsid w:val="004E6C45"/>
    <w:rsid w:val="004E6D9C"/>
    <w:rsid w:val="004E6F6E"/>
    <w:rsid w:val="004E70A9"/>
    <w:rsid w:val="004E753A"/>
    <w:rsid w:val="004E7824"/>
    <w:rsid w:val="004E7B09"/>
    <w:rsid w:val="004F0077"/>
    <w:rsid w:val="004F07E6"/>
    <w:rsid w:val="004F0856"/>
    <w:rsid w:val="004F0988"/>
    <w:rsid w:val="004F0AF2"/>
    <w:rsid w:val="004F0D71"/>
    <w:rsid w:val="004F0D7A"/>
    <w:rsid w:val="004F0FD4"/>
    <w:rsid w:val="004F130B"/>
    <w:rsid w:val="004F14B0"/>
    <w:rsid w:val="004F153F"/>
    <w:rsid w:val="004F16C1"/>
    <w:rsid w:val="004F17D3"/>
    <w:rsid w:val="004F1888"/>
    <w:rsid w:val="004F18AC"/>
    <w:rsid w:val="004F1940"/>
    <w:rsid w:val="004F1EFD"/>
    <w:rsid w:val="004F2101"/>
    <w:rsid w:val="004F211F"/>
    <w:rsid w:val="004F23AD"/>
    <w:rsid w:val="004F24C1"/>
    <w:rsid w:val="004F2620"/>
    <w:rsid w:val="004F2902"/>
    <w:rsid w:val="004F29D5"/>
    <w:rsid w:val="004F2ADA"/>
    <w:rsid w:val="004F2CE3"/>
    <w:rsid w:val="004F2F0A"/>
    <w:rsid w:val="004F3089"/>
    <w:rsid w:val="004F322B"/>
    <w:rsid w:val="004F3343"/>
    <w:rsid w:val="004F35A3"/>
    <w:rsid w:val="004F3708"/>
    <w:rsid w:val="004F3B05"/>
    <w:rsid w:val="004F3D2C"/>
    <w:rsid w:val="004F43FC"/>
    <w:rsid w:val="004F4426"/>
    <w:rsid w:val="004F454B"/>
    <w:rsid w:val="004F45AE"/>
    <w:rsid w:val="004F4604"/>
    <w:rsid w:val="004F465D"/>
    <w:rsid w:val="004F46FC"/>
    <w:rsid w:val="004F488B"/>
    <w:rsid w:val="004F4B5A"/>
    <w:rsid w:val="004F4C78"/>
    <w:rsid w:val="004F4D52"/>
    <w:rsid w:val="004F4E39"/>
    <w:rsid w:val="004F4E4B"/>
    <w:rsid w:val="004F4E5F"/>
    <w:rsid w:val="004F4FEA"/>
    <w:rsid w:val="004F5024"/>
    <w:rsid w:val="004F5222"/>
    <w:rsid w:val="004F5388"/>
    <w:rsid w:val="004F556E"/>
    <w:rsid w:val="004F5853"/>
    <w:rsid w:val="004F593E"/>
    <w:rsid w:val="004F5BE6"/>
    <w:rsid w:val="004F5D30"/>
    <w:rsid w:val="004F5D66"/>
    <w:rsid w:val="004F5EB9"/>
    <w:rsid w:val="004F6080"/>
    <w:rsid w:val="004F6299"/>
    <w:rsid w:val="004F63F5"/>
    <w:rsid w:val="004F65BA"/>
    <w:rsid w:val="004F6796"/>
    <w:rsid w:val="004F68DC"/>
    <w:rsid w:val="004F6B7C"/>
    <w:rsid w:val="004F6BF8"/>
    <w:rsid w:val="004F6E95"/>
    <w:rsid w:val="004F6F80"/>
    <w:rsid w:val="004F6FFC"/>
    <w:rsid w:val="004F7154"/>
    <w:rsid w:val="004F74FD"/>
    <w:rsid w:val="004F75B1"/>
    <w:rsid w:val="004F76E9"/>
    <w:rsid w:val="004F7885"/>
    <w:rsid w:val="004F79A6"/>
    <w:rsid w:val="004F79F0"/>
    <w:rsid w:val="004F7A53"/>
    <w:rsid w:val="004F7B1E"/>
    <w:rsid w:val="004F7C8A"/>
    <w:rsid w:val="004F7C93"/>
    <w:rsid w:val="004F7C9D"/>
    <w:rsid w:val="0050023E"/>
    <w:rsid w:val="0050041C"/>
    <w:rsid w:val="005006A1"/>
    <w:rsid w:val="00500767"/>
    <w:rsid w:val="005007AA"/>
    <w:rsid w:val="00500810"/>
    <w:rsid w:val="00500A24"/>
    <w:rsid w:val="00500CA9"/>
    <w:rsid w:val="00500EB0"/>
    <w:rsid w:val="00500F52"/>
    <w:rsid w:val="00501066"/>
    <w:rsid w:val="005012E3"/>
    <w:rsid w:val="005012FB"/>
    <w:rsid w:val="0050139C"/>
    <w:rsid w:val="005013FF"/>
    <w:rsid w:val="00501406"/>
    <w:rsid w:val="00501435"/>
    <w:rsid w:val="0050154B"/>
    <w:rsid w:val="005016AC"/>
    <w:rsid w:val="005019F7"/>
    <w:rsid w:val="00501C5A"/>
    <w:rsid w:val="00501D64"/>
    <w:rsid w:val="00501FCA"/>
    <w:rsid w:val="0050235A"/>
    <w:rsid w:val="005023F2"/>
    <w:rsid w:val="00502B88"/>
    <w:rsid w:val="00502C28"/>
    <w:rsid w:val="00502CEF"/>
    <w:rsid w:val="00502D21"/>
    <w:rsid w:val="00502D32"/>
    <w:rsid w:val="0050300E"/>
    <w:rsid w:val="0050330B"/>
    <w:rsid w:val="00503603"/>
    <w:rsid w:val="00503653"/>
    <w:rsid w:val="0050380A"/>
    <w:rsid w:val="00503895"/>
    <w:rsid w:val="005038AF"/>
    <w:rsid w:val="00503AC2"/>
    <w:rsid w:val="00503B5C"/>
    <w:rsid w:val="00503D57"/>
    <w:rsid w:val="00503F27"/>
    <w:rsid w:val="00504103"/>
    <w:rsid w:val="00504389"/>
    <w:rsid w:val="00504494"/>
    <w:rsid w:val="00504515"/>
    <w:rsid w:val="00504674"/>
    <w:rsid w:val="00504854"/>
    <w:rsid w:val="00504F86"/>
    <w:rsid w:val="00505131"/>
    <w:rsid w:val="00505266"/>
    <w:rsid w:val="00505335"/>
    <w:rsid w:val="0050560F"/>
    <w:rsid w:val="00505627"/>
    <w:rsid w:val="005057B5"/>
    <w:rsid w:val="00505A76"/>
    <w:rsid w:val="00505BCD"/>
    <w:rsid w:val="00505D65"/>
    <w:rsid w:val="00505FEC"/>
    <w:rsid w:val="005061C3"/>
    <w:rsid w:val="0050621B"/>
    <w:rsid w:val="005063E1"/>
    <w:rsid w:val="0050643C"/>
    <w:rsid w:val="00506497"/>
    <w:rsid w:val="0050671E"/>
    <w:rsid w:val="0050674E"/>
    <w:rsid w:val="005069C7"/>
    <w:rsid w:val="00506C05"/>
    <w:rsid w:val="00506E22"/>
    <w:rsid w:val="00506EE6"/>
    <w:rsid w:val="00506FAF"/>
    <w:rsid w:val="00507009"/>
    <w:rsid w:val="00507027"/>
    <w:rsid w:val="00507927"/>
    <w:rsid w:val="00507B73"/>
    <w:rsid w:val="00507D12"/>
    <w:rsid w:val="00507E1A"/>
    <w:rsid w:val="00507EFC"/>
    <w:rsid w:val="00507F7C"/>
    <w:rsid w:val="00507F82"/>
    <w:rsid w:val="00507FD6"/>
    <w:rsid w:val="00510175"/>
    <w:rsid w:val="00510201"/>
    <w:rsid w:val="00510260"/>
    <w:rsid w:val="0051067B"/>
    <w:rsid w:val="00510C78"/>
    <w:rsid w:val="005110EB"/>
    <w:rsid w:val="005111AC"/>
    <w:rsid w:val="005112C3"/>
    <w:rsid w:val="005112F1"/>
    <w:rsid w:val="00511356"/>
    <w:rsid w:val="005114A6"/>
    <w:rsid w:val="00511691"/>
    <w:rsid w:val="00511695"/>
    <w:rsid w:val="005116D9"/>
    <w:rsid w:val="005117E4"/>
    <w:rsid w:val="00511BC1"/>
    <w:rsid w:val="00511F36"/>
    <w:rsid w:val="005120D3"/>
    <w:rsid w:val="005120FA"/>
    <w:rsid w:val="00512255"/>
    <w:rsid w:val="00512720"/>
    <w:rsid w:val="00512749"/>
    <w:rsid w:val="005127BC"/>
    <w:rsid w:val="00512825"/>
    <w:rsid w:val="00512875"/>
    <w:rsid w:val="0051287A"/>
    <w:rsid w:val="005129B9"/>
    <w:rsid w:val="00512AA2"/>
    <w:rsid w:val="00512C3F"/>
    <w:rsid w:val="00512CA7"/>
    <w:rsid w:val="00512F7C"/>
    <w:rsid w:val="00513648"/>
    <w:rsid w:val="0051376F"/>
    <w:rsid w:val="00513806"/>
    <w:rsid w:val="00513959"/>
    <w:rsid w:val="00514223"/>
    <w:rsid w:val="005144FF"/>
    <w:rsid w:val="00514524"/>
    <w:rsid w:val="005147B0"/>
    <w:rsid w:val="00514890"/>
    <w:rsid w:val="005149CF"/>
    <w:rsid w:val="00514CB5"/>
    <w:rsid w:val="00514D3A"/>
    <w:rsid w:val="005151E0"/>
    <w:rsid w:val="00515334"/>
    <w:rsid w:val="0051533B"/>
    <w:rsid w:val="0051533E"/>
    <w:rsid w:val="00515727"/>
    <w:rsid w:val="00515864"/>
    <w:rsid w:val="0051594F"/>
    <w:rsid w:val="00515A7D"/>
    <w:rsid w:val="00515E7B"/>
    <w:rsid w:val="00515EB6"/>
    <w:rsid w:val="00515F68"/>
    <w:rsid w:val="0051626A"/>
    <w:rsid w:val="005162D6"/>
    <w:rsid w:val="00516600"/>
    <w:rsid w:val="00516691"/>
    <w:rsid w:val="00516710"/>
    <w:rsid w:val="005169CC"/>
    <w:rsid w:val="00516A09"/>
    <w:rsid w:val="00516BC4"/>
    <w:rsid w:val="00516EB5"/>
    <w:rsid w:val="00517185"/>
    <w:rsid w:val="005171EE"/>
    <w:rsid w:val="0051747A"/>
    <w:rsid w:val="0051750E"/>
    <w:rsid w:val="0051784A"/>
    <w:rsid w:val="00517862"/>
    <w:rsid w:val="005179B1"/>
    <w:rsid w:val="00517A3C"/>
    <w:rsid w:val="00517D3B"/>
    <w:rsid w:val="00517D7E"/>
    <w:rsid w:val="00517F08"/>
    <w:rsid w:val="0052002F"/>
    <w:rsid w:val="00520175"/>
    <w:rsid w:val="00520235"/>
    <w:rsid w:val="00520243"/>
    <w:rsid w:val="005203B6"/>
    <w:rsid w:val="00520407"/>
    <w:rsid w:val="00520610"/>
    <w:rsid w:val="00520757"/>
    <w:rsid w:val="00520B31"/>
    <w:rsid w:val="00520C18"/>
    <w:rsid w:val="00520D09"/>
    <w:rsid w:val="00520D28"/>
    <w:rsid w:val="00520D3A"/>
    <w:rsid w:val="00520D55"/>
    <w:rsid w:val="00520FE4"/>
    <w:rsid w:val="0052116C"/>
    <w:rsid w:val="005211A1"/>
    <w:rsid w:val="00521274"/>
    <w:rsid w:val="0052138C"/>
    <w:rsid w:val="00521646"/>
    <w:rsid w:val="00521757"/>
    <w:rsid w:val="005217B8"/>
    <w:rsid w:val="005217EF"/>
    <w:rsid w:val="005218F3"/>
    <w:rsid w:val="00521A08"/>
    <w:rsid w:val="00521A1F"/>
    <w:rsid w:val="00521A48"/>
    <w:rsid w:val="00521DB2"/>
    <w:rsid w:val="00521E7E"/>
    <w:rsid w:val="005220BF"/>
    <w:rsid w:val="005220E3"/>
    <w:rsid w:val="00522536"/>
    <w:rsid w:val="00522546"/>
    <w:rsid w:val="0052254E"/>
    <w:rsid w:val="005228E8"/>
    <w:rsid w:val="00522AE8"/>
    <w:rsid w:val="00522C64"/>
    <w:rsid w:val="00522CE9"/>
    <w:rsid w:val="0052336B"/>
    <w:rsid w:val="005233CC"/>
    <w:rsid w:val="005234C7"/>
    <w:rsid w:val="005235F2"/>
    <w:rsid w:val="005236A1"/>
    <w:rsid w:val="00523912"/>
    <w:rsid w:val="00524136"/>
    <w:rsid w:val="005244A1"/>
    <w:rsid w:val="005248D2"/>
    <w:rsid w:val="00524996"/>
    <w:rsid w:val="00524BB4"/>
    <w:rsid w:val="00524C27"/>
    <w:rsid w:val="00524DD0"/>
    <w:rsid w:val="00524E7D"/>
    <w:rsid w:val="00524EBE"/>
    <w:rsid w:val="00524EC5"/>
    <w:rsid w:val="005251FE"/>
    <w:rsid w:val="00525314"/>
    <w:rsid w:val="005253AC"/>
    <w:rsid w:val="005256DF"/>
    <w:rsid w:val="005256FD"/>
    <w:rsid w:val="00525709"/>
    <w:rsid w:val="00525913"/>
    <w:rsid w:val="005259B4"/>
    <w:rsid w:val="00525BAC"/>
    <w:rsid w:val="00525BDD"/>
    <w:rsid w:val="00525E71"/>
    <w:rsid w:val="00526054"/>
    <w:rsid w:val="00526066"/>
    <w:rsid w:val="005261F5"/>
    <w:rsid w:val="0052626C"/>
    <w:rsid w:val="00526785"/>
    <w:rsid w:val="00526793"/>
    <w:rsid w:val="00526824"/>
    <w:rsid w:val="00526A99"/>
    <w:rsid w:val="00526B55"/>
    <w:rsid w:val="00526BDA"/>
    <w:rsid w:val="00526C8C"/>
    <w:rsid w:val="00526D30"/>
    <w:rsid w:val="0052707E"/>
    <w:rsid w:val="005270F6"/>
    <w:rsid w:val="005271BA"/>
    <w:rsid w:val="00527372"/>
    <w:rsid w:val="00527874"/>
    <w:rsid w:val="0052793C"/>
    <w:rsid w:val="00527B5D"/>
    <w:rsid w:val="00527CF0"/>
    <w:rsid w:val="00530373"/>
    <w:rsid w:val="0053060B"/>
    <w:rsid w:val="0053075B"/>
    <w:rsid w:val="005307B6"/>
    <w:rsid w:val="0053097C"/>
    <w:rsid w:val="005309F4"/>
    <w:rsid w:val="00530D21"/>
    <w:rsid w:val="00530EBE"/>
    <w:rsid w:val="00530F65"/>
    <w:rsid w:val="00531179"/>
    <w:rsid w:val="005311B0"/>
    <w:rsid w:val="0053150E"/>
    <w:rsid w:val="00531D7A"/>
    <w:rsid w:val="00531F55"/>
    <w:rsid w:val="00532179"/>
    <w:rsid w:val="005325EE"/>
    <w:rsid w:val="00532855"/>
    <w:rsid w:val="0053285B"/>
    <w:rsid w:val="00532AE7"/>
    <w:rsid w:val="00532D25"/>
    <w:rsid w:val="00532D72"/>
    <w:rsid w:val="00532DB2"/>
    <w:rsid w:val="00532E38"/>
    <w:rsid w:val="00532E72"/>
    <w:rsid w:val="00532EBA"/>
    <w:rsid w:val="00532F98"/>
    <w:rsid w:val="0053314A"/>
    <w:rsid w:val="00533527"/>
    <w:rsid w:val="0053358F"/>
    <w:rsid w:val="005335A6"/>
    <w:rsid w:val="0053374F"/>
    <w:rsid w:val="0053384C"/>
    <w:rsid w:val="0053389F"/>
    <w:rsid w:val="00533A3F"/>
    <w:rsid w:val="00533B8E"/>
    <w:rsid w:val="00533DCD"/>
    <w:rsid w:val="00533E5F"/>
    <w:rsid w:val="00533FC7"/>
    <w:rsid w:val="005342D3"/>
    <w:rsid w:val="005346C7"/>
    <w:rsid w:val="0053478C"/>
    <w:rsid w:val="00534987"/>
    <w:rsid w:val="005349E8"/>
    <w:rsid w:val="00534B87"/>
    <w:rsid w:val="00534CED"/>
    <w:rsid w:val="00534D10"/>
    <w:rsid w:val="00534F3F"/>
    <w:rsid w:val="00535078"/>
    <w:rsid w:val="005350D9"/>
    <w:rsid w:val="00535128"/>
    <w:rsid w:val="0053526A"/>
    <w:rsid w:val="005352A8"/>
    <w:rsid w:val="005355CC"/>
    <w:rsid w:val="00535680"/>
    <w:rsid w:val="00535E3F"/>
    <w:rsid w:val="00536233"/>
    <w:rsid w:val="005362B5"/>
    <w:rsid w:val="005363D9"/>
    <w:rsid w:val="0053650D"/>
    <w:rsid w:val="00536568"/>
    <w:rsid w:val="0053659B"/>
    <w:rsid w:val="00536609"/>
    <w:rsid w:val="005366A0"/>
    <w:rsid w:val="0053683D"/>
    <w:rsid w:val="00536D7B"/>
    <w:rsid w:val="00536F30"/>
    <w:rsid w:val="00537367"/>
    <w:rsid w:val="005373DB"/>
    <w:rsid w:val="005374E6"/>
    <w:rsid w:val="005374F0"/>
    <w:rsid w:val="00537510"/>
    <w:rsid w:val="005376D6"/>
    <w:rsid w:val="00537DC6"/>
    <w:rsid w:val="00537E4B"/>
    <w:rsid w:val="005401D9"/>
    <w:rsid w:val="0054020C"/>
    <w:rsid w:val="0054035D"/>
    <w:rsid w:val="005403BD"/>
    <w:rsid w:val="00540422"/>
    <w:rsid w:val="00540553"/>
    <w:rsid w:val="00540600"/>
    <w:rsid w:val="005407AA"/>
    <w:rsid w:val="005407D8"/>
    <w:rsid w:val="0054082C"/>
    <w:rsid w:val="005408B6"/>
    <w:rsid w:val="0054093A"/>
    <w:rsid w:val="00540A18"/>
    <w:rsid w:val="00540AB5"/>
    <w:rsid w:val="00540D85"/>
    <w:rsid w:val="00541122"/>
    <w:rsid w:val="005411AA"/>
    <w:rsid w:val="00541771"/>
    <w:rsid w:val="00541909"/>
    <w:rsid w:val="00541AA6"/>
    <w:rsid w:val="00541C00"/>
    <w:rsid w:val="00541FC9"/>
    <w:rsid w:val="00542250"/>
    <w:rsid w:val="005422CE"/>
    <w:rsid w:val="00542335"/>
    <w:rsid w:val="00542337"/>
    <w:rsid w:val="00542463"/>
    <w:rsid w:val="005424DD"/>
    <w:rsid w:val="00542561"/>
    <w:rsid w:val="005425B5"/>
    <w:rsid w:val="00542653"/>
    <w:rsid w:val="005427F3"/>
    <w:rsid w:val="00542800"/>
    <w:rsid w:val="0054286B"/>
    <w:rsid w:val="0054287B"/>
    <w:rsid w:val="0054296C"/>
    <w:rsid w:val="005429FE"/>
    <w:rsid w:val="00542A04"/>
    <w:rsid w:val="00542A98"/>
    <w:rsid w:val="00542AA0"/>
    <w:rsid w:val="00542C63"/>
    <w:rsid w:val="00542CEE"/>
    <w:rsid w:val="00542DC6"/>
    <w:rsid w:val="00542F8F"/>
    <w:rsid w:val="0054307D"/>
    <w:rsid w:val="005433CE"/>
    <w:rsid w:val="005433ED"/>
    <w:rsid w:val="00543430"/>
    <w:rsid w:val="005434C6"/>
    <w:rsid w:val="00543E7F"/>
    <w:rsid w:val="00543EC8"/>
    <w:rsid w:val="00544211"/>
    <w:rsid w:val="0054478B"/>
    <w:rsid w:val="0054491C"/>
    <w:rsid w:val="00544ACB"/>
    <w:rsid w:val="00544BD4"/>
    <w:rsid w:val="00544FA6"/>
    <w:rsid w:val="00545038"/>
    <w:rsid w:val="005450DE"/>
    <w:rsid w:val="00545219"/>
    <w:rsid w:val="00545223"/>
    <w:rsid w:val="005452D9"/>
    <w:rsid w:val="005453F9"/>
    <w:rsid w:val="0054599E"/>
    <w:rsid w:val="005459B8"/>
    <w:rsid w:val="00545C57"/>
    <w:rsid w:val="00545D4C"/>
    <w:rsid w:val="00545E45"/>
    <w:rsid w:val="00545E49"/>
    <w:rsid w:val="00545FAF"/>
    <w:rsid w:val="00545FF1"/>
    <w:rsid w:val="00546036"/>
    <w:rsid w:val="005460E6"/>
    <w:rsid w:val="005467D9"/>
    <w:rsid w:val="005468CF"/>
    <w:rsid w:val="00546ABE"/>
    <w:rsid w:val="00546DD3"/>
    <w:rsid w:val="00546E9C"/>
    <w:rsid w:val="00546F0A"/>
    <w:rsid w:val="00547087"/>
    <w:rsid w:val="00547159"/>
    <w:rsid w:val="005471EE"/>
    <w:rsid w:val="00547352"/>
    <w:rsid w:val="0054768C"/>
    <w:rsid w:val="00547BA8"/>
    <w:rsid w:val="00547BEE"/>
    <w:rsid w:val="00547D07"/>
    <w:rsid w:val="00547D5C"/>
    <w:rsid w:val="00547DA5"/>
    <w:rsid w:val="00550016"/>
    <w:rsid w:val="00550263"/>
    <w:rsid w:val="005504D2"/>
    <w:rsid w:val="005504DA"/>
    <w:rsid w:val="005508E7"/>
    <w:rsid w:val="00550A24"/>
    <w:rsid w:val="00550C5C"/>
    <w:rsid w:val="00550DE1"/>
    <w:rsid w:val="00551022"/>
    <w:rsid w:val="00551139"/>
    <w:rsid w:val="005512FF"/>
    <w:rsid w:val="00551397"/>
    <w:rsid w:val="00551451"/>
    <w:rsid w:val="00551824"/>
    <w:rsid w:val="00551946"/>
    <w:rsid w:val="00551947"/>
    <w:rsid w:val="00551B30"/>
    <w:rsid w:val="00551BD1"/>
    <w:rsid w:val="00551D87"/>
    <w:rsid w:val="00551E17"/>
    <w:rsid w:val="00551E33"/>
    <w:rsid w:val="00551FDF"/>
    <w:rsid w:val="0055251A"/>
    <w:rsid w:val="005525AD"/>
    <w:rsid w:val="005525D2"/>
    <w:rsid w:val="00552860"/>
    <w:rsid w:val="005528C5"/>
    <w:rsid w:val="005528DE"/>
    <w:rsid w:val="005528E5"/>
    <w:rsid w:val="00552935"/>
    <w:rsid w:val="00552A2F"/>
    <w:rsid w:val="00552A7A"/>
    <w:rsid w:val="00552BED"/>
    <w:rsid w:val="00552C16"/>
    <w:rsid w:val="00552C5E"/>
    <w:rsid w:val="00552D31"/>
    <w:rsid w:val="00552D69"/>
    <w:rsid w:val="00553044"/>
    <w:rsid w:val="005530CD"/>
    <w:rsid w:val="00553113"/>
    <w:rsid w:val="0055326E"/>
    <w:rsid w:val="00553399"/>
    <w:rsid w:val="005533CD"/>
    <w:rsid w:val="0055353E"/>
    <w:rsid w:val="0055372A"/>
    <w:rsid w:val="0055393A"/>
    <w:rsid w:val="00553ADA"/>
    <w:rsid w:val="00553DFB"/>
    <w:rsid w:val="00553FC0"/>
    <w:rsid w:val="00554040"/>
    <w:rsid w:val="005546E0"/>
    <w:rsid w:val="00554711"/>
    <w:rsid w:val="00554939"/>
    <w:rsid w:val="00554969"/>
    <w:rsid w:val="00554C2D"/>
    <w:rsid w:val="00554E32"/>
    <w:rsid w:val="00554F8F"/>
    <w:rsid w:val="00555145"/>
    <w:rsid w:val="005552DC"/>
    <w:rsid w:val="005553C4"/>
    <w:rsid w:val="00555515"/>
    <w:rsid w:val="005559B4"/>
    <w:rsid w:val="005559E1"/>
    <w:rsid w:val="00555ABD"/>
    <w:rsid w:val="00555E22"/>
    <w:rsid w:val="00556152"/>
    <w:rsid w:val="00556295"/>
    <w:rsid w:val="005566C7"/>
    <w:rsid w:val="00556889"/>
    <w:rsid w:val="00556970"/>
    <w:rsid w:val="00556A17"/>
    <w:rsid w:val="00556A51"/>
    <w:rsid w:val="00556CBC"/>
    <w:rsid w:val="0055755D"/>
    <w:rsid w:val="00557663"/>
    <w:rsid w:val="005576C3"/>
    <w:rsid w:val="005576F8"/>
    <w:rsid w:val="00557727"/>
    <w:rsid w:val="005579FC"/>
    <w:rsid w:val="00557B03"/>
    <w:rsid w:val="00557C2E"/>
    <w:rsid w:val="00557CAE"/>
    <w:rsid w:val="00557DDF"/>
    <w:rsid w:val="00557E4D"/>
    <w:rsid w:val="00557FDE"/>
    <w:rsid w:val="005600B4"/>
    <w:rsid w:val="00560141"/>
    <w:rsid w:val="005608BF"/>
    <w:rsid w:val="00560969"/>
    <w:rsid w:val="00560B93"/>
    <w:rsid w:val="00560CAB"/>
    <w:rsid w:val="00560D6C"/>
    <w:rsid w:val="00560DA5"/>
    <w:rsid w:val="0056101A"/>
    <w:rsid w:val="00561132"/>
    <w:rsid w:val="005611E6"/>
    <w:rsid w:val="00561371"/>
    <w:rsid w:val="005616AF"/>
    <w:rsid w:val="00561798"/>
    <w:rsid w:val="00561824"/>
    <w:rsid w:val="0056188E"/>
    <w:rsid w:val="00561982"/>
    <w:rsid w:val="00561B54"/>
    <w:rsid w:val="00561E9B"/>
    <w:rsid w:val="005621A4"/>
    <w:rsid w:val="00562772"/>
    <w:rsid w:val="00562AE6"/>
    <w:rsid w:val="00562D95"/>
    <w:rsid w:val="00562E31"/>
    <w:rsid w:val="00562FB2"/>
    <w:rsid w:val="005633C0"/>
    <w:rsid w:val="005636B0"/>
    <w:rsid w:val="005637BC"/>
    <w:rsid w:val="00563865"/>
    <w:rsid w:val="00563894"/>
    <w:rsid w:val="0056394B"/>
    <w:rsid w:val="0056398F"/>
    <w:rsid w:val="00563C85"/>
    <w:rsid w:val="00563EE4"/>
    <w:rsid w:val="00563FA8"/>
    <w:rsid w:val="005640CD"/>
    <w:rsid w:val="00564153"/>
    <w:rsid w:val="00564169"/>
    <w:rsid w:val="00564A37"/>
    <w:rsid w:val="00564AA5"/>
    <w:rsid w:val="00565056"/>
    <w:rsid w:val="00565136"/>
    <w:rsid w:val="005653CC"/>
    <w:rsid w:val="005655F8"/>
    <w:rsid w:val="00565982"/>
    <w:rsid w:val="00565A7E"/>
    <w:rsid w:val="00565B3B"/>
    <w:rsid w:val="00565CBC"/>
    <w:rsid w:val="00565DF1"/>
    <w:rsid w:val="0056605A"/>
    <w:rsid w:val="005661D3"/>
    <w:rsid w:val="00566369"/>
    <w:rsid w:val="00566688"/>
    <w:rsid w:val="005667BC"/>
    <w:rsid w:val="00566823"/>
    <w:rsid w:val="0056684D"/>
    <w:rsid w:val="005668FE"/>
    <w:rsid w:val="00566BC0"/>
    <w:rsid w:val="00566BEB"/>
    <w:rsid w:val="00566C51"/>
    <w:rsid w:val="00566DC0"/>
    <w:rsid w:val="00566E74"/>
    <w:rsid w:val="0056712B"/>
    <w:rsid w:val="00567155"/>
    <w:rsid w:val="005671C3"/>
    <w:rsid w:val="0056725F"/>
    <w:rsid w:val="00567478"/>
    <w:rsid w:val="0056758B"/>
    <w:rsid w:val="005677AA"/>
    <w:rsid w:val="0056785C"/>
    <w:rsid w:val="00567B12"/>
    <w:rsid w:val="00567BC5"/>
    <w:rsid w:val="00567CC4"/>
    <w:rsid w:val="00567FD7"/>
    <w:rsid w:val="00570389"/>
    <w:rsid w:val="005705A1"/>
    <w:rsid w:val="00570C53"/>
    <w:rsid w:val="00570C55"/>
    <w:rsid w:val="00570C6C"/>
    <w:rsid w:val="00570D27"/>
    <w:rsid w:val="00570D8E"/>
    <w:rsid w:val="00570DBE"/>
    <w:rsid w:val="00570E1A"/>
    <w:rsid w:val="00570F10"/>
    <w:rsid w:val="00570F6A"/>
    <w:rsid w:val="00571121"/>
    <w:rsid w:val="005712FD"/>
    <w:rsid w:val="00571350"/>
    <w:rsid w:val="005713A4"/>
    <w:rsid w:val="005713C0"/>
    <w:rsid w:val="00571454"/>
    <w:rsid w:val="005714B4"/>
    <w:rsid w:val="00571865"/>
    <w:rsid w:val="00571AEF"/>
    <w:rsid w:val="00571C20"/>
    <w:rsid w:val="00571C60"/>
    <w:rsid w:val="00571CAD"/>
    <w:rsid w:val="00571D29"/>
    <w:rsid w:val="00571EC0"/>
    <w:rsid w:val="005723B6"/>
    <w:rsid w:val="005725C5"/>
    <w:rsid w:val="00572A6C"/>
    <w:rsid w:val="00572A90"/>
    <w:rsid w:val="00572B4E"/>
    <w:rsid w:val="00572B5D"/>
    <w:rsid w:val="00572D33"/>
    <w:rsid w:val="00572F0B"/>
    <w:rsid w:val="00572F52"/>
    <w:rsid w:val="00573092"/>
    <w:rsid w:val="005734BE"/>
    <w:rsid w:val="005734C3"/>
    <w:rsid w:val="00573500"/>
    <w:rsid w:val="0057361F"/>
    <w:rsid w:val="00573821"/>
    <w:rsid w:val="005738EF"/>
    <w:rsid w:val="00573E03"/>
    <w:rsid w:val="00573E7D"/>
    <w:rsid w:val="00573FED"/>
    <w:rsid w:val="005743E9"/>
    <w:rsid w:val="005745A8"/>
    <w:rsid w:val="0057466E"/>
    <w:rsid w:val="00574697"/>
    <w:rsid w:val="0057486F"/>
    <w:rsid w:val="005752AD"/>
    <w:rsid w:val="005752E5"/>
    <w:rsid w:val="0057536C"/>
    <w:rsid w:val="005753E8"/>
    <w:rsid w:val="0057561F"/>
    <w:rsid w:val="00575687"/>
    <w:rsid w:val="0057571C"/>
    <w:rsid w:val="00575801"/>
    <w:rsid w:val="005759A9"/>
    <w:rsid w:val="00575C9C"/>
    <w:rsid w:val="00575DA4"/>
    <w:rsid w:val="00576473"/>
    <w:rsid w:val="00576692"/>
    <w:rsid w:val="00576953"/>
    <w:rsid w:val="00576973"/>
    <w:rsid w:val="00576A3D"/>
    <w:rsid w:val="00576A8C"/>
    <w:rsid w:val="00576AB2"/>
    <w:rsid w:val="00576CBD"/>
    <w:rsid w:val="00576DBD"/>
    <w:rsid w:val="00576E03"/>
    <w:rsid w:val="00576E77"/>
    <w:rsid w:val="00577102"/>
    <w:rsid w:val="00577215"/>
    <w:rsid w:val="0057722F"/>
    <w:rsid w:val="0057748A"/>
    <w:rsid w:val="00577530"/>
    <w:rsid w:val="00577552"/>
    <w:rsid w:val="005776AC"/>
    <w:rsid w:val="005776BF"/>
    <w:rsid w:val="00577916"/>
    <w:rsid w:val="0057791A"/>
    <w:rsid w:val="00577934"/>
    <w:rsid w:val="0057797A"/>
    <w:rsid w:val="00577996"/>
    <w:rsid w:val="00577A35"/>
    <w:rsid w:val="00577ACB"/>
    <w:rsid w:val="00577C25"/>
    <w:rsid w:val="00577FCB"/>
    <w:rsid w:val="0058011C"/>
    <w:rsid w:val="005801F0"/>
    <w:rsid w:val="00580493"/>
    <w:rsid w:val="0058052F"/>
    <w:rsid w:val="00580643"/>
    <w:rsid w:val="00580AB5"/>
    <w:rsid w:val="00580C54"/>
    <w:rsid w:val="00580FC2"/>
    <w:rsid w:val="00581099"/>
    <w:rsid w:val="0058120F"/>
    <w:rsid w:val="005812B9"/>
    <w:rsid w:val="005812FC"/>
    <w:rsid w:val="00581392"/>
    <w:rsid w:val="0058144A"/>
    <w:rsid w:val="005814AC"/>
    <w:rsid w:val="0058167D"/>
    <w:rsid w:val="00581910"/>
    <w:rsid w:val="00581960"/>
    <w:rsid w:val="00581C86"/>
    <w:rsid w:val="00581ED9"/>
    <w:rsid w:val="005820FB"/>
    <w:rsid w:val="005820FF"/>
    <w:rsid w:val="00582114"/>
    <w:rsid w:val="00582583"/>
    <w:rsid w:val="0058269F"/>
    <w:rsid w:val="00582964"/>
    <w:rsid w:val="00582E28"/>
    <w:rsid w:val="00582E4C"/>
    <w:rsid w:val="00583817"/>
    <w:rsid w:val="00583853"/>
    <w:rsid w:val="005839A1"/>
    <w:rsid w:val="00583A14"/>
    <w:rsid w:val="00583B1E"/>
    <w:rsid w:val="00583B38"/>
    <w:rsid w:val="00583D08"/>
    <w:rsid w:val="00583E1C"/>
    <w:rsid w:val="00583E88"/>
    <w:rsid w:val="005840CF"/>
    <w:rsid w:val="00584455"/>
    <w:rsid w:val="005844EE"/>
    <w:rsid w:val="005845EF"/>
    <w:rsid w:val="00584880"/>
    <w:rsid w:val="005848F9"/>
    <w:rsid w:val="00584903"/>
    <w:rsid w:val="00584ACE"/>
    <w:rsid w:val="00584AF1"/>
    <w:rsid w:val="005850AF"/>
    <w:rsid w:val="00585301"/>
    <w:rsid w:val="0058555A"/>
    <w:rsid w:val="0058572B"/>
    <w:rsid w:val="00585794"/>
    <w:rsid w:val="00585A25"/>
    <w:rsid w:val="00585AA7"/>
    <w:rsid w:val="00585B76"/>
    <w:rsid w:val="00585D2F"/>
    <w:rsid w:val="00585E13"/>
    <w:rsid w:val="005860D5"/>
    <w:rsid w:val="005860DC"/>
    <w:rsid w:val="005861A4"/>
    <w:rsid w:val="00586298"/>
    <w:rsid w:val="0058651C"/>
    <w:rsid w:val="00586609"/>
    <w:rsid w:val="00586738"/>
    <w:rsid w:val="005867C4"/>
    <w:rsid w:val="005869CC"/>
    <w:rsid w:val="00586BDE"/>
    <w:rsid w:val="00586D14"/>
    <w:rsid w:val="00586E46"/>
    <w:rsid w:val="00586F22"/>
    <w:rsid w:val="0058716D"/>
    <w:rsid w:val="0058718E"/>
    <w:rsid w:val="00587256"/>
    <w:rsid w:val="005875EC"/>
    <w:rsid w:val="00587711"/>
    <w:rsid w:val="005877A9"/>
    <w:rsid w:val="00587933"/>
    <w:rsid w:val="00587C9F"/>
    <w:rsid w:val="00590090"/>
    <w:rsid w:val="005900A0"/>
    <w:rsid w:val="005905EA"/>
    <w:rsid w:val="00590773"/>
    <w:rsid w:val="005907C8"/>
    <w:rsid w:val="0059085A"/>
    <w:rsid w:val="005908F9"/>
    <w:rsid w:val="00590AA9"/>
    <w:rsid w:val="00590D07"/>
    <w:rsid w:val="00590E59"/>
    <w:rsid w:val="005910F8"/>
    <w:rsid w:val="005911AA"/>
    <w:rsid w:val="005911F5"/>
    <w:rsid w:val="005912E8"/>
    <w:rsid w:val="00591300"/>
    <w:rsid w:val="005913C5"/>
    <w:rsid w:val="0059141A"/>
    <w:rsid w:val="005914CE"/>
    <w:rsid w:val="0059191D"/>
    <w:rsid w:val="00591AC0"/>
    <w:rsid w:val="00591B03"/>
    <w:rsid w:val="00591B61"/>
    <w:rsid w:val="00591BCD"/>
    <w:rsid w:val="0059236A"/>
    <w:rsid w:val="0059251C"/>
    <w:rsid w:val="00592777"/>
    <w:rsid w:val="00592972"/>
    <w:rsid w:val="00592B12"/>
    <w:rsid w:val="00592F29"/>
    <w:rsid w:val="0059302F"/>
    <w:rsid w:val="005930C6"/>
    <w:rsid w:val="00593363"/>
    <w:rsid w:val="00593585"/>
    <w:rsid w:val="005935F3"/>
    <w:rsid w:val="00593B18"/>
    <w:rsid w:val="00593DC8"/>
    <w:rsid w:val="00593F95"/>
    <w:rsid w:val="00593FD2"/>
    <w:rsid w:val="005940B6"/>
    <w:rsid w:val="005940FB"/>
    <w:rsid w:val="0059410E"/>
    <w:rsid w:val="0059418E"/>
    <w:rsid w:val="005942B1"/>
    <w:rsid w:val="005942D3"/>
    <w:rsid w:val="005942D7"/>
    <w:rsid w:val="005943C4"/>
    <w:rsid w:val="0059466E"/>
    <w:rsid w:val="00594836"/>
    <w:rsid w:val="00594859"/>
    <w:rsid w:val="005948F7"/>
    <w:rsid w:val="00594FDC"/>
    <w:rsid w:val="0059500D"/>
    <w:rsid w:val="00595169"/>
    <w:rsid w:val="005951BB"/>
    <w:rsid w:val="005954F3"/>
    <w:rsid w:val="00595849"/>
    <w:rsid w:val="00595B4C"/>
    <w:rsid w:val="00595B6C"/>
    <w:rsid w:val="00595BD2"/>
    <w:rsid w:val="00595E00"/>
    <w:rsid w:val="00595E88"/>
    <w:rsid w:val="00596235"/>
    <w:rsid w:val="005963D1"/>
    <w:rsid w:val="0059641D"/>
    <w:rsid w:val="0059646B"/>
    <w:rsid w:val="00596907"/>
    <w:rsid w:val="00596B2C"/>
    <w:rsid w:val="00596B3C"/>
    <w:rsid w:val="00596F0C"/>
    <w:rsid w:val="00597009"/>
    <w:rsid w:val="00597133"/>
    <w:rsid w:val="00597412"/>
    <w:rsid w:val="00597499"/>
    <w:rsid w:val="0059756B"/>
    <w:rsid w:val="005975AC"/>
    <w:rsid w:val="0059779A"/>
    <w:rsid w:val="00597C1F"/>
    <w:rsid w:val="00597D7E"/>
    <w:rsid w:val="00597E08"/>
    <w:rsid w:val="00597EEF"/>
    <w:rsid w:val="00597F7A"/>
    <w:rsid w:val="00597FCD"/>
    <w:rsid w:val="005A030F"/>
    <w:rsid w:val="005A0572"/>
    <w:rsid w:val="005A058F"/>
    <w:rsid w:val="005A05AF"/>
    <w:rsid w:val="005A07CB"/>
    <w:rsid w:val="005A082D"/>
    <w:rsid w:val="005A0831"/>
    <w:rsid w:val="005A08FD"/>
    <w:rsid w:val="005A0925"/>
    <w:rsid w:val="005A0941"/>
    <w:rsid w:val="005A0A43"/>
    <w:rsid w:val="005A0AC8"/>
    <w:rsid w:val="005A0ADA"/>
    <w:rsid w:val="005A0F7D"/>
    <w:rsid w:val="005A121D"/>
    <w:rsid w:val="005A1328"/>
    <w:rsid w:val="005A13F2"/>
    <w:rsid w:val="005A169E"/>
    <w:rsid w:val="005A1797"/>
    <w:rsid w:val="005A1899"/>
    <w:rsid w:val="005A1AA4"/>
    <w:rsid w:val="005A1B82"/>
    <w:rsid w:val="005A1E26"/>
    <w:rsid w:val="005A1E7F"/>
    <w:rsid w:val="005A2097"/>
    <w:rsid w:val="005A221A"/>
    <w:rsid w:val="005A2225"/>
    <w:rsid w:val="005A26F9"/>
    <w:rsid w:val="005A270B"/>
    <w:rsid w:val="005A2D05"/>
    <w:rsid w:val="005A2D28"/>
    <w:rsid w:val="005A2E66"/>
    <w:rsid w:val="005A312E"/>
    <w:rsid w:val="005A3140"/>
    <w:rsid w:val="005A31B9"/>
    <w:rsid w:val="005A32D6"/>
    <w:rsid w:val="005A331E"/>
    <w:rsid w:val="005A33D3"/>
    <w:rsid w:val="005A37B9"/>
    <w:rsid w:val="005A383A"/>
    <w:rsid w:val="005A3D1C"/>
    <w:rsid w:val="005A426F"/>
    <w:rsid w:val="005A42FA"/>
    <w:rsid w:val="005A43E6"/>
    <w:rsid w:val="005A4A36"/>
    <w:rsid w:val="005A4AFA"/>
    <w:rsid w:val="005A4B11"/>
    <w:rsid w:val="005A4C65"/>
    <w:rsid w:val="005A4CAA"/>
    <w:rsid w:val="005A4D70"/>
    <w:rsid w:val="005A4DC8"/>
    <w:rsid w:val="005A4DF2"/>
    <w:rsid w:val="005A4EFB"/>
    <w:rsid w:val="005A4F57"/>
    <w:rsid w:val="005A5445"/>
    <w:rsid w:val="005A55A6"/>
    <w:rsid w:val="005A5618"/>
    <w:rsid w:val="005A570C"/>
    <w:rsid w:val="005A5723"/>
    <w:rsid w:val="005A5836"/>
    <w:rsid w:val="005A5B07"/>
    <w:rsid w:val="005A5BD0"/>
    <w:rsid w:val="005A5D69"/>
    <w:rsid w:val="005A5D97"/>
    <w:rsid w:val="005A5DED"/>
    <w:rsid w:val="005A5E51"/>
    <w:rsid w:val="005A5E90"/>
    <w:rsid w:val="005A5EED"/>
    <w:rsid w:val="005A5FB6"/>
    <w:rsid w:val="005A61C4"/>
    <w:rsid w:val="005A6594"/>
    <w:rsid w:val="005A6AA1"/>
    <w:rsid w:val="005A6E71"/>
    <w:rsid w:val="005A70B6"/>
    <w:rsid w:val="005A70BF"/>
    <w:rsid w:val="005A71AA"/>
    <w:rsid w:val="005A7269"/>
    <w:rsid w:val="005A72BF"/>
    <w:rsid w:val="005A7672"/>
    <w:rsid w:val="005A7A30"/>
    <w:rsid w:val="005A7B26"/>
    <w:rsid w:val="005A7B8D"/>
    <w:rsid w:val="005A7B92"/>
    <w:rsid w:val="005A7CF6"/>
    <w:rsid w:val="005A7D59"/>
    <w:rsid w:val="005B00FA"/>
    <w:rsid w:val="005B04B9"/>
    <w:rsid w:val="005B0B82"/>
    <w:rsid w:val="005B0BDB"/>
    <w:rsid w:val="005B0DC8"/>
    <w:rsid w:val="005B109F"/>
    <w:rsid w:val="005B10D9"/>
    <w:rsid w:val="005B1259"/>
    <w:rsid w:val="005B14D2"/>
    <w:rsid w:val="005B15E2"/>
    <w:rsid w:val="005B1A92"/>
    <w:rsid w:val="005B1B74"/>
    <w:rsid w:val="005B1B76"/>
    <w:rsid w:val="005B1BB0"/>
    <w:rsid w:val="005B1DE8"/>
    <w:rsid w:val="005B1F80"/>
    <w:rsid w:val="005B20DD"/>
    <w:rsid w:val="005B234F"/>
    <w:rsid w:val="005B2465"/>
    <w:rsid w:val="005B28AB"/>
    <w:rsid w:val="005B29D9"/>
    <w:rsid w:val="005B2AB8"/>
    <w:rsid w:val="005B2C85"/>
    <w:rsid w:val="005B2C8A"/>
    <w:rsid w:val="005B2D71"/>
    <w:rsid w:val="005B3017"/>
    <w:rsid w:val="005B30EA"/>
    <w:rsid w:val="005B311B"/>
    <w:rsid w:val="005B31E7"/>
    <w:rsid w:val="005B3239"/>
    <w:rsid w:val="005B36F2"/>
    <w:rsid w:val="005B3EB4"/>
    <w:rsid w:val="005B3F8E"/>
    <w:rsid w:val="005B41AB"/>
    <w:rsid w:val="005B423A"/>
    <w:rsid w:val="005B4CB5"/>
    <w:rsid w:val="005B51E0"/>
    <w:rsid w:val="005B52CF"/>
    <w:rsid w:val="005B544F"/>
    <w:rsid w:val="005B5A89"/>
    <w:rsid w:val="005B5AB9"/>
    <w:rsid w:val="005B5DBC"/>
    <w:rsid w:val="005B5ED5"/>
    <w:rsid w:val="005B614D"/>
    <w:rsid w:val="005B6202"/>
    <w:rsid w:val="005B625E"/>
    <w:rsid w:val="005B6370"/>
    <w:rsid w:val="005B657C"/>
    <w:rsid w:val="005B6887"/>
    <w:rsid w:val="005B691C"/>
    <w:rsid w:val="005B6D47"/>
    <w:rsid w:val="005B6D9E"/>
    <w:rsid w:val="005B6E9A"/>
    <w:rsid w:val="005B72B3"/>
    <w:rsid w:val="005B72E6"/>
    <w:rsid w:val="005B7301"/>
    <w:rsid w:val="005B738E"/>
    <w:rsid w:val="005B7481"/>
    <w:rsid w:val="005B78BE"/>
    <w:rsid w:val="005B7960"/>
    <w:rsid w:val="005B7ABD"/>
    <w:rsid w:val="005B7ADE"/>
    <w:rsid w:val="005B7DD6"/>
    <w:rsid w:val="005B7F80"/>
    <w:rsid w:val="005C0341"/>
    <w:rsid w:val="005C0426"/>
    <w:rsid w:val="005C072F"/>
    <w:rsid w:val="005C0737"/>
    <w:rsid w:val="005C08EE"/>
    <w:rsid w:val="005C0AA6"/>
    <w:rsid w:val="005C0AA9"/>
    <w:rsid w:val="005C0AC1"/>
    <w:rsid w:val="005C0BDF"/>
    <w:rsid w:val="005C0E78"/>
    <w:rsid w:val="005C0F3D"/>
    <w:rsid w:val="005C10A5"/>
    <w:rsid w:val="005C124C"/>
    <w:rsid w:val="005C139F"/>
    <w:rsid w:val="005C1546"/>
    <w:rsid w:val="005C1B96"/>
    <w:rsid w:val="005C1BAD"/>
    <w:rsid w:val="005C1C36"/>
    <w:rsid w:val="005C21C4"/>
    <w:rsid w:val="005C22B4"/>
    <w:rsid w:val="005C24F2"/>
    <w:rsid w:val="005C2564"/>
    <w:rsid w:val="005C25F5"/>
    <w:rsid w:val="005C2621"/>
    <w:rsid w:val="005C26FC"/>
    <w:rsid w:val="005C27CC"/>
    <w:rsid w:val="005C2A12"/>
    <w:rsid w:val="005C2A57"/>
    <w:rsid w:val="005C2DAC"/>
    <w:rsid w:val="005C2DC0"/>
    <w:rsid w:val="005C2DEF"/>
    <w:rsid w:val="005C2F84"/>
    <w:rsid w:val="005C3557"/>
    <w:rsid w:val="005C3768"/>
    <w:rsid w:val="005C382A"/>
    <w:rsid w:val="005C3A44"/>
    <w:rsid w:val="005C3B99"/>
    <w:rsid w:val="005C3C51"/>
    <w:rsid w:val="005C40AC"/>
    <w:rsid w:val="005C41A7"/>
    <w:rsid w:val="005C4493"/>
    <w:rsid w:val="005C4554"/>
    <w:rsid w:val="005C4655"/>
    <w:rsid w:val="005C4B17"/>
    <w:rsid w:val="005C4D48"/>
    <w:rsid w:val="005C4DB6"/>
    <w:rsid w:val="005C55A3"/>
    <w:rsid w:val="005C57C6"/>
    <w:rsid w:val="005C58BE"/>
    <w:rsid w:val="005C5C2E"/>
    <w:rsid w:val="005C5EDC"/>
    <w:rsid w:val="005C602F"/>
    <w:rsid w:val="005C68AB"/>
    <w:rsid w:val="005C6A0B"/>
    <w:rsid w:val="005C6A2C"/>
    <w:rsid w:val="005C6CB3"/>
    <w:rsid w:val="005C6D63"/>
    <w:rsid w:val="005C70D0"/>
    <w:rsid w:val="005C7205"/>
    <w:rsid w:val="005C7463"/>
    <w:rsid w:val="005C7516"/>
    <w:rsid w:val="005C76C9"/>
    <w:rsid w:val="005C7AC0"/>
    <w:rsid w:val="005C7C2A"/>
    <w:rsid w:val="005C7D5E"/>
    <w:rsid w:val="005D0060"/>
    <w:rsid w:val="005D018B"/>
    <w:rsid w:val="005D0736"/>
    <w:rsid w:val="005D07E1"/>
    <w:rsid w:val="005D0928"/>
    <w:rsid w:val="005D0C28"/>
    <w:rsid w:val="005D0FDC"/>
    <w:rsid w:val="005D105D"/>
    <w:rsid w:val="005D110F"/>
    <w:rsid w:val="005D119A"/>
    <w:rsid w:val="005D1217"/>
    <w:rsid w:val="005D122F"/>
    <w:rsid w:val="005D130F"/>
    <w:rsid w:val="005D1487"/>
    <w:rsid w:val="005D1755"/>
    <w:rsid w:val="005D1978"/>
    <w:rsid w:val="005D1B0D"/>
    <w:rsid w:val="005D1BD2"/>
    <w:rsid w:val="005D1C82"/>
    <w:rsid w:val="005D1F18"/>
    <w:rsid w:val="005D1F77"/>
    <w:rsid w:val="005D218C"/>
    <w:rsid w:val="005D2205"/>
    <w:rsid w:val="005D25DA"/>
    <w:rsid w:val="005D265F"/>
    <w:rsid w:val="005D31B2"/>
    <w:rsid w:val="005D32DE"/>
    <w:rsid w:val="005D354D"/>
    <w:rsid w:val="005D366E"/>
    <w:rsid w:val="005D36C3"/>
    <w:rsid w:val="005D371C"/>
    <w:rsid w:val="005D37DA"/>
    <w:rsid w:val="005D3839"/>
    <w:rsid w:val="005D3A0A"/>
    <w:rsid w:val="005D3A8D"/>
    <w:rsid w:val="005D3CCA"/>
    <w:rsid w:val="005D3CD3"/>
    <w:rsid w:val="005D3CE1"/>
    <w:rsid w:val="005D3CED"/>
    <w:rsid w:val="005D3DA6"/>
    <w:rsid w:val="005D3E0E"/>
    <w:rsid w:val="005D41D6"/>
    <w:rsid w:val="005D4326"/>
    <w:rsid w:val="005D435A"/>
    <w:rsid w:val="005D44CA"/>
    <w:rsid w:val="005D4773"/>
    <w:rsid w:val="005D4783"/>
    <w:rsid w:val="005D489A"/>
    <w:rsid w:val="005D4B9D"/>
    <w:rsid w:val="005D4BA2"/>
    <w:rsid w:val="005D4C0A"/>
    <w:rsid w:val="005D4E62"/>
    <w:rsid w:val="005D5115"/>
    <w:rsid w:val="005D5140"/>
    <w:rsid w:val="005D515D"/>
    <w:rsid w:val="005D55B7"/>
    <w:rsid w:val="005D56F0"/>
    <w:rsid w:val="005D58D7"/>
    <w:rsid w:val="005D59A1"/>
    <w:rsid w:val="005D5A78"/>
    <w:rsid w:val="005D5ACE"/>
    <w:rsid w:val="005D5BA6"/>
    <w:rsid w:val="005D5D8D"/>
    <w:rsid w:val="005D611A"/>
    <w:rsid w:val="005D61C0"/>
    <w:rsid w:val="005D61D6"/>
    <w:rsid w:val="005D638E"/>
    <w:rsid w:val="005D66B1"/>
    <w:rsid w:val="005D6797"/>
    <w:rsid w:val="005D6A10"/>
    <w:rsid w:val="005D6A1A"/>
    <w:rsid w:val="005D6ADB"/>
    <w:rsid w:val="005D6BCD"/>
    <w:rsid w:val="005D6C29"/>
    <w:rsid w:val="005D6D85"/>
    <w:rsid w:val="005D6FEB"/>
    <w:rsid w:val="005D7089"/>
    <w:rsid w:val="005D71C4"/>
    <w:rsid w:val="005D74B2"/>
    <w:rsid w:val="005D77E9"/>
    <w:rsid w:val="005D7927"/>
    <w:rsid w:val="005D7A73"/>
    <w:rsid w:val="005D7B7F"/>
    <w:rsid w:val="005D7C40"/>
    <w:rsid w:val="005D7CB7"/>
    <w:rsid w:val="005D7CCD"/>
    <w:rsid w:val="005D7DFA"/>
    <w:rsid w:val="005E00EA"/>
    <w:rsid w:val="005E04E5"/>
    <w:rsid w:val="005E0BA7"/>
    <w:rsid w:val="005E12BA"/>
    <w:rsid w:val="005E15AA"/>
    <w:rsid w:val="005E15C0"/>
    <w:rsid w:val="005E15F7"/>
    <w:rsid w:val="005E1765"/>
    <w:rsid w:val="005E1AB2"/>
    <w:rsid w:val="005E1C8A"/>
    <w:rsid w:val="005E1DFC"/>
    <w:rsid w:val="005E202D"/>
    <w:rsid w:val="005E21A6"/>
    <w:rsid w:val="005E222C"/>
    <w:rsid w:val="005E2394"/>
    <w:rsid w:val="005E2545"/>
    <w:rsid w:val="005E25B1"/>
    <w:rsid w:val="005E28F9"/>
    <w:rsid w:val="005E2AF3"/>
    <w:rsid w:val="005E2B96"/>
    <w:rsid w:val="005E2F30"/>
    <w:rsid w:val="005E309A"/>
    <w:rsid w:val="005E321E"/>
    <w:rsid w:val="005E3251"/>
    <w:rsid w:val="005E3620"/>
    <w:rsid w:val="005E37E4"/>
    <w:rsid w:val="005E3B9A"/>
    <w:rsid w:val="005E3E65"/>
    <w:rsid w:val="005E406A"/>
    <w:rsid w:val="005E408D"/>
    <w:rsid w:val="005E4169"/>
    <w:rsid w:val="005E41C5"/>
    <w:rsid w:val="005E420C"/>
    <w:rsid w:val="005E435D"/>
    <w:rsid w:val="005E4516"/>
    <w:rsid w:val="005E45BF"/>
    <w:rsid w:val="005E4991"/>
    <w:rsid w:val="005E49B4"/>
    <w:rsid w:val="005E4ADB"/>
    <w:rsid w:val="005E4E97"/>
    <w:rsid w:val="005E523C"/>
    <w:rsid w:val="005E52C2"/>
    <w:rsid w:val="005E5378"/>
    <w:rsid w:val="005E543D"/>
    <w:rsid w:val="005E5BB3"/>
    <w:rsid w:val="005E5C8F"/>
    <w:rsid w:val="005E607A"/>
    <w:rsid w:val="005E6473"/>
    <w:rsid w:val="005E6A66"/>
    <w:rsid w:val="005E6B71"/>
    <w:rsid w:val="005E6B7B"/>
    <w:rsid w:val="005E6CE8"/>
    <w:rsid w:val="005E6DFA"/>
    <w:rsid w:val="005E6E78"/>
    <w:rsid w:val="005E6EB7"/>
    <w:rsid w:val="005E70F8"/>
    <w:rsid w:val="005E72E0"/>
    <w:rsid w:val="005E737A"/>
    <w:rsid w:val="005E75FC"/>
    <w:rsid w:val="005E760A"/>
    <w:rsid w:val="005E77D7"/>
    <w:rsid w:val="005E7AA1"/>
    <w:rsid w:val="005E7B64"/>
    <w:rsid w:val="005E7CFB"/>
    <w:rsid w:val="005E7D7B"/>
    <w:rsid w:val="005E7EE5"/>
    <w:rsid w:val="005E7F5E"/>
    <w:rsid w:val="005F0040"/>
    <w:rsid w:val="005F040C"/>
    <w:rsid w:val="005F04DD"/>
    <w:rsid w:val="005F0A2B"/>
    <w:rsid w:val="005F0AD5"/>
    <w:rsid w:val="005F0D8B"/>
    <w:rsid w:val="005F0DB8"/>
    <w:rsid w:val="005F121C"/>
    <w:rsid w:val="005F1260"/>
    <w:rsid w:val="005F12B7"/>
    <w:rsid w:val="005F13C7"/>
    <w:rsid w:val="005F1672"/>
    <w:rsid w:val="005F187D"/>
    <w:rsid w:val="005F1917"/>
    <w:rsid w:val="005F1D5D"/>
    <w:rsid w:val="005F1E6A"/>
    <w:rsid w:val="005F1EAF"/>
    <w:rsid w:val="005F21DC"/>
    <w:rsid w:val="005F2338"/>
    <w:rsid w:val="005F236A"/>
    <w:rsid w:val="005F29F8"/>
    <w:rsid w:val="005F2AB7"/>
    <w:rsid w:val="005F2BDF"/>
    <w:rsid w:val="005F321D"/>
    <w:rsid w:val="005F3243"/>
    <w:rsid w:val="005F360F"/>
    <w:rsid w:val="005F37BF"/>
    <w:rsid w:val="005F381D"/>
    <w:rsid w:val="005F38BD"/>
    <w:rsid w:val="005F3953"/>
    <w:rsid w:val="005F3975"/>
    <w:rsid w:val="005F3C1D"/>
    <w:rsid w:val="005F434F"/>
    <w:rsid w:val="005F4574"/>
    <w:rsid w:val="005F459F"/>
    <w:rsid w:val="005F462F"/>
    <w:rsid w:val="005F4645"/>
    <w:rsid w:val="005F4B82"/>
    <w:rsid w:val="005F4C5D"/>
    <w:rsid w:val="005F4D53"/>
    <w:rsid w:val="005F4E77"/>
    <w:rsid w:val="005F51B8"/>
    <w:rsid w:val="005F5225"/>
    <w:rsid w:val="005F52B1"/>
    <w:rsid w:val="005F52E4"/>
    <w:rsid w:val="005F54BE"/>
    <w:rsid w:val="005F5584"/>
    <w:rsid w:val="005F569C"/>
    <w:rsid w:val="005F5765"/>
    <w:rsid w:val="005F57AA"/>
    <w:rsid w:val="005F58B5"/>
    <w:rsid w:val="005F58D0"/>
    <w:rsid w:val="005F5AAE"/>
    <w:rsid w:val="005F5C54"/>
    <w:rsid w:val="005F5C93"/>
    <w:rsid w:val="005F5E16"/>
    <w:rsid w:val="005F60FF"/>
    <w:rsid w:val="005F645F"/>
    <w:rsid w:val="005F65BA"/>
    <w:rsid w:val="005F67F6"/>
    <w:rsid w:val="005F6923"/>
    <w:rsid w:val="005F6C77"/>
    <w:rsid w:val="005F6CE6"/>
    <w:rsid w:val="005F6D59"/>
    <w:rsid w:val="005F6EAE"/>
    <w:rsid w:val="005F7352"/>
    <w:rsid w:val="005F73CB"/>
    <w:rsid w:val="005F742D"/>
    <w:rsid w:val="005F7681"/>
    <w:rsid w:val="005F7886"/>
    <w:rsid w:val="005F7AC3"/>
    <w:rsid w:val="005F7C7B"/>
    <w:rsid w:val="005F7CE4"/>
    <w:rsid w:val="005F7E7D"/>
    <w:rsid w:val="005F7F54"/>
    <w:rsid w:val="00600079"/>
    <w:rsid w:val="006000DC"/>
    <w:rsid w:val="00600402"/>
    <w:rsid w:val="006004E6"/>
    <w:rsid w:val="00600597"/>
    <w:rsid w:val="00600703"/>
    <w:rsid w:val="00600718"/>
    <w:rsid w:val="0060081D"/>
    <w:rsid w:val="0060082B"/>
    <w:rsid w:val="006008D4"/>
    <w:rsid w:val="00600A75"/>
    <w:rsid w:val="00600AD1"/>
    <w:rsid w:val="0060120F"/>
    <w:rsid w:val="0060137B"/>
    <w:rsid w:val="00601636"/>
    <w:rsid w:val="006018ED"/>
    <w:rsid w:val="00601933"/>
    <w:rsid w:val="00601ABF"/>
    <w:rsid w:val="00601B16"/>
    <w:rsid w:val="00601BFC"/>
    <w:rsid w:val="00601CA0"/>
    <w:rsid w:val="00601D9C"/>
    <w:rsid w:val="00601E70"/>
    <w:rsid w:val="00601FC9"/>
    <w:rsid w:val="00602245"/>
    <w:rsid w:val="0060242F"/>
    <w:rsid w:val="006024EA"/>
    <w:rsid w:val="00602A03"/>
    <w:rsid w:val="00602C72"/>
    <w:rsid w:val="00602E6F"/>
    <w:rsid w:val="00602FFD"/>
    <w:rsid w:val="0060302A"/>
    <w:rsid w:val="006034EA"/>
    <w:rsid w:val="006036A2"/>
    <w:rsid w:val="006037B8"/>
    <w:rsid w:val="006037BE"/>
    <w:rsid w:val="006037C5"/>
    <w:rsid w:val="00603986"/>
    <w:rsid w:val="00603C3A"/>
    <w:rsid w:val="00603DCF"/>
    <w:rsid w:val="00603E8E"/>
    <w:rsid w:val="006044B7"/>
    <w:rsid w:val="0060485D"/>
    <w:rsid w:val="00604914"/>
    <w:rsid w:val="00604A09"/>
    <w:rsid w:val="00604AF5"/>
    <w:rsid w:val="00604C88"/>
    <w:rsid w:val="00604D6B"/>
    <w:rsid w:val="0060505A"/>
    <w:rsid w:val="0060516E"/>
    <w:rsid w:val="00605379"/>
    <w:rsid w:val="00605380"/>
    <w:rsid w:val="00605546"/>
    <w:rsid w:val="00605586"/>
    <w:rsid w:val="00605DD2"/>
    <w:rsid w:val="00605E0D"/>
    <w:rsid w:val="00605EA0"/>
    <w:rsid w:val="0060625C"/>
    <w:rsid w:val="006062D6"/>
    <w:rsid w:val="00606305"/>
    <w:rsid w:val="00606569"/>
    <w:rsid w:val="006069F6"/>
    <w:rsid w:val="006069FE"/>
    <w:rsid w:val="00606B64"/>
    <w:rsid w:val="00606BEA"/>
    <w:rsid w:val="00606D54"/>
    <w:rsid w:val="00606D66"/>
    <w:rsid w:val="00606D70"/>
    <w:rsid w:val="00606E5B"/>
    <w:rsid w:val="0060711B"/>
    <w:rsid w:val="006071C2"/>
    <w:rsid w:val="00607360"/>
    <w:rsid w:val="0060739C"/>
    <w:rsid w:val="006073E1"/>
    <w:rsid w:val="0060747F"/>
    <w:rsid w:val="0060749F"/>
    <w:rsid w:val="0060758E"/>
    <w:rsid w:val="00607618"/>
    <w:rsid w:val="00607969"/>
    <w:rsid w:val="00607AB7"/>
    <w:rsid w:val="00607ABB"/>
    <w:rsid w:val="00607BE5"/>
    <w:rsid w:val="00607DE5"/>
    <w:rsid w:val="00607E91"/>
    <w:rsid w:val="00607F0B"/>
    <w:rsid w:val="0061007C"/>
    <w:rsid w:val="00610145"/>
    <w:rsid w:val="006101C2"/>
    <w:rsid w:val="00610647"/>
    <w:rsid w:val="006107AA"/>
    <w:rsid w:val="00610883"/>
    <w:rsid w:val="00610902"/>
    <w:rsid w:val="0061099D"/>
    <w:rsid w:val="006109D3"/>
    <w:rsid w:val="00610AFC"/>
    <w:rsid w:val="00610BBA"/>
    <w:rsid w:val="00610DFD"/>
    <w:rsid w:val="00610F45"/>
    <w:rsid w:val="006111EB"/>
    <w:rsid w:val="0061156D"/>
    <w:rsid w:val="006116BA"/>
    <w:rsid w:val="00611750"/>
    <w:rsid w:val="006117C0"/>
    <w:rsid w:val="00611868"/>
    <w:rsid w:val="00611BDA"/>
    <w:rsid w:val="00611E8B"/>
    <w:rsid w:val="00611F1A"/>
    <w:rsid w:val="00611FC2"/>
    <w:rsid w:val="0061234B"/>
    <w:rsid w:val="00612491"/>
    <w:rsid w:val="006125EB"/>
    <w:rsid w:val="006128C8"/>
    <w:rsid w:val="00612C35"/>
    <w:rsid w:val="00612CFA"/>
    <w:rsid w:val="00612DF9"/>
    <w:rsid w:val="00612F07"/>
    <w:rsid w:val="00612F47"/>
    <w:rsid w:val="0061302B"/>
    <w:rsid w:val="00613500"/>
    <w:rsid w:val="0061376C"/>
    <w:rsid w:val="006137C9"/>
    <w:rsid w:val="0061381D"/>
    <w:rsid w:val="00613846"/>
    <w:rsid w:val="00613984"/>
    <w:rsid w:val="006139A9"/>
    <w:rsid w:val="006139B6"/>
    <w:rsid w:val="00613B70"/>
    <w:rsid w:val="00613B81"/>
    <w:rsid w:val="00613FE8"/>
    <w:rsid w:val="006140A7"/>
    <w:rsid w:val="006143AF"/>
    <w:rsid w:val="006147AD"/>
    <w:rsid w:val="006147F8"/>
    <w:rsid w:val="00614835"/>
    <w:rsid w:val="00614F4E"/>
    <w:rsid w:val="00614FEB"/>
    <w:rsid w:val="006150BD"/>
    <w:rsid w:val="006151A2"/>
    <w:rsid w:val="006152B1"/>
    <w:rsid w:val="006152F7"/>
    <w:rsid w:val="0061531D"/>
    <w:rsid w:val="00615382"/>
    <w:rsid w:val="0061555A"/>
    <w:rsid w:val="00615770"/>
    <w:rsid w:val="006157AA"/>
    <w:rsid w:val="006159C0"/>
    <w:rsid w:val="00615CBB"/>
    <w:rsid w:val="00615D1D"/>
    <w:rsid w:val="00615EAC"/>
    <w:rsid w:val="0061601A"/>
    <w:rsid w:val="00616085"/>
    <w:rsid w:val="00616102"/>
    <w:rsid w:val="00616124"/>
    <w:rsid w:val="00616447"/>
    <w:rsid w:val="0061672D"/>
    <w:rsid w:val="006168D2"/>
    <w:rsid w:val="0061698F"/>
    <w:rsid w:val="00616BFB"/>
    <w:rsid w:val="00616CE5"/>
    <w:rsid w:val="00616E12"/>
    <w:rsid w:val="00616FA5"/>
    <w:rsid w:val="0061707E"/>
    <w:rsid w:val="0061740F"/>
    <w:rsid w:val="006175F3"/>
    <w:rsid w:val="00617DD7"/>
    <w:rsid w:val="00617F26"/>
    <w:rsid w:val="00620180"/>
    <w:rsid w:val="006206F4"/>
    <w:rsid w:val="00620AF3"/>
    <w:rsid w:val="00620BFF"/>
    <w:rsid w:val="00620DBD"/>
    <w:rsid w:val="00620EB8"/>
    <w:rsid w:val="00621179"/>
    <w:rsid w:val="006211D2"/>
    <w:rsid w:val="0062137D"/>
    <w:rsid w:val="006216B9"/>
    <w:rsid w:val="00621738"/>
    <w:rsid w:val="00621896"/>
    <w:rsid w:val="006219B4"/>
    <w:rsid w:val="006219F5"/>
    <w:rsid w:val="00621BD2"/>
    <w:rsid w:val="00621C4B"/>
    <w:rsid w:val="00621CDD"/>
    <w:rsid w:val="00621DA0"/>
    <w:rsid w:val="00621EAB"/>
    <w:rsid w:val="00622113"/>
    <w:rsid w:val="006222DE"/>
    <w:rsid w:val="00622314"/>
    <w:rsid w:val="006223AE"/>
    <w:rsid w:val="00622547"/>
    <w:rsid w:val="006225B9"/>
    <w:rsid w:val="006225C2"/>
    <w:rsid w:val="0062268F"/>
    <w:rsid w:val="00622D41"/>
    <w:rsid w:val="00622DCC"/>
    <w:rsid w:val="00622E21"/>
    <w:rsid w:val="00622FC5"/>
    <w:rsid w:val="00623018"/>
    <w:rsid w:val="00623083"/>
    <w:rsid w:val="0062328C"/>
    <w:rsid w:val="006232AA"/>
    <w:rsid w:val="00623547"/>
    <w:rsid w:val="00623C4B"/>
    <w:rsid w:val="0062409D"/>
    <w:rsid w:val="0062410A"/>
    <w:rsid w:val="006241F8"/>
    <w:rsid w:val="006242A6"/>
    <w:rsid w:val="0062435E"/>
    <w:rsid w:val="00624453"/>
    <w:rsid w:val="00624631"/>
    <w:rsid w:val="0062464F"/>
    <w:rsid w:val="006249F3"/>
    <w:rsid w:val="00624BBB"/>
    <w:rsid w:val="00624C04"/>
    <w:rsid w:val="00624EC1"/>
    <w:rsid w:val="00624EC8"/>
    <w:rsid w:val="00625074"/>
    <w:rsid w:val="0062509A"/>
    <w:rsid w:val="006250F1"/>
    <w:rsid w:val="0062522F"/>
    <w:rsid w:val="006252BB"/>
    <w:rsid w:val="006254C6"/>
    <w:rsid w:val="0062553D"/>
    <w:rsid w:val="00625812"/>
    <w:rsid w:val="006258EF"/>
    <w:rsid w:val="00625A71"/>
    <w:rsid w:val="00625B67"/>
    <w:rsid w:val="00625C75"/>
    <w:rsid w:val="00625CE9"/>
    <w:rsid w:val="00625D01"/>
    <w:rsid w:val="00625DDD"/>
    <w:rsid w:val="00625EF3"/>
    <w:rsid w:val="00625F35"/>
    <w:rsid w:val="00625F8F"/>
    <w:rsid w:val="006260A7"/>
    <w:rsid w:val="006260C0"/>
    <w:rsid w:val="006262EF"/>
    <w:rsid w:val="00626546"/>
    <w:rsid w:val="00626815"/>
    <w:rsid w:val="00626938"/>
    <w:rsid w:val="0062693F"/>
    <w:rsid w:val="00626A4C"/>
    <w:rsid w:val="00626D2A"/>
    <w:rsid w:val="00626E6C"/>
    <w:rsid w:val="00626EAD"/>
    <w:rsid w:val="00626F44"/>
    <w:rsid w:val="00626F45"/>
    <w:rsid w:val="006270BB"/>
    <w:rsid w:val="006270DE"/>
    <w:rsid w:val="006271B9"/>
    <w:rsid w:val="00627290"/>
    <w:rsid w:val="006273CF"/>
    <w:rsid w:val="00627550"/>
    <w:rsid w:val="0062772A"/>
    <w:rsid w:val="00627736"/>
    <w:rsid w:val="0062783A"/>
    <w:rsid w:val="006279C9"/>
    <w:rsid w:val="00627A07"/>
    <w:rsid w:val="00627B18"/>
    <w:rsid w:val="00627BF4"/>
    <w:rsid w:val="00627C5D"/>
    <w:rsid w:val="00627DC3"/>
    <w:rsid w:val="00627E92"/>
    <w:rsid w:val="00627E95"/>
    <w:rsid w:val="00627EF7"/>
    <w:rsid w:val="006300C0"/>
    <w:rsid w:val="00630179"/>
    <w:rsid w:val="006301F9"/>
    <w:rsid w:val="00630255"/>
    <w:rsid w:val="00630339"/>
    <w:rsid w:val="00630430"/>
    <w:rsid w:val="00630C4A"/>
    <w:rsid w:val="0063100D"/>
    <w:rsid w:val="0063106C"/>
    <w:rsid w:val="006310BC"/>
    <w:rsid w:val="0063117A"/>
    <w:rsid w:val="006314E7"/>
    <w:rsid w:val="00631A27"/>
    <w:rsid w:val="00631A71"/>
    <w:rsid w:val="00631A88"/>
    <w:rsid w:val="00632215"/>
    <w:rsid w:val="006322D4"/>
    <w:rsid w:val="00632400"/>
    <w:rsid w:val="006325D4"/>
    <w:rsid w:val="006325F1"/>
    <w:rsid w:val="006329D8"/>
    <w:rsid w:val="00632ABF"/>
    <w:rsid w:val="00632C68"/>
    <w:rsid w:val="00632C74"/>
    <w:rsid w:val="00632D82"/>
    <w:rsid w:val="00632F95"/>
    <w:rsid w:val="00632FD4"/>
    <w:rsid w:val="0063302E"/>
    <w:rsid w:val="006333E1"/>
    <w:rsid w:val="0063353C"/>
    <w:rsid w:val="00633552"/>
    <w:rsid w:val="00633853"/>
    <w:rsid w:val="006339DD"/>
    <w:rsid w:val="00633B72"/>
    <w:rsid w:val="00633BA5"/>
    <w:rsid w:val="00633C94"/>
    <w:rsid w:val="00633E64"/>
    <w:rsid w:val="00634162"/>
    <w:rsid w:val="00634206"/>
    <w:rsid w:val="006344DD"/>
    <w:rsid w:val="006345CF"/>
    <w:rsid w:val="006345F5"/>
    <w:rsid w:val="006346FD"/>
    <w:rsid w:val="006347FF"/>
    <w:rsid w:val="006349B7"/>
    <w:rsid w:val="00634A80"/>
    <w:rsid w:val="00634AA2"/>
    <w:rsid w:val="00634B32"/>
    <w:rsid w:val="00634B7E"/>
    <w:rsid w:val="00634C1A"/>
    <w:rsid w:val="00634C75"/>
    <w:rsid w:val="00634D56"/>
    <w:rsid w:val="00634D94"/>
    <w:rsid w:val="006352E8"/>
    <w:rsid w:val="006354E4"/>
    <w:rsid w:val="00635884"/>
    <w:rsid w:val="006359DF"/>
    <w:rsid w:val="00635A25"/>
    <w:rsid w:val="00635A3C"/>
    <w:rsid w:val="00635B5A"/>
    <w:rsid w:val="00635CEB"/>
    <w:rsid w:val="00635D44"/>
    <w:rsid w:val="00635E9D"/>
    <w:rsid w:val="006362DA"/>
    <w:rsid w:val="00636310"/>
    <w:rsid w:val="0063632A"/>
    <w:rsid w:val="0063638F"/>
    <w:rsid w:val="00636495"/>
    <w:rsid w:val="006365A8"/>
    <w:rsid w:val="00636609"/>
    <w:rsid w:val="00636636"/>
    <w:rsid w:val="00636A25"/>
    <w:rsid w:val="00636AE7"/>
    <w:rsid w:val="00637006"/>
    <w:rsid w:val="00637080"/>
    <w:rsid w:val="00637098"/>
    <w:rsid w:val="006370F6"/>
    <w:rsid w:val="006371BB"/>
    <w:rsid w:val="00637217"/>
    <w:rsid w:val="00637263"/>
    <w:rsid w:val="00637267"/>
    <w:rsid w:val="006375A3"/>
    <w:rsid w:val="0063762B"/>
    <w:rsid w:val="006376DF"/>
    <w:rsid w:val="006379DF"/>
    <w:rsid w:val="00637B5B"/>
    <w:rsid w:val="00637BD5"/>
    <w:rsid w:val="00637C5E"/>
    <w:rsid w:val="00637CAF"/>
    <w:rsid w:val="00637CB4"/>
    <w:rsid w:val="00637DB2"/>
    <w:rsid w:val="00637F1B"/>
    <w:rsid w:val="006401F5"/>
    <w:rsid w:val="0064032A"/>
    <w:rsid w:val="00640473"/>
    <w:rsid w:val="00640495"/>
    <w:rsid w:val="006405DA"/>
    <w:rsid w:val="006407D3"/>
    <w:rsid w:val="006409A3"/>
    <w:rsid w:val="00640A4C"/>
    <w:rsid w:val="00640A64"/>
    <w:rsid w:val="0064117E"/>
    <w:rsid w:val="0064119D"/>
    <w:rsid w:val="00641545"/>
    <w:rsid w:val="006415C5"/>
    <w:rsid w:val="00641933"/>
    <w:rsid w:val="00641CB0"/>
    <w:rsid w:val="00641F93"/>
    <w:rsid w:val="00641FBD"/>
    <w:rsid w:val="006422CC"/>
    <w:rsid w:val="006423C7"/>
    <w:rsid w:val="0064242A"/>
    <w:rsid w:val="0064246D"/>
    <w:rsid w:val="006425E6"/>
    <w:rsid w:val="00642669"/>
    <w:rsid w:val="0064266F"/>
    <w:rsid w:val="006426DA"/>
    <w:rsid w:val="00642723"/>
    <w:rsid w:val="00642BED"/>
    <w:rsid w:val="00642BFA"/>
    <w:rsid w:val="006431D4"/>
    <w:rsid w:val="006432A1"/>
    <w:rsid w:val="006435AC"/>
    <w:rsid w:val="006436BF"/>
    <w:rsid w:val="006436C4"/>
    <w:rsid w:val="006437CF"/>
    <w:rsid w:val="0064381F"/>
    <w:rsid w:val="00643895"/>
    <w:rsid w:val="00643899"/>
    <w:rsid w:val="00643ADE"/>
    <w:rsid w:val="00643E05"/>
    <w:rsid w:val="0064422E"/>
    <w:rsid w:val="00644293"/>
    <w:rsid w:val="006443C6"/>
    <w:rsid w:val="006444B3"/>
    <w:rsid w:val="006445B6"/>
    <w:rsid w:val="006445CC"/>
    <w:rsid w:val="00644607"/>
    <w:rsid w:val="00644625"/>
    <w:rsid w:val="00644664"/>
    <w:rsid w:val="00644A69"/>
    <w:rsid w:val="00644BE3"/>
    <w:rsid w:val="00644C15"/>
    <w:rsid w:val="00644CB0"/>
    <w:rsid w:val="00644E32"/>
    <w:rsid w:val="00645180"/>
    <w:rsid w:val="006451A1"/>
    <w:rsid w:val="0064536A"/>
    <w:rsid w:val="0064555C"/>
    <w:rsid w:val="0064589F"/>
    <w:rsid w:val="00645AD8"/>
    <w:rsid w:val="00645B00"/>
    <w:rsid w:val="00645C75"/>
    <w:rsid w:val="00645C81"/>
    <w:rsid w:val="00645CE9"/>
    <w:rsid w:val="00645DE4"/>
    <w:rsid w:val="00645EEA"/>
    <w:rsid w:val="00645F06"/>
    <w:rsid w:val="00645F46"/>
    <w:rsid w:val="0064621B"/>
    <w:rsid w:val="00646235"/>
    <w:rsid w:val="006462E7"/>
    <w:rsid w:val="006462EC"/>
    <w:rsid w:val="006465D1"/>
    <w:rsid w:val="006466D7"/>
    <w:rsid w:val="0064670E"/>
    <w:rsid w:val="00646838"/>
    <w:rsid w:val="0064687C"/>
    <w:rsid w:val="0064689C"/>
    <w:rsid w:val="00646B8C"/>
    <w:rsid w:val="00646B95"/>
    <w:rsid w:val="00646F82"/>
    <w:rsid w:val="00646FE5"/>
    <w:rsid w:val="00647027"/>
    <w:rsid w:val="006473F1"/>
    <w:rsid w:val="0064744B"/>
    <w:rsid w:val="006474E7"/>
    <w:rsid w:val="0064764D"/>
    <w:rsid w:val="006476EB"/>
    <w:rsid w:val="0064796E"/>
    <w:rsid w:val="00647A2E"/>
    <w:rsid w:val="00647B4C"/>
    <w:rsid w:val="00647C26"/>
    <w:rsid w:val="00647E3D"/>
    <w:rsid w:val="00650105"/>
    <w:rsid w:val="0065026D"/>
    <w:rsid w:val="00650478"/>
    <w:rsid w:val="00650771"/>
    <w:rsid w:val="006507E2"/>
    <w:rsid w:val="00650862"/>
    <w:rsid w:val="006508A7"/>
    <w:rsid w:val="00650E42"/>
    <w:rsid w:val="00650E99"/>
    <w:rsid w:val="00651357"/>
    <w:rsid w:val="00651493"/>
    <w:rsid w:val="0065164A"/>
    <w:rsid w:val="00651829"/>
    <w:rsid w:val="0065197B"/>
    <w:rsid w:val="00651BCC"/>
    <w:rsid w:val="00651D29"/>
    <w:rsid w:val="00651D77"/>
    <w:rsid w:val="00651FD5"/>
    <w:rsid w:val="006520A7"/>
    <w:rsid w:val="006522C0"/>
    <w:rsid w:val="00652853"/>
    <w:rsid w:val="006529A9"/>
    <w:rsid w:val="00652A62"/>
    <w:rsid w:val="00652AFC"/>
    <w:rsid w:val="00652D24"/>
    <w:rsid w:val="00653040"/>
    <w:rsid w:val="00653105"/>
    <w:rsid w:val="00653636"/>
    <w:rsid w:val="00653B39"/>
    <w:rsid w:val="00653C64"/>
    <w:rsid w:val="00653C79"/>
    <w:rsid w:val="00653C89"/>
    <w:rsid w:val="00653D36"/>
    <w:rsid w:val="00653FC3"/>
    <w:rsid w:val="006540A7"/>
    <w:rsid w:val="006542D8"/>
    <w:rsid w:val="006542FC"/>
    <w:rsid w:val="006544EC"/>
    <w:rsid w:val="006547BF"/>
    <w:rsid w:val="006547C5"/>
    <w:rsid w:val="006549B0"/>
    <w:rsid w:val="00654AD4"/>
    <w:rsid w:val="00654B97"/>
    <w:rsid w:val="00654C5A"/>
    <w:rsid w:val="00655008"/>
    <w:rsid w:val="0065510F"/>
    <w:rsid w:val="006554F6"/>
    <w:rsid w:val="0065564C"/>
    <w:rsid w:val="00655C39"/>
    <w:rsid w:val="00655C87"/>
    <w:rsid w:val="0065624E"/>
    <w:rsid w:val="00656419"/>
    <w:rsid w:val="00656465"/>
    <w:rsid w:val="0065674B"/>
    <w:rsid w:val="00656894"/>
    <w:rsid w:val="00656AEA"/>
    <w:rsid w:val="00656E05"/>
    <w:rsid w:val="00657142"/>
    <w:rsid w:val="00657168"/>
    <w:rsid w:val="00657171"/>
    <w:rsid w:val="006572A0"/>
    <w:rsid w:val="006576B8"/>
    <w:rsid w:val="006578EF"/>
    <w:rsid w:val="00657998"/>
    <w:rsid w:val="006579DB"/>
    <w:rsid w:val="00657D26"/>
    <w:rsid w:val="00657D6F"/>
    <w:rsid w:val="0066012F"/>
    <w:rsid w:val="00660198"/>
    <w:rsid w:val="006602BC"/>
    <w:rsid w:val="00660372"/>
    <w:rsid w:val="0066064E"/>
    <w:rsid w:val="0066068F"/>
    <w:rsid w:val="0066080E"/>
    <w:rsid w:val="00660816"/>
    <w:rsid w:val="00660969"/>
    <w:rsid w:val="0066096B"/>
    <w:rsid w:val="00660A05"/>
    <w:rsid w:val="00660A21"/>
    <w:rsid w:val="00660A5F"/>
    <w:rsid w:val="00660B89"/>
    <w:rsid w:val="00660C68"/>
    <w:rsid w:val="00660E35"/>
    <w:rsid w:val="00660E42"/>
    <w:rsid w:val="00661145"/>
    <w:rsid w:val="0066124F"/>
    <w:rsid w:val="006613D4"/>
    <w:rsid w:val="006617CC"/>
    <w:rsid w:val="00661AA1"/>
    <w:rsid w:val="00661B33"/>
    <w:rsid w:val="0066203C"/>
    <w:rsid w:val="00662092"/>
    <w:rsid w:val="0066217C"/>
    <w:rsid w:val="0066249E"/>
    <w:rsid w:val="006624F3"/>
    <w:rsid w:val="0066267D"/>
    <w:rsid w:val="006626EB"/>
    <w:rsid w:val="0066295F"/>
    <w:rsid w:val="00662A65"/>
    <w:rsid w:val="00662B9A"/>
    <w:rsid w:val="00662BFB"/>
    <w:rsid w:val="00662C8C"/>
    <w:rsid w:val="00662EBF"/>
    <w:rsid w:val="00663087"/>
    <w:rsid w:val="00663542"/>
    <w:rsid w:val="00663564"/>
    <w:rsid w:val="0066362E"/>
    <w:rsid w:val="00663DD7"/>
    <w:rsid w:val="00663EE5"/>
    <w:rsid w:val="006640BD"/>
    <w:rsid w:val="00664177"/>
    <w:rsid w:val="0066441D"/>
    <w:rsid w:val="006644D7"/>
    <w:rsid w:val="00664922"/>
    <w:rsid w:val="00664F75"/>
    <w:rsid w:val="006653F4"/>
    <w:rsid w:val="00665518"/>
    <w:rsid w:val="00665613"/>
    <w:rsid w:val="0066577F"/>
    <w:rsid w:val="00665889"/>
    <w:rsid w:val="00665D79"/>
    <w:rsid w:val="00665E6D"/>
    <w:rsid w:val="00665E93"/>
    <w:rsid w:val="00665F76"/>
    <w:rsid w:val="00665FB7"/>
    <w:rsid w:val="00666026"/>
    <w:rsid w:val="0066623C"/>
    <w:rsid w:val="00666243"/>
    <w:rsid w:val="00666409"/>
    <w:rsid w:val="0066646D"/>
    <w:rsid w:val="00666566"/>
    <w:rsid w:val="00666719"/>
    <w:rsid w:val="006667AA"/>
    <w:rsid w:val="00666808"/>
    <w:rsid w:val="00666A48"/>
    <w:rsid w:val="00666CEF"/>
    <w:rsid w:val="00666D47"/>
    <w:rsid w:val="00667040"/>
    <w:rsid w:val="0066713B"/>
    <w:rsid w:val="00667140"/>
    <w:rsid w:val="006671E1"/>
    <w:rsid w:val="0066730C"/>
    <w:rsid w:val="00667361"/>
    <w:rsid w:val="0066761A"/>
    <w:rsid w:val="00667647"/>
    <w:rsid w:val="00667668"/>
    <w:rsid w:val="00667836"/>
    <w:rsid w:val="006678BD"/>
    <w:rsid w:val="00667A08"/>
    <w:rsid w:val="00667AE1"/>
    <w:rsid w:val="00667BD0"/>
    <w:rsid w:val="00667CD8"/>
    <w:rsid w:val="00667CF1"/>
    <w:rsid w:val="00667DCF"/>
    <w:rsid w:val="00667E00"/>
    <w:rsid w:val="006701AE"/>
    <w:rsid w:val="006704F7"/>
    <w:rsid w:val="006707EE"/>
    <w:rsid w:val="00670833"/>
    <w:rsid w:val="0067084C"/>
    <w:rsid w:val="00670987"/>
    <w:rsid w:val="006709E8"/>
    <w:rsid w:val="00670A36"/>
    <w:rsid w:val="00670D5B"/>
    <w:rsid w:val="00670DBA"/>
    <w:rsid w:val="00670F86"/>
    <w:rsid w:val="006710E2"/>
    <w:rsid w:val="006712D0"/>
    <w:rsid w:val="00671446"/>
    <w:rsid w:val="006717DB"/>
    <w:rsid w:val="006718BD"/>
    <w:rsid w:val="00671970"/>
    <w:rsid w:val="00671979"/>
    <w:rsid w:val="0067198F"/>
    <w:rsid w:val="006719ED"/>
    <w:rsid w:val="00671A4E"/>
    <w:rsid w:val="00671A8C"/>
    <w:rsid w:val="00671A9B"/>
    <w:rsid w:val="00671AF5"/>
    <w:rsid w:val="0067240C"/>
    <w:rsid w:val="00672FB8"/>
    <w:rsid w:val="00673450"/>
    <w:rsid w:val="00673492"/>
    <w:rsid w:val="00673586"/>
    <w:rsid w:val="006738EE"/>
    <w:rsid w:val="00673949"/>
    <w:rsid w:val="0067442E"/>
    <w:rsid w:val="006744E4"/>
    <w:rsid w:val="006745BF"/>
    <w:rsid w:val="0067497F"/>
    <w:rsid w:val="00674A61"/>
    <w:rsid w:val="00674A88"/>
    <w:rsid w:val="00674BA8"/>
    <w:rsid w:val="00674CB7"/>
    <w:rsid w:val="00674CDE"/>
    <w:rsid w:val="00674D9F"/>
    <w:rsid w:val="00674F4C"/>
    <w:rsid w:val="00675016"/>
    <w:rsid w:val="00675038"/>
    <w:rsid w:val="006750C6"/>
    <w:rsid w:val="006752B3"/>
    <w:rsid w:val="00675523"/>
    <w:rsid w:val="0067573F"/>
    <w:rsid w:val="00675871"/>
    <w:rsid w:val="00675AAD"/>
    <w:rsid w:val="00675B88"/>
    <w:rsid w:val="00675BF6"/>
    <w:rsid w:val="00675C3B"/>
    <w:rsid w:val="00675D7F"/>
    <w:rsid w:val="00675DD5"/>
    <w:rsid w:val="00675E85"/>
    <w:rsid w:val="00675FFB"/>
    <w:rsid w:val="006768FC"/>
    <w:rsid w:val="00677067"/>
    <w:rsid w:val="006770EE"/>
    <w:rsid w:val="0067715A"/>
    <w:rsid w:val="006772AB"/>
    <w:rsid w:val="00677783"/>
    <w:rsid w:val="00677906"/>
    <w:rsid w:val="00677909"/>
    <w:rsid w:val="00677927"/>
    <w:rsid w:val="00677B9B"/>
    <w:rsid w:val="00677D0C"/>
    <w:rsid w:val="00677E49"/>
    <w:rsid w:val="00680029"/>
    <w:rsid w:val="006802C5"/>
    <w:rsid w:val="006802CA"/>
    <w:rsid w:val="00680393"/>
    <w:rsid w:val="00680461"/>
    <w:rsid w:val="00680500"/>
    <w:rsid w:val="006805D3"/>
    <w:rsid w:val="006806BB"/>
    <w:rsid w:val="00680797"/>
    <w:rsid w:val="00680991"/>
    <w:rsid w:val="00680A75"/>
    <w:rsid w:val="00680B79"/>
    <w:rsid w:val="00680CF4"/>
    <w:rsid w:val="00680D37"/>
    <w:rsid w:val="00680F62"/>
    <w:rsid w:val="00680FFC"/>
    <w:rsid w:val="006810C5"/>
    <w:rsid w:val="006810D3"/>
    <w:rsid w:val="0068119A"/>
    <w:rsid w:val="0068134E"/>
    <w:rsid w:val="0068149D"/>
    <w:rsid w:val="0068150C"/>
    <w:rsid w:val="00681779"/>
    <w:rsid w:val="006817F4"/>
    <w:rsid w:val="00681953"/>
    <w:rsid w:val="006819CB"/>
    <w:rsid w:val="00681BB2"/>
    <w:rsid w:val="00681BFF"/>
    <w:rsid w:val="00681C6F"/>
    <w:rsid w:val="00681CAF"/>
    <w:rsid w:val="00681D5B"/>
    <w:rsid w:val="00681DD6"/>
    <w:rsid w:val="00681EAF"/>
    <w:rsid w:val="00682066"/>
    <w:rsid w:val="00682160"/>
    <w:rsid w:val="006822ED"/>
    <w:rsid w:val="0068234B"/>
    <w:rsid w:val="00682389"/>
    <w:rsid w:val="00682438"/>
    <w:rsid w:val="00682AC3"/>
    <w:rsid w:val="00682FF2"/>
    <w:rsid w:val="006830CD"/>
    <w:rsid w:val="006830EB"/>
    <w:rsid w:val="006831FF"/>
    <w:rsid w:val="00683238"/>
    <w:rsid w:val="006832B5"/>
    <w:rsid w:val="00683300"/>
    <w:rsid w:val="0068349C"/>
    <w:rsid w:val="006837AB"/>
    <w:rsid w:val="00683C1A"/>
    <w:rsid w:val="00683C56"/>
    <w:rsid w:val="00683E6A"/>
    <w:rsid w:val="00683F63"/>
    <w:rsid w:val="006840A6"/>
    <w:rsid w:val="00684264"/>
    <w:rsid w:val="006845CE"/>
    <w:rsid w:val="00684809"/>
    <w:rsid w:val="0068480C"/>
    <w:rsid w:val="00684817"/>
    <w:rsid w:val="0068482C"/>
    <w:rsid w:val="006848B1"/>
    <w:rsid w:val="00684931"/>
    <w:rsid w:val="00684ACD"/>
    <w:rsid w:val="00685037"/>
    <w:rsid w:val="00685053"/>
    <w:rsid w:val="00685057"/>
    <w:rsid w:val="00685178"/>
    <w:rsid w:val="0068519C"/>
    <w:rsid w:val="0068519D"/>
    <w:rsid w:val="0068525B"/>
    <w:rsid w:val="00685314"/>
    <w:rsid w:val="00685459"/>
    <w:rsid w:val="00685472"/>
    <w:rsid w:val="0068560C"/>
    <w:rsid w:val="0068572A"/>
    <w:rsid w:val="00685872"/>
    <w:rsid w:val="00685996"/>
    <w:rsid w:val="00685B2C"/>
    <w:rsid w:val="00685B96"/>
    <w:rsid w:val="00685E65"/>
    <w:rsid w:val="00685EA4"/>
    <w:rsid w:val="006860D3"/>
    <w:rsid w:val="0068612C"/>
    <w:rsid w:val="00686133"/>
    <w:rsid w:val="006861AE"/>
    <w:rsid w:val="00686296"/>
    <w:rsid w:val="006862AB"/>
    <w:rsid w:val="006864EB"/>
    <w:rsid w:val="0068660A"/>
    <w:rsid w:val="00686957"/>
    <w:rsid w:val="00686C50"/>
    <w:rsid w:val="00687054"/>
    <w:rsid w:val="00687427"/>
    <w:rsid w:val="0068744D"/>
    <w:rsid w:val="00687473"/>
    <w:rsid w:val="00687714"/>
    <w:rsid w:val="00687A57"/>
    <w:rsid w:val="00687B71"/>
    <w:rsid w:val="00687B79"/>
    <w:rsid w:val="00687CD9"/>
    <w:rsid w:val="00687D83"/>
    <w:rsid w:val="00687D8D"/>
    <w:rsid w:val="00687DC7"/>
    <w:rsid w:val="00687F25"/>
    <w:rsid w:val="00690023"/>
    <w:rsid w:val="00690064"/>
    <w:rsid w:val="006900A1"/>
    <w:rsid w:val="0069026C"/>
    <w:rsid w:val="006903A1"/>
    <w:rsid w:val="006903ED"/>
    <w:rsid w:val="00690488"/>
    <w:rsid w:val="006904F7"/>
    <w:rsid w:val="00690732"/>
    <w:rsid w:val="0069078E"/>
    <w:rsid w:val="0069082A"/>
    <w:rsid w:val="00690CFE"/>
    <w:rsid w:val="00690EC4"/>
    <w:rsid w:val="00690F55"/>
    <w:rsid w:val="00690F77"/>
    <w:rsid w:val="00690FED"/>
    <w:rsid w:val="0069108C"/>
    <w:rsid w:val="006910F1"/>
    <w:rsid w:val="00691154"/>
    <w:rsid w:val="00691338"/>
    <w:rsid w:val="0069135A"/>
    <w:rsid w:val="0069146D"/>
    <w:rsid w:val="0069171E"/>
    <w:rsid w:val="0069176E"/>
    <w:rsid w:val="006917F1"/>
    <w:rsid w:val="00691AC6"/>
    <w:rsid w:val="00691B39"/>
    <w:rsid w:val="00691C16"/>
    <w:rsid w:val="00691ECA"/>
    <w:rsid w:val="00691FFC"/>
    <w:rsid w:val="00692419"/>
    <w:rsid w:val="006929B5"/>
    <w:rsid w:val="00692A4C"/>
    <w:rsid w:val="00692E8A"/>
    <w:rsid w:val="006930CB"/>
    <w:rsid w:val="006930F3"/>
    <w:rsid w:val="0069319B"/>
    <w:rsid w:val="006933B5"/>
    <w:rsid w:val="0069356A"/>
    <w:rsid w:val="0069375B"/>
    <w:rsid w:val="006937B0"/>
    <w:rsid w:val="00693B6C"/>
    <w:rsid w:val="00693C30"/>
    <w:rsid w:val="00693EA4"/>
    <w:rsid w:val="00693FD4"/>
    <w:rsid w:val="0069413E"/>
    <w:rsid w:val="00694260"/>
    <w:rsid w:val="00694471"/>
    <w:rsid w:val="00694588"/>
    <w:rsid w:val="006945DC"/>
    <w:rsid w:val="00694831"/>
    <w:rsid w:val="00694987"/>
    <w:rsid w:val="006949E6"/>
    <w:rsid w:val="00694A5C"/>
    <w:rsid w:val="00694ACB"/>
    <w:rsid w:val="00694B27"/>
    <w:rsid w:val="00694CF7"/>
    <w:rsid w:val="00694E99"/>
    <w:rsid w:val="00695103"/>
    <w:rsid w:val="006952A2"/>
    <w:rsid w:val="0069532F"/>
    <w:rsid w:val="00695366"/>
    <w:rsid w:val="006955DE"/>
    <w:rsid w:val="0069583B"/>
    <w:rsid w:val="00695A76"/>
    <w:rsid w:val="00695B7E"/>
    <w:rsid w:val="00695D83"/>
    <w:rsid w:val="00695E8D"/>
    <w:rsid w:val="00695F55"/>
    <w:rsid w:val="006960D8"/>
    <w:rsid w:val="006962BC"/>
    <w:rsid w:val="006968A7"/>
    <w:rsid w:val="00696C90"/>
    <w:rsid w:val="00696FA1"/>
    <w:rsid w:val="00696FA6"/>
    <w:rsid w:val="006970B4"/>
    <w:rsid w:val="00697441"/>
    <w:rsid w:val="00697445"/>
    <w:rsid w:val="006975F8"/>
    <w:rsid w:val="00697944"/>
    <w:rsid w:val="00697AA9"/>
    <w:rsid w:val="00697C54"/>
    <w:rsid w:val="00697DE8"/>
    <w:rsid w:val="00697F95"/>
    <w:rsid w:val="006A0096"/>
    <w:rsid w:val="006A0166"/>
    <w:rsid w:val="006A02DB"/>
    <w:rsid w:val="006A0476"/>
    <w:rsid w:val="006A0482"/>
    <w:rsid w:val="006A04E4"/>
    <w:rsid w:val="006A073F"/>
    <w:rsid w:val="006A09DD"/>
    <w:rsid w:val="006A0A89"/>
    <w:rsid w:val="006A0B76"/>
    <w:rsid w:val="006A0CFF"/>
    <w:rsid w:val="006A0D58"/>
    <w:rsid w:val="006A0E00"/>
    <w:rsid w:val="006A0E18"/>
    <w:rsid w:val="006A0F1C"/>
    <w:rsid w:val="006A11A4"/>
    <w:rsid w:val="006A12AD"/>
    <w:rsid w:val="006A12F5"/>
    <w:rsid w:val="006A136C"/>
    <w:rsid w:val="006A15DC"/>
    <w:rsid w:val="006A17C7"/>
    <w:rsid w:val="006A1824"/>
    <w:rsid w:val="006A18EE"/>
    <w:rsid w:val="006A1D87"/>
    <w:rsid w:val="006A1E52"/>
    <w:rsid w:val="006A20A9"/>
    <w:rsid w:val="006A2290"/>
    <w:rsid w:val="006A23A0"/>
    <w:rsid w:val="006A25E5"/>
    <w:rsid w:val="006A2904"/>
    <w:rsid w:val="006A2C78"/>
    <w:rsid w:val="006A2D9C"/>
    <w:rsid w:val="006A2F84"/>
    <w:rsid w:val="006A30C5"/>
    <w:rsid w:val="006A31D7"/>
    <w:rsid w:val="006A343F"/>
    <w:rsid w:val="006A353B"/>
    <w:rsid w:val="006A36C6"/>
    <w:rsid w:val="006A3827"/>
    <w:rsid w:val="006A39CF"/>
    <w:rsid w:val="006A3C23"/>
    <w:rsid w:val="006A3FF3"/>
    <w:rsid w:val="006A41F0"/>
    <w:rsid w:val="006A42DC"/>
    <w:rsid w:val="006A4384"/>
    <w:rsid w:val="006A4599"/>
    <w:rsid w:val="006A4669"/>
    <w:rsid w:val="006A496E"/>
    <w:rsid w:val="006A4970"/>
    <w:rsid w:val="006A4A70"/>
    <w:rsid w:val="006A4B80"/>
    <w:rsid w:val="006A4C2F"/>
    <w:rsid w:val="006A4CE2"/>
    <w:rsid w:val="006A4D19"/>
    <w:rsid w:val="006A4D1C"/>
    <w:rsid w:val="006A5049"/>
    <w:rsid w:val="006A56D7"/>
    <w:rsid w:val="006A56FC"/>
    <w:rsid w:val="006A5741"/>
    <w:rsid w:val="006A57C9"/>
    <w:rsid w:val="006A58CB"/>
    <w:rsid w:val="006A5B5D"/>
    <w:rsid w:val="006A5E7D"/>
    <w:rsid w:val="006A6250"/>
    <w:rsid w:val="006A64E2"/>
    <w:rsid w:val="006A660E"/>
    <w:rsid w:val="006A661F"/>
    <w:rsid w:val="006A6720"/>
    <w:rsid w:val="006A68A5"/>
    <w:rsid w:val="006A694E"/>
    <w:rsid w:val="006A6957"/>
    <w:rsid w:val="006A6A43"/>
    <w:rsid w:val="006A6DE2"/>
    <w:rsid w:val="006A7255"/>
    <w:rsid w:val="006A72F1"/>
    <w:rsid w:val="006A7433"/>
    <w:rsid w:val="006A77F1"/>
    <w:rsid w:val="006A7829"/>
    <w:rsid w:val="006A7854"/>
    <w:rsid w:val="006B0004"/>
    <w:rsid w:val="006B00A2"/>
    <w:rsid w:val="006B00AB"/>
    <w:rsid w:val="006B017A"/>
    <w:rsid w:val="006B03B1"/>
    <w:rsid w:val="006B056C"/>
    <w:rsid w:val="006B063A"/>
    <w:rsid w:val="006B07E2"/>
    <w:rsid w:val="006B0A95"/>
    <w:rsid w:val="006B0C77"/>
    <w:rsid w:val="006B1330"/>
    <w:rsid w:val="006B133B"/>
    <w:rsid w:val="006B1376"/>
    <w:rsid w:val="006B150C"/>
    <w:rsid w:val="006B1588"/>
    <w:rsid w:val="006B18E9"/>
    <w:rsid w:val="006B19BD"/>
    <w:rsid w:val="006B19DC"/>
    <w:rsid w:val="006B1A3E"/>
    <w:rsid w:val="006B1C08"/>
    <w:rsid w:val="006B1CDC"/>
    <w:rsid w:val="006B1DA7"/>
    <w:rsid w:val="006B1DB5"/>
    <w:rsid w:val="006B1E96"/>
    <w:rsid w:val="006B213E"/>
    <w:rsid w:val="006B2692"/>
    <w:rsid w:val="006B2704"/>
    <w:rsid w:val="006B27CA"/>
    <w:rsid w:val="006B287B"/>
    <w:rsid w:val="006B28F8"/>
    <w:rsid w:val="006B2956"/>
    <w:rsid w:val="006B2B17"/>
    <w:rsid w:val="006B2BA1"/>
    <w:rsid w:val="006B2BEC"/>
    <w:rsid w:val="006B2C41"/>
    <w:rsid w:val="006B2C8B"/>
    <w:rsid w:val="006B2DE5"/>
    <w:rsid w:val="006B30AB"/>
    <w:rsid w:val="006B30B5"/>
    <w:rsid w:val="006B3255"/>
    <w:rsid w:val="006B363D"/>
    <w:rsid w:val="006B367A"/>
    <w:rsid w:val="006B370D"/>
    <w:rsid w:val="006B382C"/>
    <w:rsid w:val="006B3BF8"/>
    <w:rsid w:val="006B3FD1"/>
    <w:rsid w:val="006B4065"/>
    <w:rsid w:val="006B4265"/>
    <w:rsid w:val="006B4312"/>
    <w:rsid w:val="006B437A"/>
    <w:rsid w:val="006B43B2"/>
    <w:rsid w:val="006B4AEA"/>
    <w:rsid w:val="006B4CC8"/>
    <w:rsid w:val="006B4E07"/>
    <w:rsid w:val="006B5498"/>
    <w:rsid w:val="006B5504"/>
    <w:rsid w:val="006B57B2"/>
    <w:rsid w:val="006B58E4"/>
    <w:rsid w:val="006B5A07"/>
    <w:rsid w:val="006B5C7C"/>
    <w:rsid w:val="006B6001"/>
    <w:rsid w:val="006B6135"/>
    <w:rsid w:val="006B6147"/>
    <w:rsid w:val="006B636B"/>
    <w:rsid w:val="006B6451"/>
    <w:rsid w:val="006B6748"/>
    <w:rsid w:val="006B682A"/>
    <w:rsid w:val="006B692B"/>
    <w:rsid w:val="006B6937"/>
    <w:rsid w:val="006B6CB9"/>
    <w:rsid w:val="006B6E18"/>
    <w:rsid w:val="006B6F18"/>
    <w:rsid w:val="006B7023"/>
    <w:rsid w:val="006B71C8"/>
    <w:rsid w:val="006B7364"/>
    <w:rsid w:val="006B748E"/>
    <w:rsid w:val="006B7564"/>
    <w:rsid w:val="006B78FF"/>
    <w:rsid w:val="006B798C"/>
    <w:rsid w:val="006B7A93"/>
    <w:rsid w:val="006B7CC5"/>
    <w:rsid w:val="006B7D01"/>
    <w:rsid w:val="006B7F0A"/>
    <w:rsid w:val="006B7FF7"/>
    <w:rsid w:val="006C019B"/>
    <w:rsid w:val="006C01CE"/>
    <w:rsid w:val="006C05EA"/>
    <w:rsid w:val="006C0856"/>
    <w:rsid w:val="006C094F"/>
    <w:rsid w:val="006C0C20"/>
    <w:rsid w:val="006C0E2A"/>
    <w:rsid w:val="006C0F1C"/>
    <w:rsid w:val="006C1173"/>
    <w:rsid w:val="006C12BA"/>
    <w:rsid w:val="006C13FA"/>
    <w:rsid w:val="006C146D"/>
    <w:rsid w:val="006C16D4"/>
    <w:rsid w:val="006C189A"/>
    <w:rsid w:val="006C1C31"/>
    <w:rsid w:val="006C1D60"/>
    <w:rsid w:val="006C1DF6"/>
    <w:rsid w:val="006C1F47"/>
    <w:rsid w:val="006C21BB"/>
    <w:rsid w:val="006C2247"/>
    <w:rsid w:val="006C2616"/>
    <w:rsid w:val="006C28B7"/>
    <w:rsid w:val="006C29BC"/>
    <w:rsid w:val="006C2AD7"/>
    <w:rsid w:val="006C2B89"/>
    <w:rsid w:val="006C2C55"/>
    <w:rsid w:val="006C2E07"/>
    <w:rsid w:val="006C2E7E"/>
    <w:rsid w:val="006C2EA4"/>
    <w:rsid w:val="006C2EC2"/>
    <w:rsid w:val="006C2ED1"/>
    <w:rsid w:val="006C3078"/>
    <w:rsid w:val="006C30EE"/>
    <w:rsid w:val="006C32B5"/>
    <w:rsid w:val="006C33BE"/>
    <w:rsid w:val="006C341F"/>
    <w:rsid w:val="006C348F"/>
    <w:rsid w:val="006C34E2"/>
    <w:rsid w:val="006C39E4"/>
    <w:rsid w:val="006C3B32"/>
    <w:rsid w:val="006C3B8F"/>
    <w:rsid w:val="006C3BB4"/>
    <w:rsid w:val="006C3D40"/>
    <w:rsid w:val="006C3D7A"/>
    <w:rsid w:val="006C3E79"/>
    <w:rsid w:val="006C4091"/>
    <w:rsid w:val="006C4106"/>
    <w:rsid w:val="006C4173"/>
    <w:rsid w:val="006C41B5"/>
    <w:rsid w:val="006C42A7"/>
    <w:rsid w:val="006C4637"/>
    <w:rsid w:val="006C47BC"/>
    <w:rsid w:val="006C47FC"/>
    <w:rsid w:val="006C499E"/>
    <w:rsid w:val="006C4BA7"/>
    <w:rsid w:val="006C4C85"/>
    <w:rsid w:val="006C4CE0"/>
    <w:rsid w:val="006C4E46"/>
    <w:rsid w:val="006C4E61"/>
    <w:rsid w:val="006C4EDF"/>
    <w:rsid w:val="006C4EEA"/>
    <w:rsid w:val="006C5121"/>
    <w:rsid w:val="006C51D4"/>
    <w:rsid w:val="006C521D"/>
    <w:rsid w:val="006C54E1"/>
    <w:rsid w:val="006C560F"/>
    <w:rsid w:val="006C5632"/>
    <w:rsid w:val="006C5855"/>
    <w:rsid w:val="006C5ACB"/>
    <w:rsid w:val="006C5C92"/>
    <w:rsid w:val="006C610B"/>
    <w:rsid w:val="006C613E"/>
    <w:rsid w:val="006C6357"/>
    <w:rsid w:val="006C648B"/>
    <w:rsid w:val="006C6653"/>
    <w:rsid w:val="006C6676"/>
    <w:rsid w:val="006C6682"/>
    <w:rsid w:val="006C6B38"/>
    <w:rsid w:val="006C6DBE"/>
    <w:rsid w:val="006C6E1A"/>
    <w:rsid w:val="006C6EAA"/>
    <w:rsid w:val="006C6FBB"/>
    <w:rsid w:val="006C7056"/>
    <w:rsid w:val="006C738A"/>
    <w:rsid w:val="006C74BF"/>
    <w:rsid w:val="006C74FF"/>
    <w:rsid w:val="006C768E"/>
    <w:rsid w:val="006C76A0"/>
    <w:rsid w:val="006C76FB"/>
    <w:rsid w:val="006C770D"/>
    <w:rsid w:val="006C7724"/>
    <w:rsid w:val="006C7733"/>
    <w:rsid w:val="006C7771"/>
    <w:rsid w:val="006C7988"/>
    <w:rsid w:val="006C79DD"/>
    <w:rsid w:val="006C7C17"/>
    <w:rsid w:val="006C7F4B"/>
    <w:rsid w:val="006D00C3"/>
    <w:rsid w:val="006D01B6"/>
    <w:rsid w:val="006D0281"/>
    <w:rsid w:val="006D06A0"/>
    <w:rsid w:val="006D06A3"/>
    <w:rsid w:val="006D0784"/>
    <w:rsid w:val="006D0A13"/>
    <w:rsid w:val="006D0C18"/>
    <w:rsid w:val="006D0D9A"/>
    <w:rsid w:val="006D0F41"/>
    <w:rsid w:val="006D1002"/>
    <w:rsid w:val="006D12A9"/>
    <w:rsid w:val="006D175A"/>
    <w:rsid w:val="006D17B0"/>
    <w:rsid w:val="006D1B05"/>
    <w:rsid w:val="006D1BA9"/>
    <w:rsid w:val="006D1BB5"/>
    <w:rsid w:val="006D1DCB"/>
    <w:rsid w:val="006D1F8C"/>
    <w:rsid w:val="006D214A"/>
    <w:rsid w:val="006D2174"/>
    <w:rsid w:val="006D2200"/>
    <w:rsid w:val="006D241F"/>
    <w:rsid w:val="006D24B4"/>
    <w:rsid w:val="006D2837"/>
    <w:rsid w:val="006D28B9"/>
    <w:rsid w:val="006D28D7"/>
    <w:rsid w:val="006D2911"/>
    <w:rsid w:val="006D2F64"/>
    <w:rsid w:val="006D3029"/>
    <w:rsid w:val="006D323A"/>
    <w:rsid w:val="006D32CC"/>
    <w:rsid w:val="006D3433"/>
    <w:rsid w:val="006D3517"/>
    <w:rsid w:val="006D3550"/>
    <w:rsid w:val="006D35D1"/>
    <w:rsid w:val="006D3663"/>
    <w:rsid w:val="006D38FF"/>
    <w:rsid w:val="006D393A"/>
    <w:rsid w:val="006D3C01"/>
    <w:rsid w:val="006D3CBE"/>
    <w:rsid w:val="006D3E92"/>
    <w:rsid w:val="006D4119"/>
    <w:rsid w:val="006D4153"/>
    <w:rsid w:val="006D4286"/>
    <w:rsid w:val="006D43DE"/>
    <w:rsid w:val="006D43E7"/>
    <w:rsid w:val="006D440D"/>
    <w:rsid w:val="006D451C"/>
    <w:rsid w:val="006D48B9"/>
    <w:rsid w:val="006D48CA"/>
    <w:rsid w:val="006D4DB1"/>
    <w:rsid w:val="006D4E14"/>
    <w:rsid w:val="006D4F64"/>
    <w:rsid w:val="006D5154"/>
    <w:rsid w:val="006D5313"/>
    <w:rsid w:val="006D555C"/>
    <w:rsid w:val="006D560E"/>
    <w:rsid w:val="006D5873"/>
    <w:rsid w:val="006D595C"/>
    <w:rsid w:val="006D5A82"/>
    <w:rsid w:val="006D5C78"/>
    <w:rsid w:val="006D5ED9"/>
    <w:rsid w:val="006D5EDD"/>
    <w:rsid w:val="006D60F1"/>
    <w:rsid w:val="006D6126"/>
    <w:rsid w:val="006D65BB"/>
    <w:rsid w:val="006D6612"/>
    <w:rsid w:val="006D663E"/>
    <w:rsid w:val="006D6666"/>
    <w:rsid w:val="006D69D0"/>
    <w:rsid w:val="006D6B98"/>
    <w:rsid w:val="006D6BC8"/>
    <w:rsid w:val="006D6D74"/>
    <w:rsid w:val="006D6ECB"/>
    <w:rsid w:val="006D6F5E"/>
    <w:rsid w:val="006D707F"/>
    <w:rsid w:val="006D7138"/>
    <w:rsid w:val="006D73A3"/>
    <w:rsid w:val="006D7496"/>
    <w:rsid w:val="006D74BC"/>
    <w:rsid w:val="006D7695"/>
    <w:rsid w:val="006D774E"/>
    <w:rsid w:val="006D77D5"/>
    <w:rsid w:val="006D799A"/>
    <w:rsid w:val="006D7C44"/>
    <w:rsid w:val="006D7C62"/>
    <w:rsid w:val="006D7CD0"/>
    <w:rsid w:val="006D7DBD"/>
    <w:rsid w:val="006D7ED8"/>
    <w:rsid w:val="006E006C"/>
    <w:rsid w:val="006E01DD"/>
    <w:rsid w:val="006E0369"/>
    <w:rsid w:val="006E04EF"/>
    <w:rsid w:val="006E0532"/>
    <w:rsid w:val="006E054E"/>
    <w:rsid w:val="006E08AC"/>
    <w:rsid w:val="006E092E"/>
    <w:rsid w:val="006E0998"/>
    <w:rsid w:val="006E0AF4"/>
    <w:rsid w:val="006E0D97"/>
    <w:rsid w:val="006E0E62"/>
    <w:rsid w:val="006E1195"/>
    <w:rsid w:val="006E11DC"/>
    <w:rsid w:val="006E17A8"/>
    <w:rsid w:val="006E1971"/>
    <w:rsid w:val="006E1E0B"/>
    <w:rsid w:val="006E1F06"/>
    <w:rsid w:val="006E212A"/>
    <w:rsid w:val="006E22DC"/>
    <w:rsid w:val="006E22FA"/>
    <w:rsid w:val="006E26A9"/>
    <w:rsid w:val="006E286F"/>
    <w:rsid w:val="006E29DC"/>
    <w:rsid w:val="006E2A0D"/>
    <w:rsid w:val="006E2A65"/>
    <w:rsid w:val="006E2B46"/>
    <w:rsid w:val="006E2BAF"/>
    <w:rsid w:val="006E2FD3"/>
    <w:rsid w:val="006E30E1"/>
    <w:rsid w:val="006E363B"/>
    <w:rsid w:val="006E3948"/>
    <w:rsid w:val="006E398D"/>
    <w:rsid w:val="006E399E"/>
    <w:rsid w:val="006E3D27"/>
    <w:rsid w:val="006E3E7F"/>
    <w:rsid w:val="006E3FBE"/>
    <w:rsid w:val="006E40A4"/>
    <w:rsid w:val="006E436E"/>
    <w:rsid w:val="006E4831"/>
    <w:rsid w:val="006E4BF0"/>
    <w:rsid w:val="006E4C00"/>
    <w:rsid w:val="006E4E09"/>
    <w:rsid w:val="006E50D6"/>
    <w:rsid w:val="006E51FE"/>
    <w:rsid w:val="006E52A1"/>
    <w:rsid w:val="006E5792"/>
    <w:rsid w:val="006E5793"/>
    <w:rsid w:val="006E57A0"/>
    <w:rsid w:val="006E57F3"/>
    <w:rsid w:val="006E5C67"/>
    <w:rsid w:val="006E5D92"/>
    <w:rsid w:val="006E5E27"/>
    <w:rsid w:val="006E5F53"/>
    <w:rsid w:val="006E625D"/>
    <w:rsid w:val="006E632D"/>
    <w:rsid w:val="006E64DC"/>
    <w:rsid w:val="006E66A8"/>
    <w:rsid w:val="006E673D"/>
    <w:rsid w:val="006E6916"/>
    <w:rsid w:val="006E6B6F"/>
    <w:rsid w:val="006E7195"/>
    <w:rsid w:val="006E720B"/>
    <w:rsid w:val="006E738D"/>
    <w:rsid w:val="006E74BB"/>
    <w:rsid w:val="006E75BE"/>
    <w:rsid w:val="006E76CE"/>
    <w:rsid w:val="006E7786"/>
    <w:rsid w:val="006E78CB"/>
    <w:rsid w:val="006E78D7"/>
    <w:rsid w:val="006E7A34"/>
    <w:rsid w:val="006E7ACA"/>
    <w:rsid w:val="006E7CC6"/>
    <w:rsid w:val="006E7F43"/>
    <w:rsid w:val="006F0170"/>
    <w:rsid w:val="006F0194"/>
    <w:rsid w:val="006F02C0"/>
    <w:rsid w:val="006F05E8"/>
    <w:rsid w:val="006F07E2"/>
    <w:rsid w:val="006F0F62"/>
    <w:rsid w:val="006F11CC"/>
    <w:rsid w:val="006F1200"/>
    <w:rsid w:val="006F12BD"/>
    <w:rsid w:val="006F13C4"/>
    <w:rsid w:val="006F15AC"/>
    <w:rsid w:val="006F1642"/>
    <w:rsid w:val="006F16AD"/>
    <w:rsid w:val="006F1701"/>
    <w:rsid w:val="006F170D"/>
    <w:rsid w:val="006F19ED"/>
    <w:rsid w:val="006F1D10"/>
    <w:rsid w:val="006F1D1F"/>
    <w:rsid w:val="006F200E"/>
    <w:rsid w:val="006F205D"/>
    <w:rsid w:val="006F23BD"/>
    <w:rsid w:val="006F2490"/>
    <w:rsid w:val="006F2791"/>
    <w:rsid w:val="006F2832"/>
    <w:rsid w:val="006F2855"/>
    <w:rsid w:val="006F2985"/>
    <w:rsid w:val="006F2A13"/>
    <w:rsid w:val="006F2F31"/>
    <w:rsid w:val="006F308E"/>
    <w:rsid w:val="006F31EC"/>
    <w:rsid w:val="006F34B9"/>
    <w:rsid w:val="006F3542"/>
    <w:rsid w:val="006F3BC9"/>
    <w:rsid w:val="006F3CA8"/>
    <w:rsid w:val="006F3F88"/>
    <w:rsid w:val="006F4206"/>
    <w:rsid w:val="006F4434"/>
    <w:rsid w:val="006F469F"/>
    <w:rsid w:val="006F46A6"/>
    <w:rsid w:val="006F47E3"/>
    <w:rsid w:val="006F48F9"/>
    <w:rsid w:val="006F4AD6"/>
    <w:rsid w:val="006F4B2C"/>
    <w:rsid w:val="006F521B"/>
    <w:rsid w:val="006F55C4"/>
    <w:rsid w:val="006F5730"/>
    <w:rsid w:val="006F5746"/>
    <w:rsid w:val="006F5856"/>
    <w:rsid w:val="006F5972"/>
    <w:rsid w:val="006F5BC9"/>
    <w:rsid w:val="006F5F5D"/>
    <w:rsid w:val="006F5F6D"/>
    <w:rsid w:val="006F5FFB"/>
    <w:rsid w:val="006F6127"/>
    <w:rsid w:val="006F633A"/>
    <w:rsid w:val="006F6584"/>
    <w:rsid w:val="006F6606"/>
    <w:rsid w:val="006F6994"/>
    <w:rsid w:val="006F6BDE"/>
    <w:rsid w:val="006F6F76"/>
    <w:rsid w:val="006F7094"/>
    <w:rsid w:val="006F72D6"/>
    <w:rsid w:val="006F7468"/>
    <w:rsid w:val="006F750F"/>
    <w:rsid w:val="006F7527"/>
    <w:rsid w:val="006F753C"/>
    <w:rsid w:val="006F76BB"/>
    <w:rsid w:val="006F777D"/>
    <w:rsid w:val="006F780F"/>
    <w:rsid w:val="006F78CD"/>
    <w:rsid w:val="006F78EE"/>
    <w:rsid w:val="006F7927"/>
    <w:rsid w:val="006F794F"/>
    <w:rsid w:val="006F7DB4"/>
    <w:rsid w:val="006F7E3E"/>
    <w:rsid w:val="006F7F69"/>
    <w:rsid w:val="006F7FBB"/>
    <w:rsid w:val="00700737"/>
    <w:rsid w:val="00700794"/>
    <w:rsid w:val="00700952"/>
    <w:rsid w:val="007009D8"/>
    <w:rsid w:val="00700C7E"/>
    <w:rsid w:val="00700CB9"/>
    <w:rsid w:val="00700E02"/>
    <w:rsid w:val="00700F20"/>
    <w:rsid w:val="00700F78"/>
    <w:rsid w:val="00700F7E"/>
    <w:rsid w:val="00701041"/>
    <w:rsid w:val="00701162"/>
    <w:rsid w:val="00701176"/>
    <w:rsid w:val="007013E7"/>
    <w:rsid w:val="00701681"/>
    <w:rsid w:val="0070173E"/>
    <w:rsid w:val="00701843"/>
    <w:rsid w:val="00701A03"/>
    <w:rsid w:val="00701A54"/>
    <w:rsid w:val="00701D06"/>
    <w:rsid w:val="00701D8F"/>
    <w:rsid w:val="00701F9C"/>
    <w:rsid w:val="007026EF"/>
    <w:rsid w:val="007028C0"/>
    <w:rsid w:val="00702934"/>
    <w:rsid w:val="00702A57"/>
    <w:rsid w:val="00702A69"/>
    <w:rsid w:val="00702AA6"/>
    <w:rsid w:val="00702BA6"/>
    <w:rsid w:val="00702D41"/>
    <w:rsid w:val="00702DB2"/>
    <w:rsid w:val="00702E21"/>
    <w:rsid w:val="00702E56"/>
    <w:rsid w:val="00702FB4"/>
    <w:rsid w:val="007030EF"/>
    <w:rsid w:val="00703266"/>
    <w:rsid w:val="007032AC"/>
    <w:rsid w:val="0070331A"/>
    <w:rsid w:val="00703512"/>
    <w:rsid w:val="007036AF"/>
    <w:rsid w:val="00703876"/>
    <w:rsid w:val="00703CC2"/>
    <w:rsid w:val="00703CFE"/>
    <w:rsid w:val="00703EB8"/>
    <w:rsid w:val="00703FAF"/>
    <w:rsid w:val="007040B6"/>
    <w:rsid w:val="00704277"/>
    <w:rsid w:val="007042BE"/>
    <w:rsid w:val="007043C2"/>
    <w:rsid w:val="007043D9"/>
    <w:rsid w:val="00704400"/>
    <w:rsid w:val="00704672"/>
    <w:rsid w:val="0070480A"/>
    <w:rsid w:val="007048CD"/>
    <w:rsid w:val="00704EE0"/>
    <w:rsid w:val="00704EE4"/>
    <w:rsid w:val="007054AE"/>
    <w:rsid w:val="00705ABC"/>
    <w:rsid w:val="00705B3B"/>
    <w:rsid w:val="00705C0D"/>
    <w:rsid w:val="00705CBC"/>
    <w:rsid w:val="00705D06"/>
    <w:rsid w:val="00705D7C"/>
    <w:rsid w:val="00706205"/>
    <w:rsid w:val="00706259"/>
    <w:rsid w:val="0070625B"/>
    <w:rsid w:val="007062DC"/>
    <w:rsid w:val="00706428"/>
    <w:rsid w:val="007067E1"/>
    <w:rsid w:val="007069F5"/>
    <w:rsid w:val="00706B0D"/>
    <w:rsid w:val="00706C53"/>
    <w:rsid w:val="00706C7B"/>
    <w:rsid w:val="00706D73"/>
    <w:rsid w:val="00706D75"/>
    <w:rsid w:val="00706DF5"/>
    <w:rsid w:val="007070F1"/>
    <w:rsid w:val="0070722E"/>
    <w:rsid w:val="00707277"/>
    <w:rsid w:val="0070729E"/>
    <w:rsid w:val="0070734C"/>
    <w:rsid w:val="00707507"/>
    <w:rsid w:val="00707A33"/>
    <w:rsid w:val="00707B36"/>
    <w:rsid w:val="00707BEE"/>
    <w:rsid w:val="007105EA"/>
    <w:rsid w:val="007106D1"/>
    <w:rsid w:val="00710954"/>
    <w:rsid w:val="00710D3B"/>
    <w:rsid w:val="00710D5B"/>
    <w:rsid w:val="00710DCF"/>
    <w:rsid w:val="00710DEF"/>
    <w:rsid w:val="00710E88"/>
    <w:rsid w:val="00711007"/>
    <w:rsid w:val="007111FB"/>
    <w:rsid w:val="007113ED"/>
    <w:rsid w:val="0071140B"/>
    <w:rsid w:val="007114A2"/>
    <w:rsid w:val="00711535"/>
    <w:rsid w:val="00711670"/>
    <w:rsid w:val="00711681"/>
    <w:rsid w:val="0071186B"/>
    <w:rsid w:val="00711910"/>
    <w:rsid w:val="00711A01"/>
    <w:rsid w:val="00711CFF"/>
    <w:rsid w:val="00711EA6"/>
    <w:rsid w:val="00712065"/>
    <w:rsid w:val="007120C0"/>
    <w:rsid w:val="0071245F"/>
    <w:rsid w:val="007129B8"/>
    <w:rsid w:val="00712A86"/>
    <w:rsid w:val="00712CA5"/>
    <w:rsid w:val="00712DEB"/>
    <w:rsid w:val="00712E94"/>
    <w:rsid w:val="0071338B"/>
    <w:rsid w:val="007134B6"/>
    <w:rsid w:val="0071374C"/>
    <w:rsid w:val="007138B8"/>
    <w:rsid w:val="0071394E"/>
    <w:rsid w:val="007139AF"/>
    <w:rsid w:val="00713A23"/>
    <w:rsid w:val="00713AC6"/>
    <w:rsid w:val="00713B05"/>
    <w:rsid w:val="00713BE9"/>
    <w:rsid w:val="00713C49"/>
    <w:rsid w:val="00713C63"/>
    <w:rsid w:val="00713D05"/>
    <w:rsid w:val="00713DA8"/>
    <w:rsid w:val="00713DBA"/>
    <w:rsid w:val="00713F57"/>
    <w:rsid w:val="0071413E"/>
    <w:rsid w:val="00714308"/>
    <w:rsid w:val="00714332"/>
    <w:rsid w:val="007144ED"/>
    <w:rsid w:val="00714732"/>
    <w:rsid w:val="007148BE"/>
    <w:rsid w:val="0071497E"/>
    <w:rsid w:val="007149D2"/>
    <w:rsid w:val="00714AC0"/>
    <w:rsid w:val="00714C2A"/>
    <w:rsid w:val="00714CDD"/>
    <w:rsid w:val="007154C1"/>
    <w:rsid w:val="0071553A"/>
    <w:rsid w:val="00715F73"/>
    <w:rsid w:val="00715FCD"/>
    <w:rsid w:val="00716036"/>
    <w:rsid w:val="007160AC"/>
    <w:rsid w:val="007160E6"/>
    <w:rsid w:val="00716119"/>
    <w:rsid w:val="00716395"/>
    <w:rsid w:val="007164CC"/>
    <w:rsid w:val="007165F6"/>
    <w:rsid w:val="00716606"/>
    <w:rsid w:val="0071683E"/>
    <w:rsid w:val="00716868"/>
    <w:rsid w:val="0071686C"/>
    <w:rsid w:val="00716A53"/>
    <w:rsid w:val="00716B24"/>
    <w:rsid w:val="00716BCF"/>
    <w:rsid w:val="00716D56"/>
    <w:rsid w:val="00716FF5"/>
    <w:rsid w:val="007171BF"/>
    <w:rsid w:val="00717259"/>
    <w:rsid w:val="00717307"/>
    <w:rsid w:val="007173C2"/>
    <w:rsid w:val="0071742E"/>
    <w:rsid w:val="00717611"/>
    <w:rsid w:val="007176F0"/>
    <w:rsid w:val="00717965"/>
    <w:rsid w:val="00717A36"/>
    <w:rsid w:val="00717D8C"/>
    <w:rsid w:val="00717EC9"/>
    <w:rsid w:val="00720002"/>
    <w:rsid w:val="007200E7"/>
    <w:rsid w:val="00720105"/>
    <w:rsid w:val="00720168"/>
    <w:rsid w:val="0072028C"/>
    <w:rsid w:val="00720293"/>
    <w:rsid w:val="00720409"/>
    <w:rsid w:val="007207BD"/>
    <w:rsid w:val="007209E8"/>
    <w:rsid w:val="00720D54"/>
    <w:rsid w:val="00721072"/>
    <w:rsid w:val="00721293"/>
    <w:rsid w:val="00721572"/>
    <w:rsid w:val="00721801"/>
    <w:rsid w:val="00721B2B"/>
    <w:rsid w:val="00721B35"/>
    <w:rsid w:val="00721D41"/>
    <w:rsid w:val="00721DF0"/>
    <w:rsid w:val="00721E1D"/>
    <w:rsid w:val="00722152"/>
    <w:rsid w:val="007221E5"/>
    <w:rsid w:val="007222C3"/>
    <w:rsid w:val="00722454"/>
    <w:rsid w:val="00722C82"/>
    <w:rsid w:val="00722DA3"/>
    <w:rsid w:val="00722E1A"/>
    <w:rsid w:val="00722F02"/>
    <w:rsid w:val="00722FC6"/>
    <w:rsid w:val="00722FDB"/>
    <w:rsid w:val="007231C2"/>
    <w:rsid w:val="007232D6"/>
    <w:rsid w:val="007236D0"/>
    <w:rsid w:val="007236F4"/>
    <w:rsid w:val="0072389D"/>
    <w:rsid w:val="00723952"/>
    <w:rsid w:val="00723D82"/>
    <w:rsid w:val="00723E64"/>
    <w:rsid w:val="00723F70"/>
    <w:rsid w:val="00723F9A"/>
    <w:rsid w:val="007240AF"/>
    <w:rsid w:val="007240F9"/>
    <w:rsid w:val="0072421B"/>
    <w:rsid w:val="00724230"/>
    <w:rsid w:val="0072435F"/>
    <w:rsid w:val="0072439D"/>
    <w:rsid w:val="00724481"/>
    <w:rsid w:val="007249E3"/>
    <w:rsid w:val="00724D24"/>
    <w:rsid w:val="00724EB5"/>
    <w:rsid w:val="00725024"/>
    <w:rsid w:val="00725133"/>
    <w:rsid w:val="007251C0"/>
    <w:rsid w:val="007252E1"/>
    <w:rsid w:val="00725390"/>
    <w:rsid w:val="00725457"/>
    <w:rsid w:val="00725B47"/>
    <w:rsid w:val="00725E90"/>
    <w:rsid w:val="007260C1"/>
    <w:rsid w:val="0072624D"/>
    <w:rsid w:val="007263A3"/>
    <w:rsid w:val="00726A67"/>
    <w:rsid w:val="00726B0D"/>
    <w:rsid w:val="007270DF"/>
    <w:rsid w:val="007270EF"/>
    <w:rsid w:val="00727107"/>
    <w:rsid w:val="00727116"/>
    <w:rsid w:val="0072720D"/>
    <w:rsid w:val="007273E3"/>
    <w:rsid w:val="00727643"/>
    <w:rsid w:val="00727792"/>
    <w:rsid w:val="007278AE"/>
    <w:rsid w:val="007278BA"/>
    <w:rsid w:val="007278C4"/>
    <w:rsid w:val="007278F5"/>
    <w:rsid w:val="00727BFC"/>
    <w:rsid w:val="00727C29"/>
    <w:rsid w:val="00727D30"/>
    <w:rsid w:val="00727EDC"/>
    <w:rsid w:val="00727FC1"/>
    <w:rsid w:val="00727FDA"/>
    <w:rsid w:val="00727FF4"/>
    <w:rsid w:val="007303A7"/>
    <w:rsid w:val="007304C8"/>
    <w:rsid w:val="00730607"/>
    <w:rsid w:val="00730802"/>
    <w:rsid w:val="00730854"/>
    <w:rsid w:val="007309B3"/>
    <w:rsid w:val="00730DB0"/>
    <w:rsid w:val="00730E25"/>
    <w:rsid w:val="00730FCA"/>
    <w:rsid w:val="00730FD2"/>
    <w:rsid w:val="007311FF"/>
    <w:rsid w:val="007313FB"/>
    <w:rsid w:val="00731409"/>
    <w:rsid w:val="007315BE"/>
    <w:rsid w:val="007319F4"/>
    <w:rsid w:val="00731E0F"/>
    <w:rsid w:val="00731F09"/>
    <w:rsid w:val="00731F2B"/>
    <w:rsid w:val="00731FA1"/>
    <w:rsid w:val="0073254E"/>
    <w:rsid w:val="007327E0"/>
    <w:rsid w:val="00732A21"/>
    <w:rsid w:val="00732B70"/>
    <w:rsid w:val="00732BFF"/>
    <w:rsid w:val="00732CE7"/>
    <w:rsid w:val="00732D17"/>
    <w:rsid w:val="00732DFA"/>
    <w:rsid w:val="00732EA8"/>
    <w:rsid w:val="00732FFB"/>
    <w:rsid w:val="007331F5"/>
    <w:rsid w:val="00733419"/>
    <w:rsid w:val="00733437"/>
    <w:rsid w:val="00733540"/>
    <w:rsid w:val="00733889"/>
    <w:rsid w:val="00733A13"/>
    <w:rsid w:val="00733C9B"/>
    <w:rsid w:val="00733CAE"/>
    <w:rsid w:val="00733F85"/>
    <w:rsid w:val="0073439A"/>
    <w:rsid w:val="00734B08"/>
    <w:rsid w:val="00734BC6"/>
    <w:rsid w:val="00734C1D"/>
    <w:rsid w:val="00734DB9"/>
    <w:rsid w:val="00734EF7"/>
    <w:rsid w:val="00734F75"/>
    <w:rsid w:val="00734F99"/>
    <w:rsid w:val="007351BF"/>
    <w:rsid w:val="00735504"/>
    <w:rsid w:val="007355CC"/>
    <w:rsid w:val="007357FC"/>
    <w:rsid w:val="0073588C"/>
    <w:rsid w:val="007358E1"/>
    <w:rsid w:val="00735930"/>
    <w:rsid w:val="0073598B"/>
    <w:rsid w:val="00735A3F"/>
    <w:rsid w:val="00735D34"/>
    <w:rsid w:val="00735DD0"/>
    <w:rsid w:val="0073606C"/>
    <w:rsid w:val="007361A7"/>
    <w:rsid w:val="007361DB"/>
    <w:rsid w:val="00736279"/>
    <w:rsid w:val="00736289"/>
    <w:rsid w:val="00736610"/>
    <w:rsid w:val="00736CBA"/>
    <w:rsid w:val="00736DAC"/>
    <w:rsid w:val="00736DAE"/>
    <w:rsid w:val="0073730D"/>
    <w:rsid w:val="0073731C"/>
    <w:rsid w:val="00737338"/>
    <w:rsid w:val="007373CA"/>
    <w:rsid w:val="007373E7"/>
    <w:rsid w:val="00737725"/>
    <w:rsid w:val="00737AF8"/>
    <w:rsid w:val="00737B5A"/>
    <w:rsid w:val="00740010"/>
    <w:rsid w:val="00740042"/>
    <w:rsid w:val="0074017A"/>
    <w:rsid w:val="007404B9"/>
    <w:rsid w:val="00740684"/>
    <w:rsid w:val="007406AD"/>
    <w:rsid w:val="00740A34"/>
    <w:rsid w:val="00740A52"/>
    <w:rsid w:val="00740AAF"/>
    <w:rsid w:val="00740B74"/>
    <w:rsid w:val="00740C08"/>
    <w:rsid w:val="0074114B"/>
    <w:rsid w:val="007412FE"/>
    <w:rsid w:val="007414CD"/>
    <w:rsid w:val="007415C8"/>
    <w:rsid w:val="00741667"/>
    <w:rsid w:val="00741762"/>
    <w:rsid w:val="00741827"/>
    <w:rsid w:val="00741903"/>
    <w:rsid w:val="00741A73"/>
    <w:rsid w:val="00741B35"/>
    <w:rsid w:val="00741B64"/>
    <w:rsid w:val="00741C17"/>
    <w:rsid w:val="00741CCF"/>
    <w:rsid w:val="00741D6F"/>
    <w:rsid w:val="00741E2D"/>
    <w:rsid w:val="00742079"/>
    <w:rsid w:val="0074219C"/>
    <w:rsid w:val="007422C6"/>
    <w:rsid w:val="00742645"/>
    <w:rsid w:val="007427F2"/>
    <w:rsid w:val="00742C59"/>
    <w:rsid w:val="00743105"/>
    <w:rsid w:val="0074316C"/>
    <w:rsid w:val="0074333F"/>
    <w:rsid w:val="007435CA"/>
    <w:rsid w:val="00743BD3"/>
    <w:rsid w:val="00743CBE"/>
    <w:rsid w:val="0074414B"/>
    <w:rsid w:val="00744343"/>
    <w:rsid w:val="007443D4"/>
    <w:rsid w:val="0074444A"/>
    <w:rsid w:val="00744669"/>
    <w:rsid w:val="0074492B"/>
    <w:rsid w:val="007449CE"/>
    <w:rsid w:val="00744C0A"/>
    <w:rsid w:val="00744CDD"/>
    <w:rsid w:val="00744E2D"/>
    <w:rsid w:val="00744EB8"/>
    <w:rsid w:val="00744F03"/>
    <w:rsid w:val="007450FC"/>
    <w:rsid w:val="007451C1"/>
    <w:rsid w:val="0074538C"/>
    <w:rsid w:val="007454F8"/>
    <w:rsid w:val="007456C4"/>
    <w:rsid w:val="007457AB"/>
    <w:rsid w:val="00745813"/>
    <w:rsid w:val="0074583A"/>
    <w:rsid w:val="00745A28"/>
    <w:rsid w:val="00745A70"/>
    <w:rsid w:val="00745B8D"/>
    <w:rsid w:val="00745D40"/>
    <w:rsid w:val="00745D5F"/>
    <w:rsid w:val="00746A1E"/>
    <w:rsid w:val="00746A89"/>
    <w:rsid w:val="00746AA2"/>
    <w:rsid w:val="00746AB7"/>
    <w:rsid w:val="00746B4A"/>
    <w:rsid w:val="00746B70"/>
    <w:rsid w:val="00747324"/>
    <w:rsid w:val="00747542"/>
    <w:rsid w:val="00747616"/>
    <w:rsid w:val="00747633"/>
    <w:rsid w:val="00747638"/>
    <w:rsid w:val="007476D9"/>
    <w:rsid w:val="00747AEB"/>
    <w:rsid w:val="00747B32"/>
    <w:rsid w:val="00747B45"/>
    <w:rsid w:val="00747E0F"/>
    <w:rsid w:val="00750593"/>
    <w:rsid w:val="0075068A"/>
    <w:rsid w:val="007506F6"/>
    <w:rsid w:val="00750ACD"/>
    <w:rsid w:val="00750B4D"/>
    <w:rsid w:val="00750BFD"/>
    <w:rsid w:val="00750CF7"/>
    <w:rsid w:val="0075117C"/>
    <w:rsid w:val="0075131C"/>
    <w:rsid w:val="00751453"/>
    <w:rsid w:val="0075146E"/>
    <w:rsid w:val="00751525"/>
    <w:rsid w:val="0075161E"/>
    <w:rsid w:val="00751713"/>
    <w:rsid w:val="007519CD"/>
    <w:rsid w:val="00751AF3"/>
    <w:rsid w:val="00751B1D"/>
    <w:rsid w:val="00751B20"/>
    <w:rsid w:val="00751BE1"/>
    <w:rsid w:val="00751C63"/>
    <w:rsid w:val="00751CF6"/>
    <w:rsid w:val="00751DC8"/>
    <w:rsid w:val="007521F6"/>
    <w:rsid w:val="007522EE"/>
    <w:rsid w:val="00752449"/>
    <w:rsid w:val="00752469"/>
    <w:rsid w:val="0075258E"/>
    <w:rsid w:val="00752987"/>
    <w:rsid w:val="00752990"/>
    <w:rsid w:val="007529AD"/>
    <w:rsid w:val="00752CFA"/>
    <w:rsid w:val="00753784"/>
    <w:rsid w:val="00753CD0"/>
    <w:rsid w:val="00753D38"/>
    <w:rsid w:val="00753D92"/>
    <w:rsid w:val="00753E9F"/>
    <w:rsid w:val="00753EE4"/>
    <w:rsid w:val="0075402B"/>
    <w:rsid w:val="00754321"/>
    <w:rsid w:val="00754393"/>
    <w:rsid w:val="007547F0"/>
    <w:rsid w:val="00754A20"/>
    <w:rsid w:val="00754A26"/>
    <w:rsid w:val="00754D4F"/>
    <w:rsid w:val="00754F94"/>
    <w:rsid w:val="00755240"/>
    <w:rsid w:val="00755280"/>
    <w:rsid w:val="007552C9"/>
    <w:rsid w:val="007552D2"/>
    <w:rsid w:val="007553C4"/>
    <w:rsid w:val="00755AE7"/>
    <w:rsid w:val="00755B7E"/>
    <w:rsid w:val="00755BF4"/>
    <w:rsid w:val="00755C53"/>
    <w:rsid w:val="00755DC3"/>
    <w:rsid w:val="00755E3C"/>
    <w:rsid w:val="00755E78"/>
    <w:rsid w:val="0075600E"/>
    <w:rsid w:val="007561B1"/>
    <w:rsid w:val="007563E5"/>
    <w:rsid w:val="0075664F"/>
    <w:rsid w:val="007567DB"/>
    <w:rsid w:val="007567FF"/>
    <w:rsid w:val="007568A4"/>
    <w:rsid w:val="00756A31"/>
    <w:rsid w:val="00756E36"/>
    <w:rsid w:val="0075704D"/>
    <w:rsid w:val="0075730C"/>
    <w:rsid w:val="007575F1"/>
    <w:rsid w:val="00757623"/>
    <w:rsid w:val="00757797"/>
    <w:rsid w:val="007578B6"/>
    <w:rsid w:val="0075796A"/>
    <w:rsid w:val="00757A0C"/>
    <w:rsid w:val="00757B86"/>
    <w:rsid w:val="00757C40"/>
    <w:rsid w:val="007600D1"/>
    <w:rsid w:val="007601D8"/>
    <w:rsid w:val="0076024C"/>
    <w:rsid w:val="00760406"/>
    <w:rsid w:val="00760425"/>
    <w:rsid w:val="00760426"/>
    <w:rsid w:val="0076055E"/>
    <w:rsid w:val="0076073D"/>
    <w:rsid w:val="00760A8B"/>
    <w:rsid w:val="00760AFA"/>
    <w:rsid w:val="00760D23"/>
    <w:rsid w:val="00760E4D"/>
    <w:rsid w:val="00760E93"/>
    <w:rsid w:val="00760E9B"/>
    <w:rsid w:val="00761053"/>
    <w:rsid w:val="007610B7"/>
    <w:rsid w:val="007612CC"/>
    <w:rsid w:val="0076131C"/>
    <w:rsid w:val="00761350"/>
    <w:rsid w:val="00761461"/>
    <w:rsid w:val="00761655"/>
    <w:rsid w:val="00761847"/>
    <w:rsid w:val="00761902"/>
    <w:rsid w:val="007619BD"/>
    <w:rsid w:val="00761AEE"/>
    <w:rsid w:val="00761B97"/>
    <w:rsid w:val="00761CE5"/>
    <w:rsid w:val="00762094"/>
    <w:rsid w:val="00762343"/>
    <w:rsid w:val="0076239D"/>
    <w:rsid w:val="007623DA"/>
    <w:rsid w:val="007626FB"/>
    <w:rsid w:val="007628E5"/>
    <w:rsid w:val="00762934"/>
    <w:rsid w:val="00762984"/>
    <w:rsid w:val="00762CAC"/>
    <w:rsid w:val="00762D67"/>
    <w:rsid w:val="00762D96"/>
    <w:rsid w:val="00762E98"/>
    <w:rsid w:val="007631C1"/>
    <w:rsid w:val="007632F7"/>
    <w:rsid w:val="007635F9"/>
    <w:rsid w:val="00763771"/>
    <w:rsid w:val="00763AEE"/>
    <w:rsid w:val="00763B0A"/>
    <w:rsid w:val="00763C73"/>
    <w:rsid w:val="00763F12"/>
    <w:rsid w:val="00764109"/>
    <w:rsid w:val="00764438"/>
    <w:rsid w:val="007644CA"/>
    <w:rsid w:val="007646EF"/>
    <w:rsid w:val="00764915"/>
    <w:rsid w:val="00764DA3"/>
    <w:rsid w:val="00764DB4"/>
    <w:rsid w:val="007650B3"/>
    <w:rsid w:val="00765206"/>
    <w:rsid w:val="00765563"/>
    <w:rsid w:val="00765694"/>
    <w:rsid w:val="007656DD"/>
    <w:rsid w:val="00765A8F"/>
    <w:rsid w:val="00765E4B"/>
    <w:rsid w:val="00765EF9"/>
    <w:rsid w:val="00766060"/>
    <w:rsid w:val="007660B0"/>
    <w:rsid w:val="00766423"/>
    <w:rsid w:val="00766646"/>
    <w:rsid w:val="00766712"/>
    <w:rsid w:val="0076682C"/>
    <w:rsid w:val="00766D46"/>
    <w:rsid w:val="00766D61"/>
    <w:rsid w:val="0076750E"/>
    <w:rsid w:val="007675E0"/>
    <w:rsid w:val="00767ACF"/>
    <w:rsid w:val="00767AE9"/>
    <w:rsid w:val="00767C9B"/>
    <w:rsid w:val="00767DD2"/>
    <w:rsid w:val="007701DC"/>
    <w:rsid w:val="00770395"/>
    <w:rsid w:val="007704DA"/>
    <w:rsid w:val="0077052E"/>
    <w:rsid w:val="007709B7"/>
    <w:rsid w:val="00770A78"/>
    <w:rsid w:val="00770BAD"/>
    <w:rsid w:val="00770DC2"/>
    <w:rsid w:val="0077100E"/>
    <w:rsid w:val="007715F1"/>
    <w:rsid w:val="007717CE"/>
    <w:rsid w:val="0077197A"/>
    <w:rsid w:val="00771C14"/>
    <w:rsid w:val="00771C83"/>
    <w:rsid w:val="00771F16"/>
    <w:rsid w:val="0077226D"/>
    <w:rsid w:val="007725A4"/>
    <w:rsid w:val="0077265B"/>
    <w:rsid w:val="00772746"/>
    <w:rsid w:val="007728CB"/>
    <w:rsid w:val="007728D6"/>
    <w:rsid w:val="00772B9A"/>
    <w:rsid w:val="00772D97"/>
    <w:rsid w:val="00773015"/>
    <w:rsid w:val="0077332E"/>
    <w:rsid w:val="0077348A"/>
    <w:rsid w:val="00773554"/>
    <w:rsid w:val="00773577"/>
    <w:rsid w:val="007735C2"/>
    <w:rsid w:val="0077372A"/>
    <w:rsid w:val="007737D1"/>
    <w:rsid w:val="00773A1A"/>
    <w:rsid w:val="00773E60"/>
    <w:rsid w:val="00773E9D"/>
    <w:rsid w:val="00773ECD"/>
    <w:rsid w:val="00774220"/>
    <w:rsid w:val="00774547"/>
    <w:rsid w:val="007746E9"/>
    <w:rsid w:val="007748F9"/>
    <w:rsid w:val="00774BBE"/>
    <w:rsid w:val="00774BF4"/>
    <w:rsid w:val="0077515F"/>
    <w:rsid w:val="007751A6"/>
    <w:rsid w:val="00775598"/>
    <w:rsid w:val="007757DC"/>
    <w:rsid w:val="00775A6F"/>
    <w:rsid w:val="00775BD2"/>
    <w:rsid w:val="00775C1C"/>
    <w:rsid w:val="00776112"/>
    <w:rsid w:val="00776522"/>
    <w:rsid w:val="0077652B"/>
    <w:rsid w:val="007765C2"/>
    <w:rsid w:val="007766EF"/>
    <w:rsid w:val="0077672A"/>
    <w:rsid w:val="00776942"/>
    <w:rsid w:val="00776A90"/>
    <w:rsid w:val="00776B19"/>
    <w:rsid w:val="00776B57"/>
    <w:rsid w:val="00776D87"/>
    <w:rsid w:val="00776F1B"/>
    <w:rsid w:val="00777014"/>
    <w:rsid w:val="007770E6"/>
    <w:rsid w:val="00777431"/>
    <w:rsid w:val="007775A4"/>
    <w:rsid w:val="007777FB"/>
    <w:rsid w:val="007778DA"/>
    <w:rsid w:val="00777B4C"/>
    <w:rsid w:val="00777EC4"/>
    <w:rsid w:val="00777EC7"/>
    <w:rsid w:val="00777EE0"/>
    <w:rsid w:val="00780040"/>
    <w:rsid w:val="00780149"/>
    <w:rsid w:val="00780237"/>
    <w:rsid w:val="00780329"/>
    <w:rsid w:val="007804A1"/>
    <w:rsid w:val="007804EA"/>
    <w:rsid w:val="00780541"/>
    <w:rsid w:val="00780559"/>
    <w:rsid w:val="0078059C"/>
    <w:rsid w:val="00780847"/>
    <w:rsid w:val="00780B09"/>
    <w:rsid w:val="00780C0F"/>
    <w:rsid w:val="00780D52"/>
    <w:rsid w:val="00781360"/>
    <w:rsid w:val="00781399"/>
    <w:rsid w:val="007813CA"/>
    <w:rsid w:val="00781460"/>
    <w:rsid w:val="007814FA"/>
    <w:rsid w:val="0078155B"/>
    <w:rsid w:val="00781852"/>
    <w:rsid w:val="00781957"/>
    <w:rsid w:val="00781996"/>
    <w:rsid w:val="00781B83"/>
    <w:rsid w:val="00781BB9"/>
    <w:rsid w:val="00781F1A"/>
    <w:rsid w:val="00781FFE"/>
    <w:rsid w:val="0078223A"/>
    <w:rsid w:val="0078232C"/>
    <w:rsid w:val="007824D8"/>
    <w:rsid w:val="00782600"/>
    <w:rsid w:val="0078264A"/>
    <w:rsid w:val="0078269E"/>
    <w:rsid w:val="007826A5"/>
    <w:rsid w:val="007826B2"/>
    <w:rsid w:val="0078272B"/>
    <w:rsid w:val="00782851"/>
    <w:rsid w:val="0078286C"/>
    <w:rsid w:val="00782A0E"/>
    <w:rsid w:val="00782A33"/>
    <w:rsid w:val="00782A85"/>
    <w:rsid w:val="00782B87"/>
    <w:rsid w:val="00782B8C"/>
    <w:rsid w:val="00782BC3"/>
    <w:rsid w:val="00782DA9"/>
    <w:rsid w:val="00782FA4"/>
    <w:rsid w:val="00782FBE"/>
    <w:rsid w:val="007830B3"/>
    <w:rsid w:val="007830F6"/>
    <w:rsid w:val="00783254"/>
    <w:rsid w:val="007835F4"/>
    <w:rsid w:val="00783746"/>
    <w:rsid w:val="007838B0"/>
    <w:rsid w:val="00783927"/>
    <w:rsid w:val="00784176"/>
    <w:rsid w:val="00784235"/>
    <w:rsid w:val="007842F5"/>
    <w:rsid w:val="007842FB"/>
    <w:rsid w:val="007844EB"/>
    <w:rsid w:val="00784564"/>
    <w:rsid w:val="0078467C"/>
    <w:rsid w:val="00784D37"/>
    <w:rsid w:val="00784DB8"/>
    <w:rsid w:val="0078513B"/>
    <w:rsid w:val="007851EB"/>
    <w:rsid w:val="007852E3"/>
    <w:rsid w:val="00785496"/>
    <w:rsid w:val="007855C5"/>
    <w:rsid w:val="007859F7"/>
    <w:rsid w:val="00785BFB"/>
    <w:rsid w:val="00785C09"/>
    <w:rsid w:val="00785CED"/>
    <w:rsid w:val="00785E08"/>
    <w:rsid w:val="00785F5B"/>
    <w:rsid w:val="00785F77"/>
    <w:rsid w:val="00785FED"/>
    <w:rsid w:val="00786594"/>
    <w:rsid w:val="00786681"/>
    <w:rsid w:val="00786801"/>
    <w:rsid w:val="00786AF9"/>
    <w:rsid w:val="00787153"/>
    <w:rsid w:val="007874C8"/>
    <w:rsid w:val="007874CB"/>
    <w:rsid w:val="007874DC"/>
    <w:rsid w:val="00787599"/>
    <w:rsid w:val="007877CC"/>
    <w:rsid w:val="00787A22"/>
    <w:rsid w:val="00787AC0"/>
    <w:rsid w:val="00787C05"/>
    <w:rsid w:val="00787D03"/>
    <w:rsid w:val="007900A0"/>
    <w:rsid w:val="007901CD"/>
    <w:rsid w:val="00790212"/>
    <w:rsid w:val="00790271"/>
    <w:rsid w:val="0079036B"/>
    <w:rsid w:val="0079049B"/>
    <w:rsid w:val="00790584"/>
    <w:rsid w:val="00790741"/>
    <w:rsid w:val="00790A2E"/>
    <w:rsid w:val="00790C2C"/>
    <w:rsid w:val="00790D31"/>
    <w:rsid w:val="00790D53"/>
    <w:rsid w:val="00790D68"/>
    <w:rsid w:val="0079102D"/>
    <w:rsid w:val="00791152"/>
    <w:rsid w:val="00791218"/>
    <w:rsid w:val="0079142F"/>
    <w:rsid w:val="00791479"/>
    <w:rsid w:val="007916E4"/>
    <w:rsid w:val="00791740"/>
    <w:rsid w:val="007917C2"/>
    <w:rsid w:val="007917E4"/>
    <w:rsid w:val="00791867"/>
    <w:rsid w:val="00791A8C"/>
    <w:rsid w:val="00791B4A"/>
    <w:rsid w:val="00791D57"/>
    <w:rsid w:val="00791DD7"/>
    <w:rsid w:val="00791DDD"/>
    <w:rsid w:val="00791E9C"/>
    <w:rsid w:val="00791FFC"/>
    <w:rsid w:val="00792159"/>
    <w:rsid w:val="0079232A"/>
    <w:rsid w:val="007923E4"/>
    <w:rsid w:val="00792454"/>
    <w:rsid w:val="007928AC"/>
    <w:rsid w:val="00792991"/>
    <w:rsid w:val="00792B29"/>
    <w:rsid w:val="00792EEB"/>
    <w:rsid w:val="00792FD2"/>
    <w:rsid w:val="00793275"/>
    <w:rsid w:val="00793492"/>
    <w:rsid w:val="00793598"/>
    <w:rsid w:val="007936C9"/>
    <w:rsid w:val="0079375F"/>
    <w:rsid w:val="00793990"/>
    <w:rsid w:val="007939B0"/>
    <w:rsid w:val="00793AF4"/>
    <w:rsid w:val="00793C19"/>
    <w:rsid w:val="00793D0D"/>
    <w:rsid w:val="00793E58"/>
    <w:rsid w:val="00793FDC"/>
    <w:rsid w:val="007940DA"/>
    <w:rsid w:val="0079421D"/>
    <w:rsid w:val="00794418"/>
    <w:rsid w:val="00794497"/>
    <w:rsid w:val="00794564"/>
    <w:rsid w:val="0079473B"/>
    <w:rsid w:val="00794893"/>
    <w:rsid w:val="00794C78"/>
    <w:rsid w:val="00794CDC"/>
    <w:rsid w:val="00794EAF"/>
    <w:rsid w:val="00794EFD"/>
    <w:rsid w:val="00795081"/>
    <w:rsid w:val="007950CF"/>
    <w:rsid w:val="007950F4"/>
    <w:rsid w:val="00795108"/>
    <w:rsid w:val="0079513C"/>
    <w:rsid w:val="0079527D"/>
    <w:rsid w:val="007952DA"/>
    <w:rsid w:val="00795536"/>
    <w:rsid w:val="0079571E"/>
    <w:rsid w:val="0079595E"/>
    <w:rsid w:val="00795A58"/>
    <w:rsid w:val="00795BB4"/>
    <w:rsid w:val="00795C53"/>
    <w:rsid w:val="00795D15"/>
    <w:rsid w:val="00795D2D"/>
    <w:rsid w:val="00795E97"/>
    <w:rsid w:val="00795F7E"/>
    <w:rsid w:val="0079616F"/>
    <w:rsid w:val="00796185"/>
    <w:rsid w:val="00796398"/>
    <w:rsid w:val="00796583"/>
    <w:rsid w:val="007965EF"/>
    <w:rsid w:val="0079669E"/>
    <w:rsid w:val="007966A4"/>
    <w:rsid w:val="00796796"/>
    <w:rsid w:val="007967DE"/>
    <w:rsid w:val="00796A43"/>
    <w:rsid w:val="00796CE3"/>
    <w:rsid w:val="00796E8B"/>
    <w:rsid w:val="00796FFA"/>
    <w:rsid w:val="0079701D"/>
    <w:rsid w:val="00797390"/>
    <w:rsid w:val="00797458"/>
    <w:rsid w:val="007977D6"/>
    <w:rsid w:val="007978E9"/>
    <w:rsid w:val="007979E8"/>
    <w:rsid w:val="00797A0F"/>
    <w:rsid w:val="00797A76"/>
    <w:rsid w:val="00797C80"/>
    <w:rsid w:val="00797F46"/>
    <w:rsid w:val="007A030A"/>
    <w:rsid w:val="007A0474"/>
    <w:rsid w:val="007A0513"/>
    <w:rsid w:val="007A05BF"/>
    <w:rsid w:val="007A08A8"/>
    <w:rsid w:val="007A0935"/>
    <w:rsid w:val="007A0AF2"/>
    <w:rsid w:val="007A0E1C"/>
    <w:rsid w:val="007A0FD9"/>
    <w:rsid w:val="007A12E3"/>
    <w:rsid w:val="007A14FE"/>
    <w:rsid w:val="007A1624"/>
    <w:rsid w:val="007A167C"/>
    <w:rsid w:val="007A1680"/>
    <w:rsid w:val="007A168D"/>
    <w:rsid w:val="007A173E"/>
    <w:rsid w:val="007A1F21"/>
    <w:rsid w:val="007A20DE"/>
    <w:rsid w:val="007A279D"/>
    <w:rsid w:val="007A2B30"/>
    <w:rsid w:val="007A2BBC"/>
    <w:rsid w:val="007A2C0F"/>
    <w:rsid w:val="007A2DB4"/>
    <w:rsid w:val="007A2EA7"/>
    <w:rsid w:val="007A3005"/>
    <w:rsid w:val="007A30DF"/>
    <w:rsid w:val="007A3207"/>
    <w:rsid w:val="007A375A"/>
    <w:rsid w:val="007A376D"/>
    <w:rsid w:val="007A389D"/>
    <w:rsid w:val="007A38CF"/>
    <w:rsid w:val="007A3AB7"/>
    <w:rsid w:val="007A3B4B"/>
    <w:rsid w:val="007A3FCB"/>
    <w:rsid w:val="007A411B"/>
    <w:rsid w:val="007A424A"/>
    <w:rsid w:val="007A4692"/>
    <w:rsid w:val="007A4783"/>
    <w:rsid w:val="007A479A"/>
    <w:rsid w:val="007A47C0"/>
    <w:rsid w:val="007A490E"/>
    <w:rsid w:val="007A4B1E"/>
    <w:rsid w:val="007A4CF0"/>
    <w:rsid w:val="007A4D60"/>
    <w:rsid w:val="007A4D62"/>
    <w:rsid w:val="007A4D77"/>
    <w:rsid w:val="007A4EAC"/>
    <w:rsid w:val="007A4F72"/>
    <w:rsid w:val="007A5356"/>
    <w:rsid w:val="007A541D"/>
    <w:rsid w:val="007A5476"/>
    <w:rsid w:val="007A55E6"/>
    <w:rsid w:val="007A5828"/>
    <w:rsid w:val="007A58DF"/>
    <w:rsid w:val="007A5E65"/>
    <w:rsid w:val="007A6073"/>
    <w:rsid w:val="007A61E8"/>
    <w:rsid w:val="007A6236"/>
    <w:rsid w:val="007A6485"/>
    <w:rsid w:val="007A692C"/>
    <w:rsid w:val="007A6A00"/>
    <w:rsid w:val="007A6BFF"/>
    <w:rsid w:val="007A6F18"/>
    <w:rsid w:val="007A6FC7"/>
    <w:rsid w:val="007A709D"/>
    <w:rsid w:val="007A7299"/>
    <w:rsid w:val="007A738A"/>
    <w:rsid w:val="007A770B"/>
    <w:rsid w:val="007A775B"/>
    <w:rsid w:val="007A798F"/>
    <w:rsid w:val="007A79C3"/>
    <w:rsid w:val="007A7AE0"/>
    <w:rsid w:val="007A7B72"/>
    <w:rsid w:val="007A7C66"/>
    <w:rsid w:val="007A7CB6"/>
    <w:rsid w:val="007A7CF7"/>
    <w:rsid w:val="007A7DC1"/>
    <w:rsid w:val="007A7EFA"/>
    <w:rsid w:val="007B004C"/>
    <w:rsid w:val="007B00DC"/>
    <w:rsid w:val="007B01E0"/>
    <w:rsid w:val="007B0346"/>
    <w:rsid w:val="007B03F0"/>
    <w:rsid w:val="007B04F5"/>
    <w:rsid w:val="007B0833"/>
    <w:rsid w:val="007B09DB"/>
    <w:rsid w:val="007B09E7"/>
    <w:rsid w:val="007B0A16"/>
    <w:rsid w:val="007B0A68"/>
    <w:rsid w:val="007B0D08"/>
    <w:rsid w:val="007B0E69"/>
    <w:rsid w:val="007B11B8"/>
    <w:rsid w:val="007B12D1"/>
    <w:rsid w:val="007B132D"/>
    <w:rsid w:val="007B143D"/>
    <w:rsid w:val="007B147F"/>
    <w:rsid w:val="007B17CC"/>
    <w:rsid w:val="007B199F"/>
    <w:rsid w:val="007B1A82"/>
    <w:rsid w:val="007B1E77"/>
    <w:rsid w:val="007B1F35"/>
    <w:rsid w:val="007B1FD8"/>
    <w:rsid w:val="007B2315"/>
    <w:rsid w:val="007B2376"/>
    <w:rsid w:val="007B23F9"/>
    <w:rsid w:val="007B248E"/>
    <w:rsid w:val="007B25BA"/>
    <w:rsid w:val="007B2840"/>
    <w:rsid w:val="007B28F5"/>
    <w:rsid w:val="007B2AE4"/>
    <w:rsid w:val="007B2D0D"/>
    <w:rsid w:val="007B2FA6"/>
    <w:rsid w:val="007B3116"/>
    <w:rsid w:val="007B349B"/>
    <w:rsid w:val="007B3F33"/>
    <w:rsid w:val="007B3FA5"/>
    <w:rsid w:val="007B42F7"/>
    <w:rsid w:val="007B43F3"/>
    <w:rsid w:val="007B4441"/>
    <w:rsid w:val="007B451E"/>
    <w:rsid w:val="007B4551"/>
    <w:rsid w:val="007B458B"/>
    <w:rsid w:val="007B45DB"/>
    <w:rsid w:val="007B484E"/>
    <w:rsid w:val="007B48EF"/>
    <w:rsid w:val="007B4927"/>
    <w:rsid w:val="007B4BA7"/>
    <w:rsid w:val="007B51A0"/>
    <w:rsid w:val="007B51C5"/>
    <w:rsid w:val="007B5240"/>
    <w:rsid w:val="007B54E3"/>
    <w:rsid w:val="007B566C"/>
    <w:rsid w:val="007B56D6"/>
    <w:rsid w:val="007B56EB"/>
    <w:rsid w:val="007B5B9F"/>
    <w:rsid w:val="007B5BD0"/>
    <w:rsid w:val="007B600A"/>
    <w:rsid w:val="007B603A"/>
    <w:rsid w:val="007B6051"/>
    <w:rsid w:val="007B6194"/>
    <w:rsid w:val="007B624E"/>
    <w:rsid w:val="007B627F"/>
    <w:rsid w:val="007B631C"/>
    <w:rsid w:val="007B63AA"/>
    <w:rsid w:val="007B641F"/>
    <w:rsid w:val="007B64B2"/>
    <w:rsid w:val="007B65AD"/>
    <w:rsid w:val="007B6605"/>
    <w:rsid w:val="007B672E"/>
    <w:rsid w:val="007B68C9"/>
    <w:rsid w:val="007B69D8"/>
    <w:rsid w:val="007B69FC"/>
    <w:rsid w:val="007B6A5C"/>
    <w:rsid w:val="007B6B91"/>
    <w:rsid w:val="007B6D03"/>
    <w:rsid w:val="007B7075"/>
    <w:rsid w:val="007B7084"/>
    <w:rsid w:val="007B7220"/>
    <w:rsid w:val="007B72BC"/>
    <w:rsid w:val="007B75DE"/>
    <w:rsid w:val="007B76DA"/>
    <w:rsid w:val="007B7BF1"/>
    <w:rsid w:val="007B7D53"/>
    <w:rsid w:val="007B7FB5"/>
    <w:rsid w:val="007C0003"/>
    <w:rsid w:val="007C01E9"/>
    <w:rsid w:val="007C0214"/>
    <w:rsid w:val="007C07D5"/>
    <w:rsid w:val="007C09BA"/>
    <w:rsid w:val="007C0A00"/>
    <w:rsid w:val="007C0C5E"/>
    <w:rsid w:val="007C0E94"/>
    <w:rsid w:val="007C0FA4"/>
    <w:rsid w:val="007C0FBE"/>
    <w:rsid w:val="007C1103"/>
    <w:rsid w:val="007C12C3"/>
    <w:rsid w:val="007C1313"/>
    <w:rsid w:val="007C14E6"/>
    <w:rsid w:val="007C1BD4"/>
    <w:rsid w:val="007C1BE1"/>
    <w:rsid w:val="007C1CAD"/>
    <w:rsid w:val="007C1F8C"/>
    <w:rsid w:val="007C201B"/>
    <w:rsid w:val="007C21E4"/>
    <w:rsid w:val="007C2254"/>
    <w:rsid w:val="007C231B"/>
    <w:rsid w:val="007C2377"/>
    <w:rsid w:val="007C2577"/>
    <w:rsid w:val="007C2A79"/>
    <w:rsid w:val="007C2D32"/>
    <w:rsid w:val="007C33A8"/>
    <w:rsid w:val="007C38CC"/>
    <w:rsid w:val="007C3ABE"/>
    <w:rsid w:val="007C3BAD"/>
    <w:rsid w:val="007C3D35"/>
    <w:rsid w:val="007C3E2A"/>
    <w:rsid w:val="007C3EA8"/>
    <w:rsid w:val="007C3EDD"/>
    <w:rsid w:val="007C3F33"/>
    <w:rsid w:val="007C3FB6"/>
    <w:rsid w:val="007C426B"/>
    <w:rsid w:val="007C463B"/>
    <w:rsid w:val="007C47FE"/>
    <w:rsid w:val="007C4AA9"/>
    <w:rsid w:val="007C4E5C"/>
    <w:rsid w:val="007C4FB2"/>
    <w:rsid w:val="007C508A"/>
    <w:rsid w:val="007C50B6"/>
    <w:rsid w:val="007C53B8"/>
    <w:rsid w:val="007C5614"/>
    <w:rsid w:val="007C565C"/>
    <w:rsid w:val="007C5A49"/>
    <w:rsid w:val="007C5A56"/>
    <w:rsid w:val="007C5A69"/>
    <w:rsid w:val="007C5A78"/>
    <w:rsid w:val="007C5D05"/>
    <w:rsid w:val="007C5D95"/>
    <w:rsid w:val="007C5DC2"/>
    <w:rsid w:val="007C5EE0"/>
    <w:rsid w:val="007C5F8B"/>
    <w:rsid w:val="007C686B"/>
    <w:rsid w:val="007C6991"/>
    <w:rsid w:val="007C6A0D"/>
    <w:rsid w:val="007C6C82"/>
    <w:rsid w:val="007C6F11"/>
    <w:rsid w:val="007C6F2E"/>
    <w:rsid w:val="007C7322"/>
    <w:rsid w:val="007C74D9"/>
    <w:rsid w:val="007C7537"/>
    <w:rsid w:val="007C7804"/>
    <w:rsid w:val="007C7B0F"/>
    <w:rsid w:val="007C7B71"/>
    <w:rsid w:val="007C7CC9"/>
    <w:rsid w:val="007C7F08"/>
    <w:rsid w:val="007D044F"/>
    <w:rsid w:val="007D05B3"/>
    <w:rsid w:val="007D068D"/>
    <w:rsid w:val="007D08D5"/>
    <w:rsid w:val="007D094F"/>
    <w:rsid w:val="007D0B3F"/>
    <w:rsid w:val="007D0CD5"/>
    <w:rsid w:val="007D0E6B"/>
    <w:rsid w:val="007D0FB8"/>
    <w:rsid w:val="007D10D9"/>
    <w:rsid w:val="007D1104"/>
    <w:rsid w:val="007D11FB"/>
    <w:rsid w:val="007D1372"/>
    <w:rsid w:val="007D14BB"/>
    <w:rsid w:val="007D16AD"/>
    <w:rsid w:val="007D1823"/>
    <w:rsid w:val="007D18C4"/>
    <w:rsid w:val="007D1C85"/>
    <w:rsid w:val="007D207E"/>
    <w:rsid w:val="007D21E6"/>
    <w:rsid w:val="007D23B4"/>
    <w:rsid w:val="007D26E9"/>
    <w:rsid w:val="007D278B"/>
    <w:rsid w:val="007D289E"/>
    <w:rsid w:val="007D295B"/>
    <w:rsid w:val="007D2BC5"/>
    <w:rsid w:val="007D2E0B"/>
    <w:rsid w:val="007D2E3D"/>
    <w:rsid w:val="007D3240"/>
    <w:rsid w:val="007D3507"/>
    <w:rsid w:val="007D3681"/>
    <w:rsid w:val="007D3771"/>
    <w:rsid w:val="007D37AA"/>
    <w:rsid w:val="007D3A0C"/>
    <w:rsid w:val="007D3A91"/>
    <w:rsid w:val="007D3D80"/>
    <w:rsid w:val="007D3E1C"/>
    <w:rsid w:val="007D41C0"/>
    <w:rsid w:val="007D4306"/>
    <w:rsid w:val="007D4C6B"/>
    <w:rsid w:val="007D4CFF"/>
    <w:rsid w:val="007D4FEC"/>
    <w:rsid w:val="007D520D"/>
    <w:rsid w:val="007D591F"/>
    <w:rsid w:val="007D5B45"/>
    <w:rsid w:val="007D5CA7"/>
    <w:rsid w:val="007D5F58"/>
    <w:rsid w:val="007D6029"/>
    <w:rsid w:val="007D631B"/>
    <w:rsid w:val="007D6394"/>
    <w:rsid w:val="007D6614"/>
    <w:rsid w:val="007D6A5D"/>
    <w:rsid w:val="007D6F5C"/>
    <w:rsid w:val="007D71D8"/>
    <w:rsid w:val="007D73A8"/>
    <w:rsid w:val="007D7523"/>
    <w:rsid w:val="007D7605"/>
    <w:rsid w:val="007D763F"/>
    <w:rsid w:val="007D7763"/>
    <w:rsid w:val="007D7D1E"/>
    <w:rsid w:val="007D7E5B"/>
    <w:rsid w:val="007E0319"/>
    <w:rsid w:val="007E05F1"/>
    <w:rsid w:val="007E0A53"/>
    <w:rsid w:val="007E0C5C"/>
    <w:rsid w:val="007E0C95"/>
    <w:rsid w:val="007E0DF5"/>
    <w:rsid w:val="007E0E3B"/>
    <w:rsid w:val="007E0ECA"/>
    <w:rsid w:val="007E0F88"/>
    <w:rsid w:val="007E10AE"/>
    <w:rsid w:val="007E13B5"/>
    <w:rsid w:val="007E13FF"/>
    <w:rsid w:val="007E143A"/>
    <w:rsid w:val="007E1750"/>
    <w:rsid w:val="007E1A60"/>
    <w:rsid w:val="007E1AC5"/>
    <w:rsid w:val="007E1ACB"/>
    <w:rsid w:val="007E1CAE"/>
    <w:rsid w:val="007E1CDF"/>
    <w:rsid w:val="007E1D24"/>
    <w:rsid w:val="007E1D54"/>
    <w:rsid w:val="007E1E9F"/>
    <w:rsid w:val="007E24A1"/>
    <w:rsid w:val="007E2512"/>
    <w:rsid w:val="007E27E4"/>
    <w:rsid w:val="007E28C5"/>
    <w:rsid w:val="007E2B54"/>
    <w:rsid w:val="007E2F69"/>
    <w:rsid w:val="007E30F3"/>
    <w:rsid w:val="007E32CB"/>
    <w:rsid w:val="007E344F"/>
    <w:rsid w:val="007E35B0"/>
    <w:rsid w:val="007E3649"/>
    <w:rsid w:val="007E3670"/>
    <w:rsid w:val="007E3760"/>
    <w:rsid w:val="007E39DD"/>
    <w:rsid w:val="007E3B80"/>
    <w:rsid w:val="007E3C4A"/>
    <w:rsid w:val="007E3DA4"/>
    <w:rsid w:val="007E417E"/>
    <w:rsid w:val="007E434E"/>
    <w:rsid w:val="007E4621"/>
    <w:rsid w:val="007E483E"/>
    <w:rsid w:val="007E486F"/>
    <w:rsid w:val="007E4B1C"/>
    <w:rsid w:val="007E4B7F"/>
    <w:rsid w:val="007E4C24"/>
    <w:rsid w:val="007E4C41"/>
    <w:rsid w:val="007E4E5B"/>
    <w:rsid w:val="007E4FAC"/>
    <w:rsid w:val="007E4FDB"/>
    <w:rsid w:val="007E5101"/>
    <w:rsid w:val="007E550E"/>
    <w:rsid w:val="007E572D"/>
    <w:rsid w:val="007E5A2C"/>
    <w:rsid w:val="007E5CF7"/>
    <w:rsid w:val="007E5D47"/>
    <w:rsid w:val="007E5D60"/>
    <w:rsid w:val="007E5FA9"/>
    <w:rsid w:val="007E600F"/>
    <w:rsid w:val="007E6350"/>
    <w:rsid w:val="007E6465"/>
    <w:rsid w:val="007E6552"/>
    <w:rsid w:val="007E6908"/>
    <w:rsid w:val="007E69C2"/>
    <w:rsid w:val="007E6B36"/>
    <w:rsid w:val="007E6DE3"/>
    <w:rsid w:val="007E7138"/>
    <w:rsid w:val="007E74B3"/>
    <w:rsid w:val="007E74C3"/>
    <w:rsid w:val="007E756C"/>
    <w:rsid w:val="007E77F2"/>
    <w:rsid w:val="007E794E"/>
    <w:rsid w:val="007F014B"/>
    <w:rsid w:val="007F034C"/>
    <w:rsid w:val="007F06E5"/>
    <w:rsid w:val="007F06FE"/>
    <w:rsid w:val="007F1219"/>
    <w:rsid w:val="007F1446"/>
    <w:rsid w:val="007F1547"/>
    <w:rsid w:val="007F1972"/>
    <w:rsid w:val="007F1992"/>
    <w:rsid w:val="007F19A7"/>
    <w:rsid w:val="007F1A65"/>
    <w:rsid w:val="007F221D"/>
    <w:rsid w:val="007F22C9"/>
    <w:rsid w:val="007F26E6"/>
    <w:rsid w:val="007F2835"/>
    <w:rsid w:val="007F2967"/>
    <w:rsid w:val="007F2A0F"/>
    <w:rsid w:val="007F2B75"/>
    <w:rsid w:val="007F2BD6"/>
    <w:rsid w:val="007F2CA1"/>
    <w:rsid w:val="007F2E18"/>
    <w:rsid w:val="007F2ED0"/>
    <w:rsid w:val="007F2FD5"/>
    <w:rsid w:val="007F3196"/>
    <w:rsid w:val="007F31DC"/>
    <w:rsid w:val="007F323B"/>
    <w:rsid w:val="007F336D"/>
    <w:rsid w:val="007F3749"/>
    <w:rsid w:val="007F3962"/>
    <w:rsid w:val="007F39B6"/>
    <w:rsid w:val="007F3E2B"/>
    <w:rsid w:val="007F40BB"/>
    <w:rsid w:val="007F40F6"/>
    <w:rsid w:val="007F421A"/>
    <w:rsid w:val="007F432F"/>
    <w:rsid w:val="007F4380"/>
    <w:rsid w:val="007F4620"/>
    <w:rsid w:val="007F46F0"/>
    <w:rsid w:val="007F4A44"/>
    <w:rsid w:val="007F4BBF"/>
    <w:rsid w:val="007F4EFE"/>
    <w:rsid w:val="007F4F5C"/>
    <w:rsid w:val="007F5133"/>
    <w:rsid w:val="007F5278"/>
    <w:rsid w:val="007F52DB"/>
    <w:rsid w:val="007F5389"/>
    <w:rsid w:val="007F5442"/>
    <w:rsid w:val="007F54F6"/>
    <w:rsid w:val="007F550E"/>
    <w:rsid w:val="007F560F"/>
    <w:rsid w:val="007F5687"/>
    <w:rsid w:val="007F5733"/>
    <w:rsid w:val="007F5858"/>
    <w:rsid w:val="007F59B5"/>
    <w:rsid w:val="007F5FBB"/>
    <w:rsid w:val="007F6016"/>
    <w:rsid w:val="007F640D"/>
    <w:rsid w:val="007F6419"/>
    <w:rsid w:val="007F6590"/>
    <w:rsid w:val="007F65AD"/>
    <w:rsid w:val="007F6637"/>
    <w:rsid w:val="007F68E4"/>
    <w:rsid w:val="007F6B08"/>
    <w:rsid w:val="007F6BE1"/>
    <w:rsid w:val="007F6D40"/>
    <w:rsid w:val="007F6E40"/>
    <w:rsid w:val="007F71D3"/>
    <w:rsid w:val="007F72B1"/>
    <w:rsid w:val="007F742F"/>
    <w:rsid w:val="007F7445"/>
    <w:rsid w:val="007F7529"/>
    <w:rsid w:val="007F7606"/>
    <w:rsid w:val="007F78B6"/>
    <w:rsid w:val="007F7A12"/>
    <w:rsid w:val="007F7AFB"/>
    <w:rsid w:val="007F7BB9"/>
    <w:rsid w:val="007F7C32"/>
    <w:rsid w:val="007F7C56"/>
    <w:rsid w:val="007F7CC1"/>
    <w:rsid w:val="007F7D66"/>
    <w:rsid w:val="007F7E25"/>
    <w:rsid w:val="007F7E47"/>
    <w:rsid w:val="00800467"/>
    <w:rsid w:val="008008DB"/>
    <w:rsid w:val="00800994"/>
    <w:rsid w:val="00800B7F"/>
    <w:rsid w:val="00800C2D"/>
    <w:rsid w:val="00800CF7"/>
    <w:rsid w:val="00800F45"/>
    <w:rsid w:val="00800FA1"/>
    <w:rsid w:val="0080106A"/>
    <w:rsid w:val="00801217"/>
    <w:rsid w:val="0080122F"/>
    <w:rsid w:val="0080147B"/>
    <w:rsid w:val="0080148C"/>
    <w:rsid w:val="00801822"/>
    <w:rsid w:val="008018CA"/>
    <w:rsid w:val="008018E0"/>
    <w:rsid w:val="00801C8D"/>
    <w:rsid w:val="00801D54"/>
    <w:rsid w:val="00801D9E"/>
    <w:rsid w:val="00801DF8"/>
    <w:rsid w:val="00801ED6"/>
    <w:rsid w:val="00802442"/>
    <w:rsid w:val="0080250E"/>
    <w:rsid w:val="00802C14"/>
    <w:rsid w:val="00802CE7"/>
    <w:rsid w:val="00802CF1"/>
    <w:rsid w:val="00802E50"/>
    <w:rsid w:val="00802E75"/>
    <w:rsid w:val="00802F50"/>
    <w:rsid w:val="008032A6"/>
    <w:rsid w:val="00803631"/>
    <w:rsid w:val="00803689"/>
    <w:rsid w:val="008037D0"/>
    <w:rsid w:val="00803854"/>
    <w:rsid w:val="00803D29"/>
    <w:rsid w:val="00803E67"/>
    <w:rsid w:val="00803E7E"/>
    <w:rsid w:val="008040B2"/>
    <w:rsid w:val="008041FE"/>
    <w:rsid w:val="00804311"/>
    <w:rsid w:val="008044AD"/>
    <w:rsid w:val="008048C0"/>
    <w:rsid w:val="00804C72"/>
    <w:rsid w:val="00804D0D"/>
    <w:rsid w:val="00804EA2"/>
    <w:rsid w:val="00804F10"/>
    <w:rsid w:val="0080521D"/>
    <w:rsid w:val="00805273"/>
    <w:rsid w:val="008052D7"/>
    <w:rsid w:val="00805471"/>
    <w:rsid w:val="008055DB"/>
    <w:rsid w:val="00805ACA"/>
    <w:rsid w:val="00805BFB"/>
    <w:rsid w:val="00805CBC"/>
    <w:rsid w:val="00805CE0"/>
    <w:rsid w:val="0080608C"/>
    <w:rsid w:val="008063D6"/>
    <w:rsid w:val="008065AE"/>
    <w:rsid w:val="00806640"/>
    <w:rsid w:val="008067AB"/>
    <w:rsid w:val="00806918"/>
    <w:rsid w:val="00806A74"/>
    <w:rsid w:val="00806CD8"/>
    <w:rsid w:val="00806D50"/>
    <w:rsid w:val="008070B7"/>
    <w:rsid w:val="00807120"/>
    <w:rsid w:val="00807489"/>
    <w:rsid w:val="0080764C"/>
    <w:rsid w:val="00807980"/>
    <w:rsid w:val="008079B5"/>
    <w:rsid w:val="00807A9A"/>
    <w:rsid w:val="00807D27"/>
    <w:rsid w:val="00807F59"/>
    <w:rsid w:val="00807FD7"/>
    <w:rsid w:val="0081003D"/>
    <w:rsid w:val="008100A4"/>
    <w:rsid w:val="0081011D"/>
    <w:rsid w:val="00810238"/>
    <w:rsid w:val="0081045B"/>
    <w:rsid w:val="0081049D"/>
    <w:rsid w:val="00810639"/>
    <w:rsid w:val="008106B0"/>
    <w:rsid w:val="00810C27"/>
    <w:rsid w:val="00810DF5"/>
    <w:rsid w:val="00810F16"/>
    <w:rsid w:val="00811256"/>
    <w:rsid w:val="0081161A"/>
    <w:rsid w:val="008116AD"/>
    <w:rsid w:val="00811822"/>
    <w:rsid w:val="00811A43"/>
    <w:rsid w:val="00811B65"/>
    <w:rsid w:val="00811C6C"/>
    <w:rsid w:val="00811D46"/>
    <w:rsid w:val="00811DD1"/>
    <w:rsid w:val="00812353"/>
    <w:rsid w:val="008123B4"/>
    <w:rsid w:val="0081253C"/>
    <w:rsid w:val="008125B0"/>
    <w:rsid w:val="00812818"/>
    <w:rsid w:val="00812A3B"/>
    <w:rsid w:val="00813197"/>
    <w:rsid w:val="008131EB"/>
    <w:rsid w:val="00813399"/>
    <w:rsid w:val="00813426"/>
    <w:rsid w:val="00813BB6"/>
    <w:rsid w:val="00814044"/>
    <w:rsid w:val="00814522"/>
    <w:rsid w:val="00814595"/>
    <w:rsid w:val="008145E1"/>
    <w:rsid w:val="00814616"/>
    <w:rsid w:val="00814687"/>
    <w:rsid w:val="00814973"/>
    <w:rsid w:val="00814DBC"/>
    <w:rsid w:val="00814E94"/>
    <w:rsid w:val="00814FAF"/>
    <w:rsid w:val="00814FF4"/>
    <w:rsid w:val="00815054"/>
    <w:rsid w:val="008150E7"/>
    <w:rsid w:val="00815158"/>
    <w:rsid w:val="008151B0"/>
    <w:rsid w:val="00815249"/>
    <w:rsid w:val="00815488"/>
    <w:rsid w:val="0081580F"/>
    <w:rsid w:val="00815B2A"/>
    <w:rsid w:val="00815E6A"/>
    <w:rsid w:val="0081614E"/>
    <w:rsid w:val="0081633A"/>
    <w:rsid w:val="0081646D"/>
    <w:rsid w:val="008166A9"/>
    <w:rsid w:val="008166DC"/>
    <w:rsid w:val="00816988"/>
    <w:rsid w:val="008169C1"/>
    <w:rsid w:val="00816CF4"/>
    <w:rsid w:val="00816DE7"/>
    <w:rsid w:val="00816E27"/>
    <w:rsid w:val="00816FAC"/>
    <w:rsid w:val="008170E3"/>
    <w:rsid w:val="0081735D"/>
    <w:rsid w:val="00817588"/>
    <w:rsid w:val="008178A2"/>
    <w:rsid w:val="00817D92"/>
    <w:rsid w:val="008200C1"/>
    <w:rsid w:val="0082013B"/>
    <w:rsid w:val="00820287"/>
    <w:rsid w:val="008203D7"/>
    <w:rsid w:val="00820447"/>
    <w:rsid w:val="00820487"/>
    <w:rsid w:val="008205B4"/>
    <w:rsid w:val="008207F6"/>
    <w:rsid w:val="008207FC"/>
    <w:rsid w:val="0082087A"/>
    <w:rsid w:val="00820990"/>
    <w:rsid w:val="008209B3"/>
    <w:rsid w:val="00820B25"/>
    <w:rsid w:val="00820E41"/>
    <w:rsid w:val="00821361"/>
    <w:rsid w:val="00821927"/>
    <w:rsid w:val="00821A4F"/>
    <w:rsid w:val="00821FBF"/>
    <w:rsid w:val="008220E2"/>
    <w:rsid w:val="008222A8"/>
    <w:rsid w:val="008223CF"/>
    <w:rsid w:val="008223EC"/>
    <w:rsid w:val="008228EB"/>
    <w:rsid w:val="00822A28"/>
    <w:rsid w:val="00822ACE"/>
    <w:rsid w:val="00822BB5"/>
    <w:rsid w:val="00822C04"/>
    <w:rsid w:val="00822CEE"/>
    <w:rsid w:val="00822DF7"/>
    <w:rsid w:val="00822F40"/>
    <w:rsid w:val="00823131"/>
    <w:rsid w:val="0082327D"/>
    <w:rsid w:val="0082342F"/>
    <w:rsid w:val="00823541"/>
    <w:rsid w:val="00823833"/>
    <w:rsid w:val="00823A3F"/>
    <w:rsid w:val="00823AFE"/>
    <w:rsid w:val="00823B11"/>
    <w:rsid w:val="00823D36"/>
    <w:rsid w:val="00823F46"/>
    <w:rsid w:val="008240D5"/>
    <w:rsid w:val="0082412E"/>
    <w:rsid w:val="00824599"/>
    <w:rsid w:val="008245B1"/>
    <w:rsid w:val="0082475C"/>
    <w:rsid w:val="008248C7"/>
    <w:rsid w:val="008249DA"/>
    <w:rsid w:val="00824AE9"/>
    <w:rsid w:val="00824DFC"/>
    <w:rsid w:val="008251B2"/>
    <w:rsid w:val="00825328"/>
    <w:rsid w:val="00825702"/>
    <w:rsid w:val="00825B8B"/>
    <w:rsid w:val="00825D1D"/>
    <w:rsid w:val="0082603E"/>
    <w:rsid w:val="00826245"/>
    <w:rsid w:val="00826543"/>
    <w:rsid w:val="0082661F"/>
    <w:rsid w:val="00826623"/>
    <w:rsid w:val="008268B4"/>
    <w:rsid w:val="008269B5"/>
    <w:rsid w:val="00826C3A"/>
    <w:rsid w:val="00826D94"/>
    <w:rsid w:val="00826F7C"/>
    <w:rsid w:val="00827101"/>
    <w:rsid w:val="0082714D"/>
    <w:rsid w:val="00827354"/>
    <w:rsid w:val="0082747C"/>
    <w:rsid w:val="008274CA"/>
    <w:rsid w:val="008275B2"/>
    <w:rsid w:val="00827974"/>
    <w:rsid w:val="00827ABF"/>
    <w:rsid w:val="00827B7B"/>
    <w:rsid w:val="00827E85"/>
    <w:rsid w:val="00827F68"/>
    <w:rsid w:val="00830076"/>
    <w:rsid w:val="008300B0"/>
    <w:rsid w:val="008302E8"/>
    <w:rsid w:val="00830444"/>
    <w:rsid w:val="008304DC"/>
    <w:rsid w:val="00830564"/>
    <w:rsid w:val="008305D3"/>
    <w:rsid w:val="00830614"/>
    <w:rsid w:val="0083061E"/>
    <w:rsid w:val="008306DC"/>
    <w:rsid w:val="008307A2"/>
    <w:rsid w:val="00830BA9"/>
    <w:rsid w:val="00830E12"/>
    <w:rsid w:val="00830E75"/>
    <w:rsid w:val="00831870"/>
    <w:rsid w:val="008318CE"/>
    <w:rsid w:val="008318FC"/>
    <w:rsid w:val="008319A0"/>
    <w:rsid w:val="00831D4E"/>
    <w:rsid w:val="00831DA5"/>
    <w:rsid w:val="00831E95"/>
    <w:rsid w:val="008323F7"/>
    <w:rsid w:val="0083270D"/>
    <w:rsid w:val="00832846"/>
    <w:rsid w:val="0083288D"/>
    <w:rsid w:val="00832999"/>
    <w:rsid w:val="00832C9C"/>
    <w:rsid w:val="00832D86"/>
    <w:rsid w:val="00832FB0"/>
    <w:rsid w:val="0083305E"/>
    <w:rsid w:val="008331A9"/>
    <w:rsid w:val="008332CA"/>
    <w:rsid w:val="008333B5"/>
    <w:rsid w:val="00833510"/>
    <w:rsid w:val="0083360D"/>
    <w:rsid w:val="0083380D"/>
    <w:rsid w:val="008338DC"/>
    <w:rsid w:val="00833A2B"/>
    <w:rsid w:val="00833B3D"/>
    <w:rsid w:val="00833C18"/>
    <w:rsid w:val="00833C29"/>
    <w:rsid w:val="00833E00"/>
    <w:rsid w:val="00833F90"/>
    <w:rsid w:val="00833FEB"/>
    <w:rsid w:val="0083412A"/>
    <w:rsid w:val="0083436C"/>
    <w:rsid w:val="008346F5"/>
    <w:rsid w:val="00834938"/>
    <w:rsid w:val="008349AE"/>
    <w:rsid w:val="00834C94"/>
    <w:rsid w:val="008351CB"/>
    <w:rsid w:val="008351E3"/>
    <w:rsid w:val="00835349"/>
    <w:rsid w:val="00835424"/>
    <w:rsid w:val="0083563A"/>
    <w:rsid w:val="00835650"/>
    <w:rsid w:val="00835E02"/>
    <w:rsid w:val="00835F95"/>
    <w:rsid w:val="00835FF5"/>
    <w:rsid w:val="0083621A"/>
    <w:rsid w:val="008362AD"/>
    <w:rsid w:val="0083641D"/>
    <w:rsid w:val="00836448"/>
    <w:rsid w:val="008364E2"/>
    <w:rsid w:val="00836665"/>
    <w:rsid w:val="0083678D"/>
    <w:rsid w:val="0083682E"/>
    <w:rsid w:val="0083693B"/>
    <w:rsid w:val="008369DA"/>
    <w:rsid w:val="008370E3"/>
    <w:rsid w:val="0083743D"/>
    <w:rsid w:val="008376D9"/>
    <w:rsid w:val="00837836"/>
    <w:rsid w:val="00837886"/>
    <w:rsid w:val="00837971"/>
    <w:rsid w:val="00837A20"/>
    <w:rsid w:val="00837A4C"/>
    <w:rsid w:val="00837A6A"/>
    <w:rsid w:val="00837BB7"/>
    <w:rsid w:val="00837BE5"/>
    <w:rsid w:val="00837FFD"/>
    <w:rsid w:val="008400C2"/>
    <w:rsid w:val="008400D1"/>
    <w:rsid w:val="00840500"/>
    <w:rsid w:val="0084070D"/>
    <w:rsid w:val="00840B3D"/>
    <w:rsid w:val="00840B89"/>
    <w:rsid w:val="00840F56"/>
    <w:rsid w:val="00841039"/>
    <w:rsid w:val="00841058"/>
    <w:rsid w:val="008410F9"/>
    <w:rsid w:val="00841366"/>
    <w:rsid w:val="00841594"/>
    <w:rsid w:val="008418E2"/>
    <w:rsid w:val="00841ADA"/>
    <w:rsid w:val="00841D2C"/>
    <w:rsid w:val="00841F09"/>
    <w:rsid w:val="00842027"/>
    <w:rsid w:val="00842262"/>
    <w:rsid w:val="0084236F"/>
    <w:rsid w:val="008423F8"/>
    <w:rsid w:val="00842BCC"/>
    <w:rsid w:val="00842BEF"/>
    <w:rsid w:val="00842E49"/>
    <w:rsid w:val="00842ED8"/>
    <w:rsid w:val="00842F0C"/>
    <w:rsid w:val="0084302A"/>
    <w:rsid w:val="00843289"/>
    <w:rsid w:val="008434D8"/>
    <w:rsid w:val="0084351A"/>
    <w:rsid w:val="008436F3"/>
    <w:rsid w:val="00843814"/>
    <w:rsid w:val="00843C11"/>
    <w:rsid w:val="00843CA8"/>
    <w:rsid w:val="008441AC"/>
    <w:rsid w:val="00844313"/>
    <w:rsid w:val="00844600"/>
    <w:rsid w:val="00844752"/>
    <w:rsid w:val="00844753"/>
    <w:rsid w:val="008448B8"/>
    <w:rsid w:val="00844BE8"/>
    <w:rsid w:val="00844E04"/>
    <w:rsid w:val="008451E2"/>
    <w:rsid w:val="008452AF"/>
    <w:rsid w:val="008456AF"/>
    <w:rsid w:val="00845928"/>
    <w:rsid w:val="00845AB5"/>
    <w:rsid w:val="00845D45"/>
    <w:rsid w:val="00845DB9"/>
    <w:rsid w:val="00845F9F"/>
    <w:rsid w:val="008460CF"/>
    <w:rsid w:val="0084646E"/>
    <w:rsid w:val="00846503"/>
    <w:rsid w:val="00846590"/>
    <w:rsid w:val="0084679E"/>
    <w:rsid w:val="0084681A"/>
    <w:rsid w:val="00846BAD"/>
    <w:rsid w:val="00846BE9"/>
    <w:rsid w:val="00846D1B"/>
    <w:rsid w:val="00846D3F"/>
    <w:rsid w:val="00847170"/>
    <w:rsid w:val="0084731A"/>
    <w:rsid w:val="00847449"/>
    <w:rsid w:val="00847514"/>
    <w:rsid w:val="008477F5"/>
    <w:rsid w:val="00847A10"/>
    <w:rsid w:val="00847CA6"/>
    <w:rsid w:val="00847F83"/>
    <w:rsid w:val="0085012E"/>
    <w:rsid w:val="00850130"/>
    <w:rsid w:val="008501E0"/>
    <w:rsid w:val="0085020B"/>
    <w:rsid w:val="008504AF"/>
    <w:rsid w:val="00850605"/>
    <w:rsid w:val="00850672"/>
    <w:rsid w:val="0085076B"/>
    <w:rsid w:val="00850C17"/>
    <w:rsid w:val="00850D42"/>
    <w:rsid w:val="00850EC6"/>
    <w:rsid w:val="008510D3"/>
    <w:rsid w:val="0085123B"/>
    <w:rsid w:val="0085132B"/>
    <w:rsid w:val="00851392"/>
    <w:rsid w:val="00851495"/>
    <w:rsid w:val="008515B2"/>
    <w:rsid w:val="00851639"/>
    <w:rsid w:val="00851830"/>
    <w:rsid w:val="008518D0"/>
    <w:rsid w:val="00851914"/>
    <w:rsid w:val="0085191E"/>
    <w:rsid w:val="00851945"/>
    <w:rsid w:val="00851A31"/>
    <w:rsid w:val="00851B1B"/>
    <w:rsid w:val="00851B64"/>
    <w:rsid w:val="00851CD0"/>
    <w:rsid w:val="008520BE"/>
    <w:rsid w:val="00852128"/>
    <w:rsid w:val="0085213A"/>
    <w:rsid w:val="0085221C"/>
    <w:rsid w:val="00852941"/>
    <w:rsid w:val="008529A5"/>
    <w:rsid w:val="00852A8B"/>
    <w:rsid w:val="00852C6A"/>
    <w:rsid w:val="00852E43"/>
    <w:rsid w:val="00852EAA"/>
    <w:rsid w:val="00852F97"/>
    <w:rsid w:val="0085306D"/>
    <w:rsid w:val="00853319"/>
    <w:rsid w:val="008533FF"/>
    <w:rsid w:val="0085344B"/>
    <w:rsid w:val="008534E9"/>
    <w:rsid w:val="008534F0"/>
    <w:rsid w:val="008537C7"/>
    <w:rsid w:val="00853E0C"/>
    <w:rsid w:val="00853E5B"/>
    <w:rsid w:val="00853F35"/>
    <w:rsid w:val="0085420D"/>
    <w:rsid w:val="008543FB"/>
    <w:rsid w:val="00854499"/>
    <w:rsid w:val="008544D6"/>
    <w:rsid w:val="00854522"/>
    <w:rsid w:val="00854ADD"/>
    <w:rsid w:val="00854EEA"/>
    <w:rsid w:val="008550E4"/>
    <w:rsid w:val="00855161"/>
    <w:rsid w:val="00855173"/>
    <w:rsid w:val="008554F1"/>
    <w:rsid w:val="008558CA"/>
    <w:rsid w:val="008558FB"/>
    <w:rsid w:val="00855983"/>
    <w:rsid w:val="00855994"/>
    <w:rsid w:val="00855AD9"/>
    <w:rsid w:val="00855B20"/>
    <w:rsid w:val="00855EAB"/>
    <w:rsid w:val="00855EDD"/>
    <w:rsid w:val="00855EE2"/>
    <w:rsid w:val="008562C0"/>
    <w:rsid w:val="008562CC"/>
    <w:rsid w:val="0085655F"/>
    <w:rsid w:val="00856925"/>
    <w:rsid w:val="00856A0D"/>
    <w:rsid w:val="00856B71"/>
    <w:rsid w:val="00856C1A"/>
    <w:rsid w:val="00856C9D"/>
    <w:rsid w:val="00856CE6"/>
    <w:rsid w:val="00857397"/>
    <w:rsid w:val="008573D8"/>
    <w:rsid w:val="00857525"/>
    <w:rsid w:val="00857543"/>
    <w:rsid w:val="008575A9"/>
    <w:rsid w:val="008575F5"/>
    <w:rsid w:val="0085770D"/>
    <w:rsid w:val="00857718"/>
    <w:rsid w:val="00857732"/>
    <w:rsid w:val="008579C7"/>
    <w:rsid w:val="00857A5F"/>
    <w:rsid w:val="00857AEC"/>
    <w:rsid w:val="00857BBA"/>
    <w:rsid w:val="00857CF3"/>
    <w:rsid w:val="00857D00"/>
    <w:rsid w:val="00857E4B"/>
    <w:rsid w:val="00857F50"/>
    <w:rsid w:val="0086002E"/>
    <w:rsid w:val="008600FE"/>
    <w:rsid w:val="008601AD"/>
    <w:rsid w:val="008602D0"/>
    <w:rsid w:val="008603E0"/>
    <w:rsid w:val="008604F7"/>
    <w:rsid w:val="008606FC"/>
    <w:rsid w:val="00860772"/>
    <w:rsid w:val="0086077F"/>
    <w:rsid w:val="00860860"/>
    <w:rsid w:val="00860BEB"/>
    <w:rsid w:val="00860E60"/>
    <w:rsid w:val="00860EF8"/>
    <w:rsid w:val="00860F2A"/>
    <w:rsid w:val="00861158"/>
    <w:rsid w:val="00861469"/>
    <w:rsid w:val="008617AE"/>
    <w:rsid w:val="008617B4"/>
    <w:rsid w:val="0086182A"/>
    <w:rsid w:val="0086187E"/>
    <w:rsid w:val="00861C74"/>
    <w:rsid w:val="00862166"/>
    <w:rsid w:val="008621B9"/>
    <w:rsid w:val="0086223D"/>
    <w:rsid w:val="0086253C"/>
    <w:rsid w:val="008625C6"/>
    <w:rsid w:val="0086270C"/>
    <w:rsid w:val="00862915"/>
    <w:rsid w:val="008629AC"/>
    <w:rsid w:val="00862AF2"/>
    <w:rsid w:val="0086307E"/>
    <w:rsid w:val="008632AA"/>
    <w:rsid w:val="0086344E"/>
    <w:rsid w:val="008634C9"/>
    <w:rsid w:val="00863617"/>
    <w:rsid w:val="0086362F"/>
    <w:rsid w:val="008639B0"/>
    <w:rsid w:val="00863B6D"/>
    <w:rsid w:val="00863ED4"/>
    <w:rsid w:val="008640C9"/>
    <w:rsid w:val="00864349"/>
    <w:rsid w:val="00864528"/>
    <w:rsid w:val="008645AA"/>
    <w:rsid w:val="008646D2"/>
    <w:rsid w:val="00864706"/>
    <w:rsid w:val="008647E7"/>
    <w:rsid w:val="0086491B"/>
    <w:rsid w:val="00864C84"/>
    <w:rsid w:val="00864C97"/>
    <w:rsid w:val="00864D10"/>
    <w:rsid w:val="00864E98"/>
    <w:rsid w:val="00864EF0"/>
    <w:rsid w:val="00865071"/>
    <w:rsid w:val="00865498"/>
    <w:rsid w:val="008654A1"/>
    <w:rsid w:val="00865681"/>
    <w:rsid w:val="0086571D"/>
    <w:rsid w:val="00865764"/>
    <w:rsid w:val="00865CBA"/>
    <w:rsid w:val="00865D41"/>
    <w:rsid w:val="00865DFC"/>
    <w:rsid w:val="00865E58"/>
    <w:rsid w:val="00865E97"/>
    <w:rsid w:val="0086613A"/>
    <w:rsid w:val="0086628C"/>
    <w:rsid w:val="008663FD"/>
    <w:rsid w:val="008664E4"/>
    <w:rsid w:val="00866569"/>
    <w:rsid w:val="008665AC"/>
    <w:rsid w:val="0086678A"/>
    <w:rsid w:val="008669A8"/>
    <w:rsid w:val="00866A08"/>
    <w:rsid w:val="00866A25"/>
    <w:rsid w:val="00866A65"/>
    <w:rsid w:val="00866FC0"/>
    <w:rsid w:val="00867207"/>
    <w:rsid w:val="008676C4"/>
    <w:rsid w:val="0086780C"/>
    <w:rsid w:val="00867AB8"/>
    <w:rsid w:val="00867ABC"/>
    <w:rsid w:val="00867B81"/>
    <w:rsid w:val="00867C5E"/>
    <w:rsid w:val="00867C89"/>
    <w:rsid w:val="00867D5B"/>
    <w:rsid w:val="00867E4D"/>
    <w:rsid w:val="0086A926"/>
    <w:rsid w:val="00870272"/>
    <w:rsid w:val="0087035D"/>
    <w:rsid w:val="008704D2"/>
    <w:rsid w:val="008704DD"/>
    <w:rsid w:val="00870548"/>
    <w:rsid w:val="008705DE"/>
    <w:rsid w:val="00870627"/>
    <w:rsid w:val="0087069D"/>
    <w:rsid w:val="008708EE"/>
    <w:rsid w:val="0087093E"/>
    <w:rsid w:val="00870968"/>
    <w:rsid w:val="008709AF"/>
    <w:rsid w:val="00870A05"/>
    <w:rsid w:val="00870A15"/>
    <w:rsid w:val="00870B7F"/>
    <w:rsid w:val="00871169"/>
    <w:rsid w:val="008712BB"/>
    <w:rsid w:val="0087140A"/>
    <w:rsid w:val="0087162C"/>
    <w:rsid w:val="008716C9"/>
    <w:rsid w:val="00871B40"/>
    <w:rsid w:val="0087240A"/>
    <w:rsid w:val="00872418"/>
    <w:rsid w:val="00872446"/>
    <w:rsid w:val="008724F8"/>
    <w:rsid w:val="0087276A"/>
    <w:rsid w:val="008727EE"/>
    <w:rsid w:val="00872A55"/>
    <w:rsid w:val="00872D20"/>
    <w:rsid w:val="00872FAA"/>
    <w:rsid w:val="00873024"/>
    <w:rsid w:val="00873195"/>
    <w:rsid w:val="008733E5"/>
    <w:rsid w:val="00873528"/>
    <w:rsid w:val="00873AE1"/>
    <w:rsid w:val="00873B54"/>
    <w:rsid w:val="00873BC0"/>
    <w:rsid w:val="00873C37"/>
    <w:rsid w:val="0087429F"/>
    <w:rsid w:val="008745CB"/>
    <w:rsid w:val="0087482A"/>
    <w:rsid w:val="00874A43"/>
    <w:rsid w:val="00874BA4"/>
    <w:rsid w:val="00874BB5"/>
    <w:rsid w:val="00874C4E"/>
    <w:rsid w:val="00874E62"/>
    <w:rsid w:val="00874EA5"/>
    <w:rsid w:val="00874FBF"/>
    <w:rsid w:val="00875009"/>
    <w:rsid w:val="0087502A"/>
    <w:rsid w:val="00875097"/>
    <w:rsid w:val="0087529C"/>
    <w:rsid w:val="0087540B"/>
    <w:rsid w:val="0087555E"/>
    <w:rsid w:val="008758EE"/>
    <w:rsid w:val="00875AFC"/>
    <w:rsid w:val="00875BE4"/>
    <w:rsid w:val="00875D67"/>
    <w:rsid w:val="00875E77"/>
    <w:rsid w:val="00875EB3"/>
    <w:rsid w:val="00876132"/>
    <w:rsid w:val="00876188"/>
    <w:rsid w:val="0087628A"/>
    <w:rsid w:val="0087629D"/>
    <w:rsid w:val="008762FA"/>
    <w:rsid w:val="00876604"/>
    <w:rsid w:val="008766F1"/>
    <w:rsid w:val="0087672A"/>
    <w:rsid w:val="0087687D"/>
    <w:rsid w:val="008769EB"/>
    <w:rsid w:val="00876AA0"/>
    <w:rsid w:val="00876B07"/>
    <w:rsid w:val="00876CDF"/>
    <w:rsid w:val="00876D6A"/>
    <w:rsid w:val="00876F3E"/>
    <w:rsid w:val="0087710A"/>
    <w:rsid w:val="0087713E"/>
    <w:rsid w:val="00877263"/>
    <w:rsid w:val="00877647"/>
    <w:rsid w:val="00877A01"/>
    <w:rsid w:val="00877AB4"/>
    <w:rsid w:val="00877B97"/>
    <w:rsid w:val="00877EF3"/>
    <w:rsid w:val="008800B5"/>
    <w:rsid w:val="00880188"/>
    <w:rsid w:val="00880454"/>
    <w:rsid w:val="00880971"/>
    <w:rsid w:val="00880A4F"/>
    <w:rsid w:val="00880B13"/>
    <w:rsid w:val="00880DB3"/>
    <w:rsid w:val="00880DE4"/>
    <w:rsid w:val="00880FB1"/>
    <w:rsid w:val="008810C8"/>
    <w:rsid w:val="008812F1"/>
    <w:rsid w:val="00881523"/>
    <w:rsid w:val="0088162C"/>
    <w:rsid w:val="008816C0"/>
    <w:rsid w:val="008819DB"/>
    <w:rsid w:val="00881C82"/>
    <w:rsid w:val="00881E1B"/>
    <w:rsid w:val="00881F06"/>
    <w:rsid w:val="00881F8C"/>
    <w:rsid w:val="00882138"/>
    <w:rsid w:val="008821F3"/>
    <w:rsid w:val="0088228C"/>
    <w:rsid w:val="0088236B"/>
    <w:rsid w:val="0088244E"/>
    <w:rsid w:val="008825D3"/>
    <w:rsid w:val="00882997"/>
    <w:rsid w:val="008829CA"/>
    <w:rsid w:val="00882AE9"/>
    <w:rsid w:val="00882D1B"/>
    <w:rsid w:val="00882E9A"/>
    <w:rsid w:val="00882EC5"/>
    <w:rsid w:val="0088320E"/>
    <w:rsid w:val="00883213"/>
    <w:rsid w:val="00883331"/>
    <w:rsid w:val="00883348"/>
    <w:rsid w:val="00883361"/>
    <w:rsid w:val="008837F2"/>
    <w:rsid w:val="008839F2"/>
    <w:rsid w:val="00883A0A"/>
    <w:rsid w:val="00883A8B"/>
    <w:rsid w:val="00883B9F"/>
    <w:rsid w:val="008841BB"/>
    <w:rsid w:val="0088426D"/>
    <w:rsid w:val="00884398"/>
    <w:rsid w:val="008846EE"/>
    <w:rsid w:val="008848C3"/>
    <w:rsid w:val="008848DC"/>
    <w:rsid w:val="00884A75"/>
    <w:rsid w:val="00884B1E"/>
    <w:rsid w:val="00884BB9"/>
    <w:rsid w:val="00884D54"/>
    <w:rsid w:val="00884D9C"/>
    <w:rsid w:val="00884EE1"/>
    <w:rsid w:val="00884F40"/>
    <w:rsid w:val="00885025"/>
    <w:rsid w:val="00885245"/>
    <w:rsid w:val="00885632"/>
    <w:rsid w:val="0088577A"/>
    <w:rsid w:val="0088578D"/>
    <w:rsid w:val="00885841"/>
    <w:rsid w:val="00885903"/>
    <w:rsid w:val="00885A44"/>
    <w:rsid w:val="00885BC5"/>
    <w:rsid w:val="00885BE4"/>
    <w:rsid w:val="00885C23"/>
    <w:rsid w:val="00885D7C"/>
    <w:rsid w:val="00885F3E"/>
    <w:rsid w:val="0088613B"/>
    <w:rsid w:val="00886257"/>
    <w:rsid w:val="008863D6"/>
    <w:rsid w:val="0088651B"/>
    <w:rsid w:val="0088676E"/>
    <w:rsid w:val="008867C1"/>
    <w:rsid w:val="008869B1"/>
    <w:rsid w:val="00886D06"/>
    <w:rsid w:val="00886DDE"/>
    <w:rsid w:val="00886E7D"/>
    <w:rsid w:val="00886EF6"/>
    <w:rsid w:val="00886F21"/>
    <w:rsid w:val="00887073"/>
    <w:rsid w:val="00887151"/>
    <w:rsid w:val="008875FF"/>
    <w:rsid w:val="008877BD"/>
    <w:rsid w:val="00887829"/>
    <w:rsid w:val="00887E24"/>
    <w:rsid w:val="00887FAD"/>
    <w:rsid w:val="0089005A"/>
    <w:rsid w:val="00890112"/>
    <w:rsid w:val="008902ED"/>
    <w:rsid w:val="008904D9"/>
    <w:rsid w:val="00890511"/>
    <w:rsid w:val="008905A6"/>
    <w:rsid w:val="00890885"/>
    <w:rsid w:val="00890988"/>
    <w:rsid w:val="00890C8F"/>
    <w:rsid w:val="00890E6B"/>
    <w:rsid w:val="00890E77"/>
    <w:rsid w:val="00890FB7"/>
    <w:rsid w:val="00891215"/>
    <w:rsid w:val="00891438"/>
    <w:rsid w:val="00891449"/>
    <w:rsid w:val="008914BC"/>
    <w:rsid w:val="008915F4"/>
    <w:rsid w:val="0089195C"/>
    <w:rsid w:val="00891BC2"/>
    <w:rsid w:val="00891D08"/>
    <w:rsid w:val="00891D93"/>
    <w:rsid w:val="00891DAF"/>
    <w:rsid w:val="00891DE2"/>
    <w:rsid w:val="00891EA0"/>
    <w:rsid w:val="00891EF9"/>
    <w:rsid w:val="00892041"/>
    <w:rsid w:val="00892060"/>
    <w:rsid w:val="0089212C"/>
    <w:rsid w:val="008922A6"/>
    <w:rsid w:val="008923FD"/>
    <w:rsid w:val="00892462"/>
    <w:rsid w:val="008925C2"/>
    <w:rsid w:val="0089276D"/>
    <w:rsid w:val="00892AAC"/>
    <w:rsid w:val="00892C31"/>
    <w:rsid w:val="00892CED"/>
    <w:rsid w:val="00893026"/>
    <w:rsid w:val="008936CB"/>
    <w:rsid w:val="008939F5"/>
    <w:rsid w:val="00893B33"/>
    <w:rsid w:val="00893D80"/>
    <w:rsid w:val="00893D8F"/>
    <w:rsid w:val="00893D95"/>
    <w:rsid w:val="00893E59"/>
    <w:rsid w:val="00893E85"/>
    <w:rsid w:val="008940DB"/>
    <w:rsid w:val="008942BB"/>
    <w:rsid w:val="0089431B"/>
    <w:rsid w:val="00894385"/>
    <w:rsid w:val="008944B2"/>
    <w:rsid w:val="008944C3"/>
    <w:rsid w:val="0089455A"/>
    <w:rsid w:val="00894941"/>
    <w:rsid w:val="00894B9B"/>
    <w:rsid w:val="00894D17"/>
    <w:rsid w:val="00894F53"/>
    <w:rsid w:val="0089507B"/>
    <w:rsid w:val="0089534B"/>
    <w:rsid w:val="00895581"/>
    <w:rsid w:val="008959B7"/>
    <w:rsid w:val="00895A50"/>
    <w:rsid w:val="00895A6E"/>
    <w:rsid w:val="00895D56"/>
    <w:rsid w:val="00895E06"/>
    <w:rsid w:val="008961B4"/>
    <w:rsid w:val="0089631B"/>
    <w:rsid w:val="008965FE"/>
    <w:rsid w:val="0089684A"/>
    <w:rsid w:val="008968B1"/>
    <w:rsid w:val="00896A73"/>
    <w:rsid w:val="008970A6"/>
    <w:rsid w:val="00897116"/>
    <w:rsid w:val="0089733C"/>
    <w:rsid w:val="00897686"/>
    <w:rsid w:val="008977F7"/>
    <w:rsid w:val="00897827"/>
    <w:rsid w:val="008978E1"/>
    <w:rsid w:val="00897A48"/>
    <w:rsid w:val="00897B32"/>
    <w:rsid w:val="00897B72"/>
    <w:rsid w:val="00897DDA"/>
    <w:rsid w:val="008A0364"/>
    <w:rsid w:val="008A0674"/>
    <w:rsid w:val="008A06BC"/>
    <w:rsid w:val="008A06F1"/>
    <w:rsid w:val="008A0710"/>
    <w:rsid w:val="008A072A"/>
    <w:rsid w:val="008A093E"/>
    <w:rsid w:val="008A098A"/>
    <w:rsid w:val="008A0D61"/>
    <w:rsid w:val="008A0E05"/>
    <w:rsid w:val="008A10BD"/>
    <w:rsid w:val="008A12F1"/>
    <w:rsid w:val="008A156F"/>
    <w:rsid w:val="008A15A2"/>
    <w:rsid w:val="008A17E1"/>
    <w:rsid w:val="008A1893"/>
    <w:rsid w:val="008A1E72"/>
    <w:rsid w:val="008A2157"/>
    <w:rsid w:val="008A2207"/>
    <w:rsid w:val="008A224F"/>
    <w:rsid w:val="008A23C5"/>
    <w:rsid w:val="008A243E"/>
    <w:rsid w:val="008A2708"/>
    <w:rsid w:val="008A2821"/>
    <w:rsid w:val="008A2CBF"/>
    <w:rsid w:val="008A2FE8"/>
    <w:rsid w:val="008A31FC"/>
    <w:rsid w:val="008A3265"/>
    <w:rsid w:val="008A3591"/>
    <w:rsid w:val="008A367B"/>
    <w:rsid w:val="008A3A04"/>
    <w:rsid w:val="008A3A3B"/>
    <w:rsid w:val="008A3D3B"/>
    <w:rsid w:val="008A3D40"/>
    <w:rsid w:val="008A3E4E"/>
    <w:rsid w:val="008A4257"/>
    <w:rsid w:val="008A4388"/>
    <w:rsid w:val="008A4836"/>
    <w:rsid w:val="008A48CD"/>
    <w:rsid w:val="008A4907"/>
    <w:rsid w:val="008A4930"/>
    <w:rsid w:val="008A49A8"/>
    <w:rsid w:val="008A4B84"/>
    <w:rsid w:val="008A4CAE"/>
    <w:rsid w:val="008A4D86"/>
    <w:rsid w:val="008A4E47"/>
    <w:rsid w:val="008A5047"/>
    <w:rsid w:val="008A5172"/>
    <w:rsid w:val="008A51EC"/>
    <w:rsid w:val="008A526A"/>
    <w:rsid w:val="008A5286"/>
    <w:rsid w:val="008A529A"/>
    <w:rsid w:val="008A52BD"/>
    <w:rsid w:val="008A5473"/>
    <w:rsid w:val="008A5494"/>
    <w:rsid w:val="008A55B0"/>
    <w:rsid w:val="008A55F2"/>
    <w:rsid w:val="008A56B2"/>
    <w:rsid w:val="008A570B"/>
    <w:rsid w:val="008A578C"/>
    <w:rsid w:val="008A57AA"/>
    <w:rsid w:val="008A5E0F"/>
    <w:rsid w:val="008A607B"/>
    <w:rsid w:val="008A61E0"/>
    <w:rsid w:val="008A64E7"/>
    <w:rsid w:val="008A65A6"/>
    <w:rsid w:val="008A65D6"/>
    <w:rsid w:val="008A665D"/>
    <w:rsid w:val="008A684C"/>
    <w:rsid w:val="008A6F02"/>
    <w:rsid w:val="008A7084"/>
    <w:rsid w:val="008A720E"/>
    <w:rsid w:val="008A7338"/>
    <w:rsid w:val="008A7411"/>
    <w:rsid w:val="008A74D3"/>
    <w:rsid w:val="008A75B0"/>
    <w:rsid w:val="008A7B5C"/>
    <w:rsid w:val="008A7DC0"/>
    <w:rsid w:val="008A7FB9"/>
    <w:rsid w:val="008B0009"/>
    <w:rsid w:val="008B016A"/>
    <w:rsid w:val="008B016E"/>
    <w:rsid w:val="008B026D"/>
    <w:rsid w:val="008B089C"/>
    <w:rsid w:val="008B0984"/>
    <w:rsid w:val="008B0AC7"/>
    <w:rsid w:val="008B0B50"/>
    <w:rsid w:val="008B0C3E"/>
    <w:rsid w:val="008B0DC1"/>
    <w:rsid w:val="008B0E5F"/>
    <w:rsid w:val="008B1003"/>
    <w:rsid w:val="008B1056"/>
    <w:rsid w:val="008B12F1"/>
    <w:rsid w:val="008B149D"/>
    <w:rsid w:val="008B14BE"/>
    <w:rsid w:val="008B161F"/>
    <w:rsid w:val="008B1810"/>
    <w:rsid w:val="008B185A"/>
    <w:rsid w:val="008B1906"/>
    <w:rsid w:val="008B1BE3"/>
    <w:rsid w:val="008B1DCA"/>
    <w:rsid w:val="008B1E4C"/>
    <w:rsid w:val="008B2018"/>
    <w:rsid w:val="008B2642"/>
    <w:rsid w:val="008B277E"/>
    <w:rsid w:val="008B28BF"/>
    <w:rsid w:val="008B2AED"/>
    <w:rsid w:val="008B2C94"/>
    <w:rsid w:val="008B2EAB"/>
    <w:rsid w:val="008B342A"/>
    <w:rsid w:val="008B3494"/>
    <w:rsid w:val="008B34D3"/>
    <w:rsid w:val="008B34EF"/>
    <w:rsid w:val="008B38BA"/>
    <w:rsid w:val="008B3AEB"/>
    <w:rsid w:val="008B3E17"/>
    <w:rsid w:val="008B3F52"/>
    <w:rsid w:val="008B3F88"/>
    <w:rsid w:val="008B3FB1"/>
    <w:rsid w:val="008B4135"/>
    <w:rsid w:val="008B416F"/>
    <w:rsid w:val="008B426A"/>
    <w:rsid w:val="008B4343"/>
    <w:rsid w:val="008B43DD"/>
    <w:rsid w:val="008B4412"/>
    <w:rsid w:val="008B472F"/>
    <w:rsid w:val="008B47AC"/>
    <w:rsid w:val="008B47B4"/>
    <w:rsid w:val="008B48CF"/>
    <w:rsid w:val="008B48D0"/>
    <w:rsid w:val="008B496B"/>
    <w:rsid w:val="008B49AD"/>
    <w:rsid w:val="008B49EC"/>
    <w:rsid w:val="008B4DF9"/>
    <w:rsid w:val="008B4E5C"/>
    <w:rsid w:val="008B4EE6"/>
    <w:rsid w:val="008B4F6B"/>
    <w:rsid w:val="008B526C"/>
    <w:rsid w:val="008B54D8"/>
    <w:rsid w:val="008B5B07"/>
    <w:rsid w:val="008B5CAF"/>
    <w:rsid w:val="008B61D5"/>
    <w:rsid w:val="008B6383"/>
    <w:rsid w:val="008B6477"/>
    <w:rsid w:val="008B6567"/>
    <w:rsid w:val="008B65EB"/>
    <w:rsid w:val="008B666F"/>
    <w:rsid w:val="008B6675"/>
    <w:rsid w:val="008B66DE"/>
    <w:rsid w:val="008B67C1"/>
    <w:rsid w:val="008B6BA6"/>
    <w:rsid w:val="008B6C20"/>
    <w:rsid w:val="008B6D28"/>
    <w:rsid w:val="008B6F87"/>
    <w:rsid w:val="008B73FC"/>
    <w:rsid w:val="008B73FD"/>
    <w:rsid w:val="008B76D1"/>
    <w:rsid w:val="008B76F3"/>
    <w:rsid w:val="008B7701"/>
    <w:rsid w:val="008B7959"/>
    <w:rsid w:val="008B7A28"/>
    <w:rsid w:val="008B7D35"/>
    <w:rsid w:val="008B7D98"/>
    <w:rsid w:val="008B7DF7"/>
    <w:rsid w:val="008B7E13"/>
    <w:rsid w:val="008B7EC8"/>
    <w:rsid w:val="008B7ECC"/>
    <w:rsid w:val="008C0067"/>
    <w:rsid w:val="008C0313"/>
    <w:rsid w:val="008C03AF"/>
    <w:rsid w:val="008C0423"/>
    <w:rsid w:val="008C05C8"/>
    <w:rsid w:val="008C066C"/>
    <w:rsid w:val="008C08F0"/>
    <w:rsid w:val="008C0A76"/>
    <w:rsid w:val="008C0B2C"/>
    <w:rsid w:val="008C0CBA"/>
    <w:rsid w:val="008C0E46"/>
    <w:rsid w:val="008C0FAA"/>
    <w:rsid w:val="008C105D"/>
    <w:rsid w:val="008C108B"/>
    <w:rsid w:val="008C1186"/>
    <w:rsid w:val="008C124C"/>
    <w:rsid w:val="008C12A0"/>
    <w:rsid w:val="008C13F3"/>
    <w:rsid w:val="008C14F7"/>
    <w:rsid w:val="008C1507"/>
    <w:rsid w:val="008C17E0"/>
    <w:rsid w:val="008C1814"/>
    <w:rsid w:val="008C1962"/>
    <w:rsid w:val="008C1A4D"/>
    <w:rsid w:val="008C1C40"/>
    <w:rsid w:val="008C1C6E"/>
    <w:rsid w:val="008C1CB5"/>
    <w:rsid w:val="008C1D3A"/>
    <w:rsid w:val="008C1DDA"/>
    <w:rsid w:val="008C2162"/>
    <w:rsid w:val="008C21E5"/>
    <w:rsid w:val="008C241D"/>
    <w:rsid w:val="008C256A"/>
    <w:rsid w:val="008C27B8"/>
    <w:rsid w:val="008C27E2"/>
    <w:rsid w:val="008C27E4"/>
    <w:rsid w:val="008C2AB5"/>
    <w:rsid w:val="008C3058"/>
    <w:rsid w:val="008C3066"/>
    <w:rsid w:val="008C330F"/>
    <w:rsid w:val="008C33DB"/>
    <w:rsid w:val="008C3463"/>
    <w:rsid w:val="008C36BB"/>
    <w:rsid w:val="008C373F"/>
    <w:rsid w:val="008C3854"/>
    <w:rsid w:val="008C3873"/>
    <w:rsid w:val="008C3918"/>
    <w:rsid w:val="008C3A48"/>
    <w:rsid w:val="008C3A97"/>
    <w:rsid w:val="008C3D1D"/>
    <w:rsid w:val="008C3DA5"/>
    <w:rsid w:val="008C3F9C"/>
    <w:rsid w:val="008C3FC8"/>
    <w:rsid w:val="008C40CA"/>
    <w:rsid w:val="008C40D3"/>
    <w:rsid w:val="008C40F3"/>
    <w:rsid w:val="008C476B"/>
    <w:rsid w:val="008C47D7"/>
    <w:rsid w:val="008C4B23"/>
    <w:rsid w:val="008C4BAB"/>
    <w:rsid w:val="008C4EBF"/>
    <w:rsid w:val="008C4F6E"/>
    <w:rsid w:val="008C510B"/>
    <w:rsid w:val="008C5116"/>
    <w:rsid w:val="008C5143"/>
    <w:rsid w:val="008C51E3"/>
    <w:rsid w:val="008C52FB"/>
    <w:rsid w:val="008C554C"/>
    <w:rsid w:val="008C5614"/>
    <w:rsid w:val="008C58B8"/>
    <w:rsid w:val="008C5B40"/>
    <w:rsid w:val="008C5C0F"/>
    <w:rsid w:val="008C5D93"/>
    <w:rsid w:val="008C5E21"/>
    <w:rsid w:val="008C5FAB"/>
    <w:rsid w:val="008C6031"/>
    <w:rsid w:val="008C62C3"/>
    <w:rsid w:val="008C671A"/>
    <w:rsid w:val="008C6804"/>
    <w:rsid w:val="008C68B4"/>
    <w:rsid w:val="008C69DE"/>
    <w:rsid w:val="008C6B2D"/>
    <w:rsid w:val="008C6EB3"/>
    <w:rsid w:val="008C6ECB"/>
    <w:rsid w:val="008C710C"/>
    <w:rsid w:val="008C73BF"/>
    <w:rsid w:val="008C74E5"/>
    <w:rsid w:val="008C754C"/>
    <w:rsid w:val="008C76AA"/>
    <w:rsid w:val="008C7A0C"/>
    <w:rsid w:val="008C7BF0"/>
    <w:rsid w:val="008C7C72"/>
    <w:rsid w:val="008C7CAA"/>
    <w:rsid w:val="008C7F31"/>
    <w:rsid w:val="008D007B"/>
    <w:rsid w:val="008D016C"/>
    <w:rsid w:val="008D0229"/>
    <w:rsid w:val="008D07CE"/>
    <w:rsid w:val="008D0AAB"/>
    <w:rsid w:val="008D0AC0"/>
    <w:rsid w:val="008D0B5F"/>
    <w:rsid w:val="008D0BC6"/>
    <w:rsid w:val="008D0CBA"/>
    <w:rsid w:val="008D0CC2"/>
    <w:rsid w:val="008D0E47"/>
    <w:rsid w:val="008D0E6D"/>
    <w:rsid w:val="008D0F4C"/>
    <w:rsid w:val="008D0F62"/>
    <w:rsid w:val="008D1054"/>
    <w:rsid w:val="008D11AE"/>
    <w:rsid w:val="008D1246"/>
    <w:rsid w:val="008D1277"/>
    <w:rsid w:val="008D1288"/>
    <w:rsid w:val="008D1317"/>
    <w:rsid w:val="008D1356"/>
    <w:rsid w:val="008D13A9"/>
    <w:rsid w:val="008D1431"/>
    <w:rsid w:val="008D1579"/>
    <w:rsid w:val="008D15A6"/>
    <w:rsid w:val="008D166C"/>
    <w:rsid w:val="008D1BCF"/>
    <w:rsid w:val="008D1BDE"/>
    <w:rsid w:val="008D1C31"/>
    <w:rsid w:val="008D1D09"/>
    <w:rsid w:val="008D1D6F"/>
    <w:rsid w:val="008D1F3C"/>
    <w:rsid w:val="008D201C"/>
    <w:rsid w:val="008D21A2"/>
    <w:rsid w:val="008D23B5"/>
    <w:rsid w:val="008D23CA"/>
    <w:rsid w:val="008D23CC"/>
    <w:rsid w:val="008D23D2"/>
    <w:rsid w:val="008D254E"/>
    <w:rsid w:val="008D256F"/>
    <w:rsid w:val="008D2668"/>
    <w:rsid w:val="008D27BB"/>
    <w:rsid w:val="008D27CE"/>
    <w:rsid w:val="008D2C72"/>
    <w:rsid w:val="008D2C8C"/>
    <w:rsid w:val="008D2F1F"/>
    <w:rsid w:val="008D2F32"/>
    <w:rsid w:val="008D30BF"/>
    <w:rsid w:val="008D30DC"/>
    <w:rsid w:val="008D3252"/>
    <w:rsid w:val="008D3446"/>
    <w:rsid w:val="008D3651"/>
    <w:rsid w:val="008D370F"/>
    <w:rsid w:val="008D3860"/>
    <w:rsid w:val="008D399A"/>
    <w:rsid w:val="008D39D9"/>
    <w:rsid w:val="008D3B1B"/>
    <w:rsid w:val="008D3BF9"/>
    <w:rsid w:val="008D3C8C"/>
    <w:rsid w:val="008D3E1B"/>
    <w:rsid w:val="008D3F73"/>
    <w:rsid w:val="008D3FA4"/>
    <w:rsid w:val="008D3FC1"/>
    <w:rsid w:val="008D3FCB"/>
    <w:rsid w:val="008D4A4A"/>
    <w:rsid w:val="008D4BCC"/>
    <w:rsid w:val="008D4DF7"/>
    <w:rsid w:val="008D4E4A"/>
    <w:rsid w:val="008D4F44"/>
    <w:rsid w:val="008D5023"/>
    <w:rsid w:val="008D5124"/>
    <w:rsid w:val="008D52FA"/>
    <w:rsid w:val="008D5490"/>
    <w:rsid w:val="008D570A"/>
    <w:rsid w:val="008D5B09"/>
    <w:rsid w:val="008D5B1C"/>
    <w:rsid w:val="008D5BF0"/>
    <w:rsid w:val="008D5D24"/>
    <w:rsid w:val="008D6171"/>
    <w:rsid w:val="008D6472"/>
    <w:rsid w:val="008D679C"/>
    <w:rsid w:val="008D68A4"/>
    <w:rsid w:val="008D697D"/>
    <w:rsid w:val="008D69C0"/>
    <w:rsid w:val="008D6BB4"/>
    <w:rsid w:val="008D6C16"/>
    <w:rsid w:val="008D6D67"/>
    <w:rsid w:val="008D6E18"/>
    <w:rsid w:val="008D6EE7"/>
    <w:rsid w:val="008D6EF0"/>
    <w:rsid w:val="008D7045"/>
    <w:rsid w:val="008D706C"/>
    <w:rsid w:val="008D7074"/>
    <w:rsid w:val="008D7077"/>
    <w:rsid w:val="008D70EB"/>
    <w:rsid w:val="008D71BC"/>
    <w:rsid w:val="008D7203"/>
    <w:rsid w:val="008D765F"/>
    <w:rsid w:val="008D7842"/>
    <w:rsid w:val="008D785A"/>
    <w:rsid w:val="008D7A7D"/>
    <w:rsid w:val="008D7AFD"/>
    <w:rsid w:val="008D7ED3"/>
    <w:rsid w:val="008E00B1"/>
    <w:rsid w:val="008E01A7"/>
    <w:rsid w:val="008E031E"/>
    <w:rsid w:val="008E077E"/>
    <w:rsid w:val="008E0782"/>
    <w:rsid w:val="008E0846"/>
    <w:rsid w:val="008E08AA"/>
    <w:rsid w:val="008E0C74"/>
    <w:rsid w:val="008E0DF8"/>
    <w:rsid w:val="008E0E76"/>
    <w:rsid w:val="008E1021"/>
    <w:rsid w:val="008E1077"/>
    <w:rsid w:val="008E129F"/>
    <w:rsid w:val="008E152F"/>
    <w:rsid w:val="008E16D2"/>
    <w:rsid w:val="008E188E"/>
    <w:rsid w:val="008E18A9"/>
    <w:rsid w:val="008E1C11"/>
    <w:rsid w:val="008E1C74"/>
    <w:rsid w:val="008E1CF4"/>
    <w:rsid w:val="008E1F61"/>
    <w:rsid w:val="008E21D9"/>
    <w:rsid w:val="008E220D"/>
    <w:rsid w:val="008E221A"/>
    <w:rsid w:val="008E226E"/>
    <w:rsid w:val="008E2590"/>
    <w:rsid w:val="008E259F"/>
    <w:rsid w:val="008E2629"/>
    <w:rsid w:val="008E2B5F"/>
    <w:rsid w:val="008E2E67"/>
    <w:rsid w:val="008E2EB4"/>
    <w:rsid w:val="008E30DD"/>
    <w:rsid w:val="008E3267"/>
    <w:rsid w:val="008E3497"/>
    <w:rsid w:val="008E3563"/>
    <w:rsid w:val="008E3685"/>
    <w:rsid w:val="008E3783"/>
    <w:rsid w:val="008E3911"/>
    <w:rsid w:val="008E3A2D"/>
    <w:rsid w:val="008E3A67"/>
    <w:rsid w:val="008E3BA1"/>
    <w:rsid w:val="008E3BDD"/>
    <w:rsid w:val="008E3CA8"/>
    <w:rsid w:val="008E3CE2"/>
    <w:rsid w:val="008E3E84"/>
    <w:rsid w:val="008E3EC2"/>
    <w:rsid w:val="008E3F72"/>
    <w:rsid w:val="008E41C9"/>
    <w:rsid w:val="008E44D4"/>
    <w:rsid w:val="008E45B8"/>
    <w:rsid w:val="008E45F6"/>
    <w:rsid w:val="008E493B"/>
    <w:rsid w:val="008E49E6"/>
    <w:rsid w:val="008E4A64"/>
    <w:rsid w:val="008E4A92"/>
    <w:rsid w:val="008E4B62"/>
    <w:rsid w:val="008E4C71"/>
    <w:rsid w:val="008E4CA5"/>
    <w:rsid w:val="008E4CF1"/>
    <w:rsid w:val="008E4D56"/>
    <w:rsid w:val="008E4FC9"/>
    <w:rsid w:val="008E5186"/>
    <w:rsid w:val="008E51EC"/>
    <w:rsid w:val="008E561D"/>
    <w:rsid w:val="008E56D1"/>
    <w:rsid w:val="008E575E"/>
    <w:rsid w:val="008E576E"/>
    <w:rsid w:val="008E57AF"/>
    <w:rsid w:val="008E5873"/>
    <w:rsid w:val="008E59B0"/>
    <w:rsid w:val="008E5AD1"/>
    <w:rsid w:val="008E5B9E"/>
    <w:rsid w:val="008E5CBC"/>
    <w:rsid w:val="008E5D1C"/>
    <w:rsid w:val="008E5DD3"/>
    <w:rsid w:val="008E5E63"/>
    <w:rsid w:val="008E60C1"/>
    <w:rsid w:val="008E61B9"/>
    <w:rsid w:val="008E63FF"/>
    <w:rsid w:val="008E6484"/>
    <w:rsid w:val="008E670C"/>
    <w:rsid w:val="008E69AF"/>
    <w:rsid w:val="008E6A11"/>
    <w:rsid w:val="008E6E7B"/>
    <w:rsid w:val="008E6F55"/>
    <w:rsid w:val="008E7160"/>
    <w:rsid w:val="008E7164"/>
    <w:rsid w:val="008E73A8"/>
    <w:rsid w:val="008E7407"/>
    <w:rsid w:val="008E7A1F"/>
    <w:rsid w:val="008E7A30"/>
    <w:rsid w:val="008E7C43"/>
    <w:rsid w:val="008E7FD8"/>
    <w:rsid w:val="008F007D"/>
    <w:rsid w:val="008F0166"/>
    <w:rsid w:val="008F05EE"/>
    <w:rsid w:val="008F066F"/>
    <w:rsid w:val="008F07A7"/>
    <w:rsid w:val="008F096D"/>
    <w:rsid w:val="008F09FD"/>
    <w:rsid w:val="008F0DFC"/>
    <w:rsid w:val="008F0ECC"/>
    <w:rsid w:val="008F0FFE"/>
    <w:rsid w:val="008F11CB"/>
    <w:rsid w:val="008F11E1"/>
    <w:rsid w:val="008F1204"/>
    <w:rsid w:val="008F157B"/>
    <w:rsid w:val="008F1D50"/>
    <w:rsid w:val="008F1DFC"/>
    <w:rsid w:val="008F1F88"/>
    <w:rsid w:val="008F20CF"/>
    <w:rsid w:val="008F2169"/>
    <w:rsid w:val="008F216E"/>
    <w:rsid w:val="008F21AD"/>
    <w:rsid w:val="008F21F9"/>
    <w:rsid w:val="008F23D3"/>
    <w:rsid w:val="008F2613"/>
    <w:rsid w:val="008F28D5"/>
    <w:rsid w:val="008F2A1A"/>
    <w:rsid w:val="008F2A62"/>
    <w:rsid w:val="008F2BCF"/>
    <w:rsid w:val="008F2CB8"/>
    <w:rsid w:val="008F2DB9"/>
    <w:rsid w:val="008F2FE6"/>
    <w:rsid w:val="008F3164"/>
    <w:rsid w:val="008F3171"/>
    <w:rsid w:val="008F32E0"/>
    <w:rsid w:val="008F36D2"/>
    <w:rsid w:val="008F37A0"/>
    <w:rsid w:val="008F3CAC"/>
    <w:rsid w:val="008F3DC0"/>
    <w:rsid w:val="008F3F2A"/>
    <w:rsid w:val="008F3F39"/>
    <w:rsid w:val="008F4040"/>
    <w:rsid w:val="008F4372"/>
    <w:rsid w:val="008F45B4"/>
    <w:rsid w:val="008F45EF"/>
    <w:rsid w:val="008F475C"/>
    <w:rsid w:val="008F4766"/>
    <w:rsid w:val="008F48EB"/>
    <w:rsid w:val="008F49F7"/>
    <w:rsid w:val="008F4DFF"/>
    <w:rsid w:val="008F4F8E"/>
    <w:rsid w:val="008F5205"/>
    <w:rsid w:val="008F527C"/>
    <w:rsid w:val="008F554A"/>
    <w:rsid w:val="008F5571"/>
    <w:rsid w:val="008F56B4"/>
    <w:rsid w:val="008F5947"/>
    <w:rsid w:val="008F5B61"/>
    <w:rsid w:val="008F6165"/>
    <w:rsid w:val="008F621A"/>
    <w:rsid w:val="008F6539"/>
    <w:rsid w:val="008F67C6"/>
    <w:rsid w:val="008F6999"/>
    <w:rsid w:val="008F6CDE"/>
    <w:rsid w:val="008F6F37"/>
    <w:rsid w:val="008F730E"/>
    <w:rsid w:val="008F73B4"/>
    <w:rsid w:val="008F7545"/>
    <w:rsid w:val="008F761A"/>
    <w:rsid w:val="008F783C"/>
    <w:rsid w:val="008F7A21"/>
    <w:rsid w:val="008F7B6E"/>
    <w:rsid w:val="008F7C8D"/>
    <w:rsid w:val="008F7F0D"/>
    <w:rsid w:val="008F7FC8"/>
    <w:rsid w:val="0090035C"/>
    <w:rsid w:val="00900638"/>
    <w:rsid w:val="00900D1C"/>
    <w:rsid w:val="00900EE0"/>
    <w:rsid w:val="00900EF2"/>
    <w:rsid w:val="00900FF9"/>
    <w:rsid w:val="00901106"/>
    <w:rsid w:val="00901285"/>
    <w:rsid w:val="0090128D"/>
    <w:rsid w:val="00901330"/>
    <w:rsid w:val="009014C8"/>
    <w:rsid w:val="00901682"/>
    <w:rsid w:val="009018ED"/>
    <w:rsid w:val="0090194D"/>
    <w:rsid w:val="00901A6B"/>
    <w:rsid w:val="00901BA9"/>
    <w:rsid w:val="00901C56"/>
    <w:rsid w:val="00901F0A"/>
    <w:rsid w:val="00901F4F"/>
    <w:rsid w:val="00901F5E"/>
    <w:rsid w:val="00901F65"/>
    <w:rsid w:val="00902356"/>
    <w:rsid w:val="00902382"/>
    <w:rsid w:val="009023DD"/>
    <w:rsid w:val="0090240C"/>
    <w:rsid w:val="00902410"/>
    <w:rsid w:val="00902499"/>
    <w:rsid w:val="0090259D"/>
    <w:rsid w:val="009026E0"/>
    <w:rsid w:val="009026FA"/>
    <w:rsid w:val="0090274D"/>
    <w:rsid w:val="0090285E"/>
    <w:rsid w:val="00902A4C"/>
    <w:rsid w:val="00902AA7"/>
    <w:rsid w:val="00902B55"/>
    <w:rsid w:val="00902CA6"/>
    <w:rsid w:val="00902D61"/>
    <w:rsid w:val="00902D72"/>
    <w:rsid w:val="00902E94"/>
    <w:rsid w:val="00902F5A"/>
    <w:rsid w:val="00903034"/>
    <w:rsid w:val="009030F8"/>
    <w:rsid w:val="00903591"/>
    <w:rsid w:val="00903C5A"/>
    <w:rsid w:val="00903EF4"/>
    <w:rsid w:val="00903F2E"/>
    <w:rsid w:val="00903F96"/>
    <w:rsid w:val="009040E4"/>
    <w:rsid w:val="009040F4"/>
    <w:rsid w:val="00904174"/>
    <w:rsid w:val="009041AD"/>
    <w:rsid w:val="009042CE"/>
    <w:rsid w:val="00904327"/>
    <w:rsid w:val="0090438F"/>
    <w:rsid w:val="0090445A"/>
    <w:rsid w:val="00904480"/>
    <w:rsid w:val="0090450C"/>
    <w:rsid w:val="00904852"/>
    <w:rsid w:val="00904948"/>
    <w:rsid w:val="00904E27"/>
    <w:rsid w:val="0090509B"/>
    <w:rsid w:val="0090529F"/>
    <w:rsid w:val="0090534C"/>
    <w:rsid w:val="0090558A"/>
    <w:rsid w:val="009055CF"/>
    <w:rsid w:val="00905827"/>
    <w:rsid w:val="0090589A"/>
    <w:rsid w:val="00905976"/>
    <w:rsid w:val="00905F58"/>
    <w:rsid w:val="0090653E"/>
    <w:rsid w:val="009067A4"/>
    <w:rsid w:val="009067FC"/>
    <w:rsid w:val="00906930"/>
    <w:rsid w:val="0090699E"/>
    <w:rsid w:val="009069AA"/>
    <w:rsid w:val="00906A12"/>
    <w:rsid w:val="00906A2D"/>
    <w:rsid w:val="00906CF2"/>
    <w:rsid w:val="00906D71"/>
    <w:rsid w:val="0090710C"/>
    <w:rsid w:val="0090719F"/>
    <w:rsid w:val="00907542"/>
    <w:rsid w:val="00907605"/>
    <w:rsid w:val="009077EC"/>
    <w:rsid w:val="00907A3C"/>
    <w:rsid w:val="00907DAB"/>
    <w:rsid w:val="00907DDE"/>
    <w:rsid w:val="00907E24"/>
    <w:rsid w:val="00907EAE"/>
    <w:rsid w:val="00907F3A"/>
    <w:rsid w:val="00907FCD"/>
    <w:rsid w:val="00910095"/>
    <w:rsid w:val="00910168"/>
    <w:rsid w:val="009101A7"/>
    <w:rsid w:val="00910324"/>
    <w:rsid w:val="00910553"/>
    <w:rsid w:val="00910586"/>
    <w:rsid w:val="00910601"/>
    <w:rsid w:val="00910817"/>
    <w:rsid w:val="00910892"/>
    <w:rsid w:val="009109CF"/>
    <w:rsid w:val="00910B9D"/>
    <w:rsid w:val="00910F05"/>
    <w:rsid w:val="00911180"/>
    <w:rsid w:val="00911329"/>
    <w:rsid w:val="00911418"/>
    <w:rsid w:val="009114B9"/>
    <w:rsid w:val="0091169C"/>
    <w:rsid w:val="009118A7"/>
    <w:rsid w:val="00911A76"/>
    <w:rsid w:val="00911D93"/>
    <w:rsid w:val="00911F01"/>
    <w:rsid w:val="00912365"/>
    <w:rsid w:val="009123D6"/>
    <w:rsid w:val="0091289B"/>
    <w:rsid w:val="00912A35"/>
    <w:rsid w:val="00912A37"/>
    <w:rsid w:val="00912C6B"/>
    <w:rsid w:val="009130AC"/>
    <w:rsid w:val="009131DE"/>
    <w:rsid w:val="009133CB"/>
    <w:rsid w:val="00913B62"/>
    <w:rsid w:val="00913BF7"/>
    <w:rsid w:val="00913C97"/>
    <w:rsid w:val="00913FCB"/>
    <w:rsid w:val="0091409C"/>
    <w:rsid w:val="0091411D"/>
    <w:rsid w:val="00914190"/>
    <w:rsid w:val="009143E4"/>
    <w:rsid w:val="0091440C"/>
    <w:rsid w:val="00914A03"/>
    <w:rsid w:val="00914C25"/>
    <w:rsid w:val="00914D32"/>
    <w:rsid w:val="00914F17"/>
    <w:rsid w:val="00914FAA"/>
    <w:rsid w:val="00915255"/>
    <w:rsid w:val="00915784"/>
    <w:rsid w:val="009159BD"/>
    <w:rsid w:val="00915E90"/>
    <w:rsid w:val="009160DD"/>
    <w:rsid w:val="009162CB"/>
    <w:rsid w:val="009162E7"/>
    <w:rsid w:val="009163DB"/>
    <w:rsid w:val="00916515"/>
    <w:rsid w:val="009167B9"/>
    <w:rsid w:val="009168BD"/>
    <w:rsid w:val="00916B07"/>
    <w:rsid w:val="00916B79"/>
    <w:rsid w:val="00916BA5"/>
    <w:rsid w:val="00916D6B"/>
    <w:rsid w:val="00916EEA"/>
    <w:rsid w:val="00916F7C"/>
    <w:rsid w:val="00916FC2"/>
    <w:rsid w:val="00916FCA"/>
    <w:rsid w:val="0091711B"/>
    <w:rsid w:val="00917253"/>
    <w:rsid w:val="0091739B"/>
    <w:rsid w:val="009176EA"/>
    <w:rsid w:val="0091772F"/>
    <w:rsid w:val="009179DE"/>
    <w:rsid w:val="00917A5C"/>
    <w:rsid w:val="00917DB8"/>
    <w:rsid w:val="00917DFF"/>
    <w:rsid w:val="00917E67"/>
    <w:rsid w:val="00917F96"/>
    <w:rsid w:val="009206A6"/>
    <w:rsid w:val="009209DE"/>
    <w:rsid w:val="00920C9C"/>
    <w:rsid w:val="00920F07"/>
    <w:rsid w:val="009212CD"/>
    <w:rsid w:val="009212DA"/>
    <w:rsid w:val="009217C1"/>
    <w:rsid w:val="009218D1"/>
    <w:rsid w:val="00921F04"/>
    <w:rsid w:val="00922035"/>
    <w:rsid w:val="00922156"/>
    <w:rsid w:val="0092224A"/>
    <w:rsid w:val="009223FB"/>
    <w:rsid w:val="00922424"/>
    <w:rsid w:val="0092261B"/>
    <w:rsid w:val="00922995"/>
    <w:rsid w:val="00922A51"/>
    <w:rsid w:val="00922AEC"/>
    <w:rsid w:val="00922BE7"/>
    <w:rsid w:val="00922D55"/>
    <w:rsid w:val="00922D71"/>
    <w:rsid w:val="00922DDA"/>
    <w:rsid w:val="00922E3A"/>
    <w:rsid w:val="00922FDE"/>
    <w:rsid w:val="0092302F"/>
    <w:rsid w:val="00923132"/>
    <w:rsid w:val="0092337F"/>
    <w:rsid w:val="0092340E"/>
    <w:rsid w:val="009234BC"/>
    <w:rsid w:val="009235E3"/>
    <w:rsid w:val="00923838"/>
    <w:rsid w:val="009238E0"/>
    <w:rsid w:val="00923B07"/>
    <w:rsid w:val="00924120"/>
    <w:rsid w:val="0092419F"/>
    <w:rsid w:val="009244F6"/>
    <w:rsid w:val="0092471E"/>
    <w:rsid w:val="009248B3"/>
    <w:rsid w:val="00924A0F"/>
    <w:rsid w:val="00924A36"/>
    <w:rsid w:val="00924B1A"/>
    <w:rsid w:val="00924B21"/>
    <w:rsid w:val="00924B3B"/>
    <w:rsid w:val="00924FBC"/>
    <w:rsid w:val="00924FDD"/>
    <w:rsid w:val="009252D7"/>
    <w:rsid w:val="009253DB"/>
    <w:rsid w:val="0092553B"/>
    <w:rsid w:val="00925596"/>
    <w:rsid w:val="009258A3"/>
    <w:rsid w:val="0092597F"/>
    <w:rsid w:val="00925B49"/>
    <w:rsid w:val="00925B63"/>
    <w:rsid w:val="009264B1"/>
    <w:rsid w:val="009264E1"/>
    <w:rsid w:val="0092662B"/>
    <w:rsid w:val="00926BEE"/>
    <w:rsid w:val="00926C1B"/>
    <w:rsid w:val="00926C49"/>
    <w:rsid w:val="00926CF9"/>
    <w:rsid w:val="00926DA4"/>
    <w:rsid w:val="00926DB3"/>
    <w:rsid w:val="009270B3"/>
    <w:rsid w:val="00927143"/>
    <w:rsid w:val="009273BC"/>
    <w:rsid w:val="0092742F"/>
    <w:rsid w:val="00927498"/>
    <w:rsid w:val="00927553"/>
    <w:rsid w:val="00927949"/>
    <w:rsid w:val="00927AD6"/>
    <w:rsid w:val="009300B9"/>
    <w:rsid w:val="009301EB"/>
    <w:rsid w:val="00930248"/>
    <w:rsid w:val="0093025B"/>
    <w:rsid w:val="0093045D"/>
    <w:rsid w:val="00930564"/>
    <w:rsid w:val="00930657"/>
    <w:rsid w:val="009306A6"/>
    <w:rsid w:val="009306F4"/>
    <w:rsid w:val="00930765"/>
    <w:rsid w:val="009307F6"/>
    <w:rsid w:val="00930826"/>
    <w:rsid w:val="00930922"/>
    <w:rsid w:val="009309AE"/>
    <w:rsid w:val="009309B2"/>
    <w:rsid w:val="00930B0C"/>
    <w:rsid w:val="00930C7D"/>
    <w:rsid w:val="00931100"/>
    <w:rsid w:val="0093117A"/>
    <w:rsid w:val="009311B7"/>
    <w:rsid w:val="00931593"/>
    <w:rsid w:val="009315A1"/>
    <w:rsid w:val="009315D9"/>
    <w:rsid w:val="009317AB"/>
    <w:rsid w:val="00931C5B"/>
    <w:rsid w:val="00932151"/>
    <w:rsid w:val="00932604"/>
    <w:rsid w:val="009328AD"/>
    <w:rsid w:val="00932AF5"/>
    <w:rsid w:val="00932BC4"/>
    <w:rsid w:val="00932C0B"/>
    <w:rsid w:val="00932F0F"/>
    <w:rsid w:val="00932F1A"/>
    <w:rsid w:val="0093313A"/>
    <w:rsid w:val="009331D9"/>
    <w:rsid w:val="009333CF"/>
    <w:rsid w:val="009336D9"/>
    <w:rsid w:val="00933C51"/>
    <w:rsid w:val="00933CBD"/>
    <w:rsid w:val="00933D48"/>
    <w:rsid w:val="00933E5D"/>
    <w:rsid w:val="00933E88"/>
    <w:rsid w:val="00933EA9"/>
    <w:rsid w:val="00934489"/>
    <w:rsid w:val="00934538"/>
    <w:rsid w:val="009347FE"/>
    <w:rsid w:val="00934AE4"/>
    <w:rsid w:val="00934B62"/>
    <w:rsid w:val="00934DCB"/>
    <w:rsid w:val="00934DF9"/>
    <w:rsid w:val="00934F6C"/>
    <w:rsid w:val="00934F99"/>
    <w:rsid w:val="00935062"/>
    <w:rsid w:val="009350E8"/>
    <w:rsid w:val="00935692"/>
    <w:rsid w:val="00935747"/>
    <w:rsid w:val="009357C0"/>
    <w:rsid w:val="009358B0"/>
    <w:rsid w:val="00935904"/>
    <w:rsid w:val="00935990"/>
    <w:rsid w:val="00935A0A"/>
    <w:rsid w:val="00935DA6"/>
    <w:rsid w:val="00935F82"/>
    <w:rsid w:val="00936175"/>
    <w:rsid w:val="009362FB"/>
    <w:rsid w:val="00936345"/>
    <w:rsid w:val="00936367"/>
    <w:rsid w:val="00936440"/>
    <w:rsid w:val="009366E8"/>
    <w:rsid w:val="00936ACD"/>
    <w:rsid w:val="00936B3D"/>
    <w:rsid w:val="00936E8F"/>
    <w:rsid w:val="0093765E"/>
    <w:rsid w:val="00937ABE"/>
    <w:rsid w:val="00937C7B"/>
    <w:rsid w:val="00937ED6"/>
    <w:rsid w:val="00937FBE"/>
    <w:rsid w:val="00937FE8"/>
    <w:rsid w:val="0094063C"/>
    <w:rsid w:val="009407D9"/>
    <w:rsid w:val="0094090F"/>
    <w:rsid w:val="00940E3E"/>
    <w:rsid w:val="00940EA5"/>
    <w:rsid w:val="00940F0D"/>
    <w:rsid w:val="00941102"/>
    <w:rsid w:val="00941124"/>
    <w:rsid w:val="0094117B"/>
    <w:rsid w:val="0094119F"/>
    <w:rsid w:val="0094121B"/>
    <w:rsid w:val="00941381"/>
    <w:rsid w:val="00941533"/>
    <w:rsid w:val="00941654"/>
    <w:rsid w:val="009417B9"/>
    <w:rsid w:val="00941946"/>
    <w:rsid w:val="00941BCE"/>
    <w:rsid w:val="00941C71"/>
    <w:rsid w:val="00941F44"/>
    <w:rsid w:val="009420D0"/>
    <w:rsid w:val="00942114"/>
    <w:rsid w:val="009421AD"/>
    <w:rsid w:val="009422B4"/>
    <w:rsid w:val="00942624"/>
    <w:rsid w:val="0094271C"/>
    <w:rsid w:val="0094275C"/>
    <w:rsid w:val="0094289C"/>
    <w:rsid w:val="009428F3"/>
    <w:rsid w:val="00942974"/>
    <w:rsid w:val="00942C8E"/>
    <w:rsid w:val="0094316A"/>
    <w:rsid w:val="00943453"/>
    <w:rsid w:val="00943889"/>
    <w:rsid w:val="00943960"/>
    <w:rsid w:val="00943973"/>
    <w:rsid w:val="00943CDE"/>
    <w:rsid w:val="00943E35"/>
    <w:rsid w:val="00943E73"/>
    <w:rsid w:val="00943F89"/>
    <w:rsid w:val="00944156"/>
    <w:rsid w:val="009443A2"/>
    <w:rsid w:val="009445AE"/>
    <w:rsid w:val="009445E0"/>
    <w:rsid w:val="009446A8"/>
    <w:rsid w:val="009447DE"/>
    <w:rsid w:val="00944A74"/>
    <w:rsid w:val="00944B41"/>
    <w:rsid w:val="00944F37"/>
    <w:rsid w:val="00944FE6"/>
    <w:rsid w:val="00945098"/>
    <w:rsid w:val="0094533E"/>
    <w:rsid w:val="0094536E"/>
    <w:rsid w:val="009456C4"/>
    <w:rsid w:val="00945762"/>
    <w:rsid w:val="009458BD"/>
    <w:rsid w:val="009459FB"/>
    <w:rsid w:val="00945AAE"/>
    <w:rsid w:val="00945D0E"/>
    <w:rsid w:val="00945DB9"/>
    <w:rsid w:val="009461B7"/>
    <w:rsid w:val="00946368"/>
    <w:rsid w:val="0094649A"/>
    <w:rsid w:val="00946657"/>
    <w:rsid w:val="00946661"/>
    <w:rsid w:val="009466B0"/>
    <w:rsid w:val="00946770"/>
    <w:rsid w:val="00946D09"/>
    <w:rsid w:val="00946D59"/>
    <w:rsid w:val="00946E7F"/>
    <w:rsid w:val="00947268"/>
    <w:rsid w:val="00947507"/>
    <w:rsid w:val="009475E3"/>
    <w:rsid w:val="00947645"/>
    <w:rsid w:val="00947795"/>
    <w:rsid w:val="009477A2"/>
    <w:rsid w:val="00947866"/>
    <w:rsid w:val="00947C09"/>
    <w:rsid w:val="00950033"/>
    <w:rsid w:val="00950089"/>
    <w:rsid w:val="009502D4"/>
    <w:rsid w:val="009503D8"/>
    <w:rsid w:val="00950487"/>
    <w:rsid w:val="0095091A"/>
    <w:rsid w:val="0095093A"/>
    <w:rsid w:val="00950BFA"/>
    <w:rsid w:val="00950E97"/>
    <w:rsid w:val="0095106F"/>
    <w:rsid w:val="009511B5"/>
    <w:rsid w:val="009512DC"/>
    <w:rsid w:val="0095133F"/>
    <w:rsid w:val="00951345"/>
    <w:rsid w:val="009513CE"/>
    <w:rsid w:val="009514BE"/>
    <w:rsid w:val="009514E4"/>
    <w:rsid w:val="009519C7"/>
    <w:rsid w:val="00951FAF"/>
    <w:rsid w:val="009522DD"/>
    <w:rsid w:val="009526E3"/>
    <w:rsid w:val="00952755"/>
    <w:rsid w:val="00952896"/>
    <w:rsid w:val="00952D48"/>
    <w:rsid w:val="00952E76"/>
    <w:rsid w:val="00952EC5"/>
    <w:rsid w:val="0095300A"/>
    <w:rsid w:val="00953097"/>
    <w:rsid w:val="009530A5"/>
    <w:rsid w:val="00953497"/>
    <w:rsid w:val="009534F1"/>
    <w:rsid w:val="00953514"/>
    <w:rsid w:val="0095361B"/>
    <w:rsid w:val="00953775"/>
    <w:rsid w:val="009538C6"/>
    <w:rsid w:val="009538F8"/>
    <w:rsid w:val="00953968"/>
    <w:rsid w:val="009539B4"/>
    <w:rsid w:val="009539D0"/>
    <w:rsid w:val="00953A20"/>
    <w:rsid w:val="00953AEE"/>
    <w:rsid w:val="00953BB6"/>
    <w:rsid w:val="00953C10"/>
    <w:rsid w:val="00953E2A"/>
    <w:rsid w:val="00953ED2"/>
    <w:rsid w:val="00953F04"/>
    <w:rsid w:val="00953F31"/>
    <w:rsid w:val="009541A1"/>
    <w:rsid w:val="009541B7"/>
    <w:rsid w:val="0095442C"/>
    <w:rsid w:val="009544A7"/>
    <w:rsid w:val="00954747"/>
    <w:rsid w:val="00954A63"/>
    <w:rsid w:val="00954A65"/>
    <w:rsid w:val="00954B8F"/>
    <w:rsid w:val="00954C7B"/>
    <w:rsid w:val="00954DE9"/>
    <w:rsid w:val="00954E29"/>
    <w:rsid w:val="00954EB1"/>
    <w:rsid w:val="0095529C"/>
    <w:rsid w:val="009554F3"/>
    <w:rsid w:val="00955548"/>
    <w:rsid w:val="009555D9"/>
    <w:rsid w:val="00955CBD"/>
    <w:rsid w:val="00955DA6"/>
    <w:rsid w:val="00956583"/>
    <w:rsid w:val="00956B00"/>
    <w:rsid w:val="00956B94"/>
    <w:rsid w:val="00956BEB"/>
    <w:rsid w:val="00956CEF"/>
    <w:rsid w:val="00957108"/>
    <w:rsid w:val="00957552"/>
    <w:rsid w:val="00957587"/>
    <w:rsid w:val="009579AE"/>
    <w:rsid w:val="009579BA"/>
    <w:rsid w:val="00957B21"/>
    <w:rsid w:val="00957E66"/>
    <w:rsid w:val="009605BD"/>
    <w:rsid w:val="0096077D"/>
    <w:rsid w:val="009608DA"/>
    <w:rsid w:val="009609E7"/>
    <w:rsid w:val="009610A7"/>
    <w:rsid w:val="009610CF"/>
    <w:rsid w:val="00961332"/>
    <w:rsid w:val="009614BA"/>
    <w:rsid w:val="00961617"/>
    <w:rsid w:val="00961806"/>
    <w:rsid w:val="00961BBE"/>
    <w:rsid w:val="00961D81"/>
    <w:rsid w:val="00961E59"/>
    <w:rsid w:val="009620AD"/>
    <w:rsid w:val="009620DA"/>
    <w:rsid w:val="009621FE"/>
    <w:rsid w:val="00962274"/>
    <w:rsid w:val="00962331"/>
    <w:rsid w:val="00962D85"/>
    <w:rsid w:val="00962E48"/>
    <w:rsid w:val="00962F24"/>
    <w:rsid w:val="0096302E"/>
    <w:rsid w:val="00963340"/>
    <w:rsid w:val="009633A1"/>
    <w:rsid w:val="0096351F"/>
    <w:rsid w:val="00963552"/>
    <w:rsid w:val="0096360B"/>
    <w:rsid w:val="0096365C"/>
    <w:rsid w:val="009637A9"/>
    <w:rsid w:val="00963E2E"/>
    <w:rsid w:val="00963E3D"/>
    <w:rsid w:val="00963E9D"/>
    <w:rsid w:val="00963FB3"/>
    <w:rsid w:val="009646DC"/>
    <w:rsid w:val="009647AB"/>
    <w:rsid w:val="00964849"/>
    <w:rsid w:val="009648D6"/>
    <w:rsid w:val="00964ACA"/>
    <w:rsid w:val="00964B16"/>
    <w:rsid w:val="00964FB8"/>
    <w:rsid w:val="0096514D"/>
    <w:rsid w:val="0096515C"/>
    <w:rsid w:val="0096554E"/>
    <w:rsid w:val="00965C1D"/>
    <w:rsid w:val="00965CD0"/>
    <w:rsid w:val="00965EFE"/>
    <w:rsid w:val="00965F08"/>
    <w:rsid w:val="0096601C"/>
    <w:rsid w:val="009660BA"/>
    <w:rsid w:val="00966287"/>
    <w:rsid w:val="00966364"/>
    <w:rsid w:val="009665C0"/>
    <w:rsid w:val="009666A3"/>
    <w:rsid w:val="00966725"/>
    <w:rsid w:val="00966761"/>
    <w:rsid w:val="009667CD"/>
    <w:rsid w:val="0096686B"/>
    <w:rsid w:val="00966B5F"/>
    <w:rsid w:val="00966B9A"/>
    <w:rsid w:val="00966C8D"/>
    <w:rsid w:val="00966DA4"/>
    <w:rsid w:val="00966FA1"/>
    <w:rsid w:val="00966FBF"/>
    <w:rsid w:val="0096711B"/>
    <w:rsid w:val="009677E0"/>
    <w:rsid w:val="0096785A"/>
    <w:rsid w:val="00967865"/>
    <w:rsid w:val="00967B89"/>
    <w:rsid w:val="00967C16"/>
    <w:rsid w:val="00967C28"/>
    <w:rsid w:val="00967C50"/>
    <w:rsid w:val="00967D08"/>
    <w:rsid w:val="00967D21"/>
    <w:rsid w:val="00967F30"/>
    <w:rsid w:val="00970195"/>
    <w:rsid w:val="0097033E"/>
    <w:rsid w:val="00970E07"/>
    <w:rsid w:val="00970E43"/>
    <w:rsid w:val="00970E56"/>
    <w:rsid w:val="00970E7C"/>
    <w:rsid w:val="00970F18"/>
    <w:rsid w:val="00971071"/>
    <w:rsid w:val="0097110B"/>
    <w:rsid w:val="0097115E"/>
    <w:rsid w:val="0097120C"/>
    <w:rsid w:val="00971507"/>
    <w:rsid w:val="00971668"/>
    <w:rsid w:val="009718CD"/>
    <w:rsid w:val="009719EF"/>
    <w:rsid w:val="00971A60"/>
    <w:rsid w:val="00971AFD"/>
    <w:rsid w:val="00971FC2"/>
    <w:rsid w:val="0097227D"/>
    <w:rsid w:val="009724AB"/>
    <w:rsid w:val="009725EC"/>
    <w:rsid w:val="00972821"/>
    <w:rsid w:val="009729AF"/>
    <w:rsid w:val="009732CE"/>
    <w:rsid w:val="009734B4"/>
    <w:rsid w:val="009734BE"/>
    <w:rsid w:val="009735C3"/>
    <w:rsid w:val="009736A5"/>
    <w:rsid w:val="00973704"/>
    <w:rsid w:val="0097384E"/>
    <w:rsid w:val="009738B7"/>
    <w:rsid w:val="00973A7E"/>
    <w:rsid w:val="00973E20"/>
    <w:rsid w:val="00973E68"/>
    <w:rsid w:val="00974004"/>
    <w:rsid w:val="00974084"/>
    <w:rsid w:val="00974150"/>
    <w:rsid w:val="009742CE"/>
    <w:rsid w:val="00974380"/>
    <w:rsid w:val="0097470A"/>
    <w:rsid w:val="0097481B"/>
    <w:rsid w:val="00974E2D"/>
    <w:rsid w:val="00974F5A"/>
    <w:rsid w:val="0097505B"/>
    <w:rsid w:val="00975090"/>
    <w:rsid w:val="009750B9"/>
    <w:rsid w:val="00975266"/>
    <w:rsid w:val="009752D5"/>
    <w:rsid w:val="0097532B"/>
    <w:rsid w:val="00975432"/>
    <w:rsid w:val="00975B20"/>
    <w:rsid w:val="00975BB4"/>
    <w:rsid w:val="00975CA0"/>
    <w:rsid w:val="00975E1F"/>
    <w:rsid w:val="00975E6C"/>
    <w:rsid w:val="0097607E"/>
    <w:rsid w:val="009762C0"/>
    <w:rsid w:val="00976426"/>
    <w:rsid w:val="0097642E"/>
    <w:rsid w:val="009764EC"/>
    <w:rsid w:val="00976640"/>
    <w:rsid w:val="00976652"/>
    <w:rsid w:val="0097677F"/>
    <w:rsid w:val="009767CB"/>
    <w:rsid w:val="0097682A"/>
    <w:rsid w:val="00976BDB"/>
    <w:rsid w:val="00976C79"/>
    <w:rsid w:val="00977062"/>
    <w:rsid w:val="0097707B"/>
    <w:rsid w:val="00977519"/>
    <w:rsid w:val="00977661"/>
    <w:rsid w:val="009777A0"/>
    <w:rsid w:val="00977808"/>
    <w:rsid w:val="00977A72"/>
    <w:rsid w:val="00980228"/>
    <w:rsid w:val="0098024F"/>
    <w:rsid w:val="00980542"/>
    <w:rsid w:val="00980773"/>
    <w:rsid w:val="00980949"/>
    <w:rsid w:val="009809A4"/>
    <w:rsid w:val="00980E5D"/>
    <w:rsid w:val="00981017"/>
    <w:rsid w:val="009811F7"/>
    <w:rsid w:val="009814AF"/>
    <w:rsid w:val="00981691"/>
    <w:rsid w:val="00981A13"/>
    <w:rsid w:val="00981DAF"/>
    <w:rsid w:val="00981E31"/>
    <w:rsid w:val="00981F4E"/>
    <w:rsid w:val="009823A3"/>
    <w:rsid w:val="00982427"/>
    <w:rsid w:val="009824CF"/>
    <w:rsid w:val="00982527"/>
    <w:rsid w:val="0098257B"/>
    <w:rsid w:val="00982962"/>
    <w:rsid w:val="00982A78"/>
    <w:rsid w:val="00983267"/>
    <w:rsid w:val="0098343A"/>
    <w:rsid w:val="0098349A"/>
    <w:rsid w:val="009834CA"/>
    <w:rsid w:val="00983598"/>
    <w:rsid w:val="009835E4"/>
    <w:rsid w:val="009836A8"/>
    <w:rsid w:val="009839F6"/>
    <w:rsid w:val="00983AA1"/>
    <w:rsid w:val="00983AC8"/>
    <w:rsid w:val="00983F0A"/>
    <w:rsid w:val="00983F2D"/>
    <w:rsid w:val="0098414F"/>
    <w:rsid w:val="009842CD"/>
    <w:rsid w:val="009843C9"/>
    <w:rsid w:val="0098453F"/>
    <w:rsid w:val="00984839"/>
    <w:rsid w:val="009848B9"/>
    <w:rsid w:val="00984A56"/>
    <w:rsid w:val="00984C1C"/>
    <w:rsid w:val="00984E69"/>
    <w:rsid w:val="0098502E"/>
    <w:rsid w:val="0098557D"/>
    <w:rsid w:val="00985635"/>
    <w:rsid w:val="009856D8"/>
    <w:rsid w:val="009858DD"/>
    <w:rsid w:val="00986013"/>
    <w:rsid w:val="00986705"/>
    <w:rsid w:val="00986986"/>
    <w:rsid w:val="00986C03"/>
    <w:rsid w:val="00986CAA"/>
    <w:rsid w:val="00987003"/>
    <w:rsid w:val="00987703"/>
    <w:rsid w:val="00987763"/>
    <w:rsid w:val="009878B5"/>
    <w:rsid w:val="00987C10"/>
    <w:rsid w:val="00990165"/>
    <w:rsid w:val="009904C8"/>
    <w:rsid w:val="00990B15"/>
    <w:rsid w:val="00990B31"/>
    <w:rsid w:val="00990C0C"/>
    <w:rsid w:val="00990E67"/>
    <w:rsid w:val="00990ECB"/>
    <w:rsid w:val="00990EFA"/>
    <w:rsid w:val="00991263"/>
    <w:rsid w:val="009913FF"/>
    <w:rsid w:val="00991405"/>
    <w:rsid w:val="00991406"/>
    <w:rsid w:val="0099145C"/>
    <w:rsid w:val="009914EB"/>
    <w:rsid w:val="009915C0"/>
    <w:rsid w:val="009917C8"/>
    <w:rsid w:val="00991C77"/>
    <w:rsid w:val="0099229D"/>
    <w:rsid w:val="009922B4"/>
    <w:rsid w:val="00992300"/>
    <w:rsid w:val="009926AD"/>
    <w:rsid w:val="009927E6"/>
    <w:rsid w:val="009928A7"/>
    <w:rsid w:val="00992A65"/>
    <w:rsid w:val="00992A9C"/>
    <w:rsid w:val="00992CC2"/>
    <w:rsid w:val="00992D1E"/>
    <w:rsid w:val="00992D87"/>
    <w:rsid w:val="00992D97"/>
    <w:rsid w:val="009936CE"/>
    <w:rsid w:val="00993728"/>
    <w:rsid w:val="009937D1"/>
    <w:rsid w:val="00993AAD"/>
    <w:rsid w:val="0099401C"/>
    <w:rsid w:val="00994170"/>
    <w:rsid w:val="009941DC"/>
    <w:rsid w:val="00994311"/>
    <w:rsid w:val="0099460A"/>
    <w:rsid w:val="00994815"/>
    <w:rsid w:val="00994953"/>
    <w:rsid w:val="00994EDE"/>
    <w:rsid w:val="00994F39"/>
    <w:rsid w:val="009951C4"/>
    <w:rsid w:val="0099530B"/>
    <w:rsid w:val="009957A7"/>
    <w:rsid w:val="009957C0"/>
    <w:rsid w:val="009957DC"/>
    <w:rsid w:val="009958F5"/>
    <w:rsid w:val="00995B72"/>
    <w:rsid w:val="009960D4"/>
    <w:rsid w:val="0099640D"/>
    <w:rsid w:val="00996413"/>
    <w:rsid w:val="00996481"/>
    <w:rsid w:val="0099685C"/>
    <w:rsid w:val="00996959"/>
    <w:rsid w:val="00996A41"/>
    <w:rsid w:val="00996C25"/>
    <w:rsid w:val="00996C33"/>
    <w:rsid w:val="00996C3A"/>
    <w:rsid w:val="00996C6B"/>
    <w:rsid w:val="00996CFE"/>
    <w:rsid w:val="00996E1D"/>
    <w:rsid w:val="00996E40"/>
    <w:rsid w:val="00996EBD"/>
    <w:rsid w:val="0099708E"/>
    <w:rsid w:val="009970BC"/>
    <w:rsid w:val="009974E5"/>
    <w:rsid w:val="00997556"/>
    <w:rsid w:val="00997641"/>
    <w:rsid w:val="009979B0"/>
    <w:rsid w:val="00997C71"/>
    <w:rsid w:val="00997CDD"/>
    <w:rsid w:val="00997E34"/>
    <w:rsid w:val="009A003E"/>
    <w:rsid w:val="009A018C"/>
    <w:rsid w:val="009A02F8"/>
    <w:rsid w:val="009A03E4"/>
    <w:rsid w:val="009A04F1"/>
    <w:rsid w:val="009A069F"/>
    <w:rsid w:val="009A06C4"/>
    <w:rsid w:val="009A0905"/>
    <w:rsid w:val="009A0928"/>
    <w:rsid w:val="009A09BC"/>
    <w:rsid w:val="009A0B2A"/>
    <w:rsid w:val="009A0BF2"/>
    <w:rsid w:val="009A0E85"/>
    <w:rsid w:val="009A0FBB"/>
    <w:rsid w:val="009A0FE4"/>
    <w:rsid w:val="009A1044"/>
    <w:rsid w:val="009A1051"/>
    <w:rsid w:val="009A1171"/>
    <w:rsid w:val="009A1396"/>
    <w:rsid w:val="009A13EF"/>
    <w:rsid w:val="009A1651"/>
    <w:rsid w:val="009A186A"/>
    <w:rsid w:val="009A18DA"/>
    <w:rsid w:val="009A1B61"/>
    <w:rsid w:val="009A1C25"/>
    <w:rsid w:val="009A2097"/>
    <w:rsid w:val="009A25B0"/>
    <w:rsid w:val="009A28A7"/>
    <w:rsid w:val="009A2B89"/>
    <w:rsid w:val="009A2C25"/>
    <w:rsid w:val="009A2CA9"/>
    <w:rsid w:val="009A2DF1"/>
    <w:rsid w:val="009A308D"/>
    <w:rsid w:val="009A30B2"/>
    <w:rsid w:val="009A314E"/>
    <w:rsid w:val="009A318D"/>
    <w:rsid w:val="009A31CE"/>
    <w:rsid w:val="009A34D1"/>
    <w:rsid w:val="009A34E2"/>
    <w:rsid w:val="009A3BE5"/>
    <w:rsid w:val="009A405E"/>
    <w:rsid w:val="009A41A0"/>
    <w:rsid w:val="009A41D8"/>
    <w:rsid w:val="009A427B"/>
    <w:rsid w:val="009A44E2"/>
    <w:rsid w:val="009A468B"/>
    <w:rsid w:val="009A46BD"/>
    <w:rsid w:val="009A46C3"/>
    <w:rsid w:val="009A4837"/>
    <w:rsid w:val="009A48CC"/>
    <w:rsid w:val="009A497D"/>
    <w:rsid w:val="009A4AA1"/>
    <w:rsid w:val="009A4BFF"/>
    <w:rsid w:val="009A4CB1"/>
    <w:rsid w:val="009A4CB6"/>
    <w:rsid w:val="009A4F68"/>
    <w:rsid w:val="009A4F6C"/>
    <w:rsid w:val="009A5077"/>
    <w:rsid w:val="009A5096"/>
    <w:rsid w:val="009A50E1"/>
    <w:rsid w:val="009A5241"/>
    <w:rsid w:val="009A52AA"/>
    <w:rsid w:val="009A52D6"/>
    <w:rsid w:val="009A57B9"/>
    <w:rsid w:val="009A5A6A"/>
    <w:rsid w:val="009A5A9D"/>
    <w:rsid w:val="009A5B06"/>
    <w:rsid w:val="009A5C52"/>
    <w:rsid w:val="009A5D50"/>
    <w:rsid w:val="009A5DB6"/>
    <w:rsid w:val="009A5F31"/>
    <w:rsid w:val="009A6210"/>
    <w:rsid w:val="009A632F"/>
    <w:rsid w:val="009A6334"/>
    <w:rsid w:val="009A63E3"/>
    <w:rsid w:val="009A6525"/>
    <w:rsid w:val="009A67EC"/>
    <w:rsid w:val="009A690C"/>
    <w:rsid w:val="009A6978"/>
    <w:rsid w:val="009A6C58"/>
    <w:rsid w:val="009A6C7B"/>
    <w:rsid w:val="009A6D33"/>
    <w:rsid w:val="009A6E6F"/>
    <w:rsid w:val="009A6E89"/>
    <w:rsid w:val="009A6F83"/>
    <w:rsid w:val="009A700A"/>
    <w:rsid w:val="009A70BD"/>
    <w:rsid w:val="009A714A"/>
    <w:rsid w:val="009A7155"/>
    <w:rsid w:val="009A7254"/>
    <w:rsid w:val="009A76E3"/>
    <w:rsid w:val="009A7745"/>
    <w:rsid w:val="009A7760"/>
    <w:rsid w:val="009A7822"/>
    <w:rsid w:val="009A7858"/>
    <w:rsid w:val="009A790C"/>
    <w:rsid w:val="009A79DB"/>
    <w:rsid w:val="009A7BE0"/>
    <w:rsid w:val="009A7C01"/>
    <w:rsid w:val="009A7D93"/>
    <w:rsid w:val="009A7E62"/>
    <w:rsid w:val="009A7E6E"/>
    <w:rsid w:val="009ADB97"/>
    <w:rsid w:val="009B0194"/>
    <w:rsid w:val="009B03B2"/>
    <w:rsid w:val="009B0442"/>
    <w:rsid w:val="009B065A"/>
    <w:rsid w:val="009B0955"/>
    <w:rsid w:val="009B12C3"/>
    <w:rsid w:val="009B154B"/>
    <w:rsid w:val="009B1730"/>
    <w:rsid w:val="009B1AAF"/>
    <w:rsid w:val="009B1AD4"/>
    <w:rsid w:val="009B1BD9"/>
    <w:rsid w:val="009B1C7F"/>
    <w:rsid w:val="009B1D74"/>
    <w:rsid w:val="009B2317"/>
    <w:rsid w:val="009B2509"/>
    <w:rsid w:val="009B2735"/>
    <w:rsid w:val="009B2787"/>
    <w:rsid w:val="009B2DB3"/>
    <w:rsid w:val="009B2DD3"/>
    <w:rsid w:val="009B2DE9"/>
    <w:rsid w:val="009B2E77"/>
    <w:rsid w:val="009B2F09"/>
    <w:rsid w:val="009B2F17"/>
    <w:rsid w:val="009B300E"/>
    <w:rsid w:val="009B32B2"/>
    <w:rsid w:val="009B3535"/>
    <w:rsid w:val="009B372E"/>
    <w:rsid w:val="009B3855"/>
    <w:rsid w:val="009B3902"/>
    <w:rsid w:val="009B3956"/>
    <w:rsid w:val="009B3968"/>
    <w:rsid w:val="009B3C85"/>
    <w:rsid w:val="009B3FFD"/>
    <w:rsid w:val="009B4016"/>
    <w:rsid w:val="009B4299"/>
    <w:rsid w:val="009B4393"/>
    <w:rsid w:val="009B4455"/>
    <w:rsid w:val="009B46C7"/>
    <w:rsid w:val="009B46DE"/>
    <w:rsid w:val="009B47B8"/>
    <w:rsid w:val="009B484C"/>
    <w:rsid w:val="009B4946"/>
    <w:rsid w:val="009B4A4A"/>
    <w:rsid w:val="009B4A9F"/>
    <w:rsid w:val="009B4B7A"/>
    <w:rsid w:val="009B4B89"/>
    <w:rsid w:val="009B4C6C"/>
    <w:rsid w:val="009B4E23"/>
    <w:rsid w:val="009B4E41"/>
    <w:rsid w:val="009B52BD"/>
    <w:rsid w:val="009B53BB"/>
    <w:rsid w:val="009B5944"/>
    <w:rsid w:val="009B59BF"/>
    <w:rsid w:val="009B5ACE"/>
    <w:rsid w:val="009B5B97"/>
    <w:rsid w:val="009B5B9E"/>
    <w:rsid w:val="009B5CD2"/>
    <w:rsid w:val="009B5DEC"/>
    <w:rsid w:val="009B5E40"/>
    <w:rsid w:val="009B5F4E"/>
    <w:rsid w:val="009B61D3"/>
    <w:rsid w:val="009B61E6"/>
    <w:rsid w:val="009B6263"/>
    <w:rsid w:val="009B6682"/>
    <w:rsid w:val="009B671F"/>
    <w:rsid w:val="009B67B6"/>
    <w:rsid w:val="009B693F"/>
    <w:rsid w:val="009B6B48"/>
    <w:rsid w:val="009B6B64"/>
    <w:rsid w:val="009B6BC8"/>
    <w:rsid w:val="009B6F46"/>
    <w:rsid w:val="009B7121"/>
    <w:rsid w:val="009B7185"/>
    <w:rsid w:val="009B7280"/>
    <w:rsid w:val="009B7558"/>
    <w:rsid w:val="009B75E4"/>
    <w:rsid w:val="009B784D"/>
    <w:rsid w:val="009B789D"/>
    <w:rsid w:val="009B7BC7"/>
    <w:rsid w:val="009B7BCA"/>
    <w:rsid w:val="009B7F12"/>
    <w:rsid w:val="009B7F5D"/>
    <w:rsid w:val="009C023B"/>
    <w:rsid w:val="009C0270"/>
    <w:rsid w:val="009C0284"/>
    <w:rsid w:val="009C0397"/>
    <w:rsid w:val="009C03C4"/>
    <w:rsid w:val="009C0428"/>
    <w:rsid w:val="009C0578"/>
    <w:rsid w:val="009C071D"/>
    <w:rsid w:val="009C0967"/>
    <w:rsid w:val="009C0A9E"/>
    <w:rsid w:val="009C0B7A"/>
    <w:rsid w:val="009C0FC9"/>
    <w:rsid w:val="009C11A9"/>
    <w:rsid w:val="009C1382"/>
    <w:rsid w:val="009C13AD"/>
    <w:rsid w:val="009C1400"/>
    <w:rsid w:val="009C14E1"/>
    <w:rsid w:val="009C18DB"/>
    <w:rsid w:val="009C1913"/>
    <w:rsid w:val="009C1A5E"/>
    <w:rsid w:val="009C1B7B"/>
    <w:rsid w:val="009C1BD3"/>
    <w:rsid w:val="009C1C29"/>
    <w:rsid w:val="009C2085"/>
    <w:rsid w:val="009C20C0"/>
    <w:rsid w:val="009C23C6"/>
    <w:rsid w:val="009C2511"/>
    <w:rsid w:val="009C27A9"/>
    <w:rsid w:val="009C2802"/>
    <w:rsid w:val="009C2A4C"/>
    <w:rsid w:val="009C2C2D"/>
    <w:rsid w:val="009C3152"/>
    <w:rsid w:val="009C319E"/>
    <w:rsid w:val="009C345D"/>
    <w:rsid w:val="009C346D"/>
    <w:rsid w:val="009C347D"/>
    <w:rsid w:val="009C34B9"/>
    <w:rsid w:val="009C37F0"/>
    <w:rsid w:val="009C3931"/>
    <w:rsid w:val="009C3A53"/>
    <w:rsid w:val="009C3B3C"/>
    <w:rsid w:val="009C40A6"/>
    <w:rsid w:val="009C42F1"/>
    <w:rsid w:val="009C42FD"/>
    <w:rsid w:val="009C465A"/>
    <w:rsid w:val="009C46C6"/>
    <w:rsid w:val="009C4A65"/>
    <w:rsid w:val="009C4D50"/>
    <w:rsid w:val="009C4D79"/>
    <w:rsid w:val="009C4FFB"/>
    <w:rsid w:val="009C5047"/>
    <w:rsid w:val="009C51B0"/>
    <w:rsid w:val="009C547D"/>
    <w:rsid w:val="009C5625"/>
    <w:rsid w:val="009C56DD"/>
    <w:rsid w:val="009C5EC6"/>
    <w:rsid w:val="009C6104"/>
    <w:rsid w:val="009C61D3"/>
    <w:rsid w:val="009C6309"/>
    <w:rsid w:val="009C6337"/>
    <w:rsid w:val="009C633D"/>
    <w:rsid w:val="009C63AB"/>
    <w:rsid w:val="009C64C7"/>
    <w:rsid w:val="009C678E"/>
    <w:rsid w:val="009C68D0"/>
    <w:rsid w:val="009C6A1D"/>
    <w:rsid w:val="009C6BF8"/>
    <w:rsid w:val="009C6C0A"/>
    <w:rsid w:val="009C6F61"/>
    <w:rsid w:val="009C6FF3"/>
    <w:rsid w:val="009C71BF"/>
    <w:rsid w:val="009C7235"/>
    <w:rsid w:val="009C729B"/>
    <w:rsid w:val="009C72DE"/>
    <w:rsid w:val="009C7817"/>
    <w:rsid w:val="009C7916"/>
    <w:rsid w:val="009C79E4"/>
    <w:rsid w:val="009C7A2E"/>
    <w:rsid w:val="009C7F77"/>
    <w:rsid w:val="009D0288"/>
    <w:rsid w:val="009D02C8"/>
    <w:rsid w:val="009D0400"/>
    <w:rsid w:val="009D04A1"/>
    <w:rsid w:val="009D04F6"/>
    <w:rsid w:val="009D0916"/>
    <w:rsid w:val="009D09CB"/>
    <w:rsid w:val="009D0F21"/>
    <w:rsid w:val="009D1024"/>
    <w:rsid w:val="009D1060"/>
    <w:rsid w:val="009D119C"/>
    <w:rsid w:val="009D149B"/>
    <w:rsid w:val="009D14E3"/>
    <w:rsid w:val="009D15B3"/>
    <w:rsid w:val="009D1630"/>
    <w:rsid w:val="009D171C"/>
    <w:rsid w:val="009D1728"/>
    <w:rsid w:val="009D191A"/>
    <w:rsid w:val="009D1ACF"/>
    <w:rsid w:val="009D1B36"/>
    <w:rsid w:val="009D1BB6"/>
    <w:rsid w:val="009D1BFC"/>
    <w:rsid w:val="009D1E00"/>
    <w:rsid w:val="009D1F6D"/>
    <w:rsid w:val="009D2046"/>
    <w:rsid w:val="009D208B"/>
    <w:rsid w:val="009D213C"/>
    <w:rsid w:val="009D21A7"/>
    <w:rsid w:val="009D238A"/>
    <w:rsid w:val="009D2451"/>
    <w:rsid w:val="009D2BA4"/>
    <w:rsid w:val="009D2FE2"/>
    <w:rsid w:val="009D31F2"/>
    <w:rsid w:val="009D35DB"/>
    <w:rsid w:val="009D3890"/>
    <w:rsid w:val="009D3BBF"/>
    <w:rsid w:val="009D3F4A"/>
    <w:rsid w:val="009D439E"/>
    <w:rsid w:val="009D45F6"/>
    <w:rsid w:val="009D479A"/>
    <w:rsid w:val="009D4829"/>
    <w:rsid w:val="009D4996"/>
    <w:rsid w:val="009D4E74"/>
    <w:rsid w:val="009D5026"/>
    <w:rsid w:val="009D5778"/>
    <w:rsid w:val="009D5A05"/>
    <w:rsid w:val="009D5A0F"/>
    <w:rsid w:val="009D5A80"/>
    <w:rsid w:val="009D5AE7"/>
    <w:rsid w:val="009D5C5A"/>
    <w:rsid w:val="009D67E0"/>
    <w:rsid w:val="009D6A8A"/>
    <w:rsid w:val="009D6E57"/>
    <w:rsid w:val="009D785C"/>
    <w:rsid w:val="009D7A8F"/>
    <w:rsid w:val="009D7C9D"/>
    <w:rsid w:val="009D7CD8"/>
    <w:rsid w:val="009D7D7C"/>
    <w:rsid w:val="009D7F55"/>
    <w:rsid w:val="009D7FF5"/>
    <w:rsid w:val="009D7FF9"/>
    <w:rsid w:val="009E0080"/>
    <w:rsid w:val="009E009D"/>
    <w:rsid w:val="009E055E"/>
    <w:rsid w:val="009E0582"/>
    <w:rsid w:val="009E0995"/>
    <w:rsid w:val="009E0A67"/>
    <w:rsid w:val="009E0B06"/>
    <w:rsid w:val="009E0C98"/>
    <w:rsid w:val="009E0EBD"/>
    <w:rsid w:val="009E109D"/>
    <w:rsid w:val="009E1335"/>
    <w:rsid w:val="009E139F"/>
    <w:rsid w:val="009E14D2"/>
    <w:rsid w:val="009E155E"/>
    <w:rsid w:val="009E17D6"/>
    <w:rsid w:val="009E185B"/>
    <w:rsid w:val="009E1887"/>
    <w:rsid w:val="009E1A07"/>
    <w:rsid w:val="009E1A5F"/>
    <w:rsid w:val="009E1A6C"/>
    <w:rsid w:val="009E1A72"/>
    <w:rsid w:val="009E1AA3"/>
    <w:rsid w:val="009E1AD5"/>
    <w:rsid w:val="009E1C3E"/>
    <w:rsid w:val="009E1D48"/>
    <w:rsid w:val="009E1DC8"/>
    <w:rsid w:val="009E2049"/>
    <w:rsid w:val="009E21D1"/>
    <w:rsid w:val="009E2270"/>
    <w:rsid w:val="009E239E"/>
    <w:rsid w:val="009E244B"/>
    <w:rsid w:val="009E254D"/>
    <w:rsid w:val="009E2B13"/>
    <w:rsid w:val="009E2DD5"/>
    <w:rsid w:val="009E2EAB"/>
    <w:rsid w:val="009E2ED7"/>
    <w:rsid w:val="009E2EF7"/>
    <w:rsid w:val="009E2F1F"/>
    <w:rsid w:val="009E2F91"/>
    <w:rsid w:val="009E3100"/>
    <w:rsid w:val="009E3130"/>
    <w:rsid w:val="009E31D5"/>
    <w:rsid w:val="009E31F0"/>
    <w:rsid w:val="009E3423"/>
    <w:rsid w:val="009E3597"/>
    <w:rsid w:val="009E3648"/>
    <w:rsid w:val="009E3855"/>
    <w:rsid w:val="009E38AE"/>
    <w:rsid w:val="009E3CD7"/>
    <w:rsid w:val="009E3D99"/>
    <w:rsid w:val="009E4085"/>
    <w:rsid w:val="009E417F"/>
    <w:rsid w:val="009E42D2"/>
    <w:rsid w:val="009E441C"/>
    <w:rsid w:val="009E4771"/>
    <w:rsid w:val="009E490E"/>
    <w:rsid w:val="009E4F90"/>
    <w:rsid w:val="009E5B9F"/>
    <w:rsid w:val="009E5BB0"/>
    <w:rsid w:val="009E5EC9"/>
    <w:rsid w:val="009E60D3"/>
    <w:rsid w:val="009E6315"/>
    <w:rsid w:val="009E6B4B"/>
    <w:rsid w:val="009E6BEB"/>
    <w:rsid w:val="009E6DEC"/>
    <w:rsid w:val="009E6E53"/>
    <w:rsid w:val="009E700A"/>
    <w:rsid w:val="009E7117"/>
    <w:rsid w:val="009E72B5"/>
    <w:rsid w:val="009E72D6"/>
    <w:rsid w:val="009E76FC"/>
    <w:rsid w:val="009E7799"/>
    <w:rsid w:val="009E7875"/>
    <w:rsid w:val="009E78C4"/>
    <w:rsid w:val="009E7B17"/>
    <w:rsid w:val="009E7E61"/>
    <w:rsid w:val="009E7E6D"/>
    <w:rsid w:val="009E7F7C"/>
    <w:rsid w:val="009F0177"/>
    <w:rsid w:val="009F0570"/>
    <w:rsid w:val="009F09DB"/>
    <w:rsid w:val="009F0BA7"/>
    <w:rsid w:val="009F0E06"/>
    <w:rsid w:val="009F0F1D"/>
    <w:rsid w:val="009F0F2F"/>
    <w:rsid w:val="009F10D6"/>
    <w:rsid w:val="009F1150"/>
    <w:rsid w:val="009F12A6"/>
    <w:rsid w:val="009F1388"/>
    <w:rsid w:val="009F13E9"/>
    <w:rsid w:val="009F1577"/>
    <w:rsid w:val="009F167B"/>
    <w:rsid w:val="009F16EB"/>
    <w:rsid w:val="009F1A19"/>
    <w:rsid w:val="009F1A63"/>
    <w:rsid w:val="009F1A6F"/>
    <w:rsid w:val="009F1C3A"/>
    <w:rsid w:val="009F1C8B"/>
    <w:rsid w:val="009F2145"/>
    <w:rsid w:val="009F21D7"/>
    <w:rsid w:val="009F2413"/>
    <w:rsid w:val="009F258A"/>
    <w:rsid w:val="009F2A28"/>
    <w:rsid w:val="009F2BC1"/>
    <w:rsid w:val="009F2D5D"/>
    <w:rsid w:val="009F2F00"/>
    <w:rsid w:val="009F316B"/>
    <w:rsid w:val="009F32A4"/>
    <w:rsid w:val="009F33FE"/>
    <w:rsid w:val="009F35CD"/>
    <w:rsid w:val="009F3CE6"/>
    <w:rsid w:val="009F3EFD"/>
    <w:rsid w:val="009F3F75"/>
    <w:rsid w:val="009F4016"/>
    <w:rsid w:val="009F4238"/>
    <w:rsid w:val="009F440B"/>
    <w:rsid w:val="009F4752"/>
    <w:rsid w:val="009F4767"/>
    <w:rsid w:val="009F48C7"/>
    <w:rsid w:val="009F4908"/>
    <w:rsid w:val="009F4953"/>
    <w:rsid w:val="009F49A8"/>
    <w:rsid w:val="009F4A24"/>
    <w:rsid w:val="009F4B2A"/>
    <w:rsid w:val="009F4BD3"/>
    <w:rsid w:val="009F4C2F"/>
    <w:rsid w:val="009F4C54"/>
    <w:rsid w:val="009F4DF7"/>
    <w:rsid w:val="009F4E11"/>
    <w:rsid w:val="009F5178"/>
    <w:rsid w:val="009F52D1"/>
    <w:rsid w:val="009F52D4"/>
    <w:rsid w:val="009F5451"/>
    <w:rsid w:val="009F56F5"/>
    <w:rsid w:val="009F5716"/>
    <w:rsid w:val="009F5731"/>
    <w:rsid w:val="009F5796"/>
    <w:rsid w:val="009F5806"/>
    <w:rsid w:val="009F5B2B"/>
    <w:rsid w:val="009F5C4D"/>
    <w:rsid w:val="009F5E80"/>
    <w:rsid w:val="009F5F45"/>
    <w:rsid w:val="009F5FB8"/>
    <w:rsid w:val="009F60BD"/>
    <w:rsid w:val="009F60E0"/>
    <w:rsid w:val="009F6437"/>
    <w:rsid w:val="009F644C"/>
    <w:rsid w:val="009F6462"/>
    <w:rsid w:val="009F687A"/>
    <w:rsid w:val="009F69C3"/>
    <w:rsid w:val="009F6A06"/>
    <w:rsid w:val="009F6A07"/>
    <w:rsid w:val="009F6B0B"/>
    <w:rsid w:val="009F6BD3"/>
    <w:rsid w:val="009F6DC0"/>
    <w:rsid w:val="009F6F36"/>
    <w:rsid w:val="009F71AC"/>
    <w:rsid w:val="009F7250"/>
    <w:rsid w:val="009F72F4"/>
    <w:rsid w:val="009F74A7"/>
    <w:rsid w:val="009F778A"/>
    <w:rsid w:val="009F7825"/>
    <w:rsid w:val="009F78B5"/>
    <w:rsid w:val="009F7BB3"/>
    <w:rsid w:val="009F7CE6"/>
    <w:rsid w:val="009F7D76"/>
    <w:rsid w:val="009F7FDD"/>
    <w:rsid w:val="00A000AC"/>
    <w:rsid w:val="00A002CB"/>
    <w:rsid w:val="00A00576"/>
    <w:rsid w:val="00A006DD"/>
    <w:rsid w:val="00A00821"/>
    <w:rsid w:val="00A00914"/>
    <w:rsid w:val="00A00C27"/>
    <w:rsid w:val="00A00DBA"/>
    <w:rsid w:val="00A00EBF"/>
    <w:rsid w:val="00A00EED"/>
    <w:rsid w:val="00A01308"/>
    <w:rsid w:val="00A01639"/>
    <w:rsid w:val="00A01838"/>
    <w:rsid w:val="00A018AE"/>
    <w:rsid w:val="00A01B82"/>
    <w:rsid w:val="00A01D5E"/>
    <w:rsid w:val="00A01EA5"/>
    <w:rsid w:val="00A01FD3"/>
    <w:rsid w:val="00A02484"/>
    <w:rsid w:val="00A0250F"/>
    <w:rsid w:val="00A025D1"/>
    <w:rsid w:val="00A0286F"/>
    <w:rsid w:val="00A028D5"/>
    <w:rsid w:val="00A029F6"/>
    <w:rsid w:val="00A02CC5"/>
    <w:rsid w:val="00A02CDB"/>
    <w:rsid w:val="00A02D88"/>
    <w:rsid w:val="00A02DBC"/>
    <w:rsid w:val="00A02E94"/>
    <w:rsid w:val="00A02F99"/>
    <w:rsid w:val="00A03299"/>
    <w:rsid w:val="00A03494"/>
    <w:rsid w:val="00A03644"/>
    <w:rsid w:val="00A0375E"/>
    <w:rsid w:val="00A03865"/>
    <w:rsid w:val="00A03912"/>
    <w:rsid w:val="00A039C4"/>
    <w:rsid w:val="00A03A02"/>
    <w:rsid w:val="00A03B34"/>
    <w:rsid w:val="00A03B9A"/>
    <w:rsid w:val="00A03D19"/>
    <w:rsid w:val="00A03D93"/>
    <w:rsid w:val="00A043DF"/>
    <w:rsid w:val="00A0446E"/>
    <w:rsid w:val="00A044A1"/>
    <w:rsid w:val="00A04939"/>
    <w:rsid w:val="00A04A2E"/>
    <w:rsid w:val="00A04C42"/>
    <w:rsid w:val="00A04C9E"/>
    <w:rsid w:val="00A04E60"/>
    <w:rsid w:val="00A04EA5"/>
    <w:rsid w:val="00A05104"/>
    <w:rsid w:val="00A05689"/>
    <w:rsid w:val="00A05872"/>
    <w:rsid w:val="00A05A96"/>
    <w:rsid w:val="00A05D39"/>
    <w:rsid w:val="00A05FBF"/>
    <w:rsid w:val="00A0630A"/>
    <w:rsid w:val="00A06659"/>
    <w:rsid w:val="00A068D0"/>
    <w:rsid w:val="00A06B20"/>
    <w:rsid w:val="00A06C97"/>
    <w:rsid w:val="00A06D30"/>
    <w:rsid w:val="00A07101"/>
    <w:rsid w:val="00A071BD"/>
    <w:rsid w:val="00A0726C"/>
    <w:rsid w:val="00A07373"/>
    <w:rsid w:val="00A074FA"/>
    <w:rsid w:val="00A07652"/>
    <w:rsid w:val="00A07770"/>
    <w:rsid w:val="00A079A8"/>
    <w:rsid w:val="00A07A3F"/>
    <w:rsid w:val="00A07BFB"/>
    <w:rsid w:val="00A07D3B"/>
    <w:rsid w:val="00A07D66"/>
    <w:rsid w:val="00A100B6"/>
    <w:rsid w:val="00A100BA"/>
    <w:rsid w:val="00A100D4"/>
    <w:rsid w:val="00A10374"/>
    <w:rsid w:val="00A10741"/>
    <w:rsid w:val="00A10800"/>
    <w:rsid w:val="00A10E6B"/>
    <w:rsid w:val="00A10EC0"/>
    <w:rsid w:val="00A10F83"/>
    <w:rsid w:val="00A110F5"/>
    <w:rsid w:val="00A1121F"/>
    <w:rsid w:val="00A1132A"/>
    <w:rsid w:val="00A1151D"/>
    <w:rsid w:val="00A117A6"/>
    <w:rsid w:val="00A118C7"/>
    <w:rsid w:val="00A1191A"/>
    <w:rsid w:val="00A11990"/>
    <w:rsid w:val="00A11ACF"/>
    <w:rsid w:val="00A11BF5"/>
    <w:rsid w:val="00A1216E"/>
    <w:rsid w:val="00A12233"/>
    <w:rsid w:val="00A1227C"/>
    <w:rsid w:val="00A123E2"/>
    <w:rsid w:val="00A124B0"/>
    <w:rsid w:val="00A125A5"/>
    <w:rsid w:val="00A1264C"/>
    <w:rsid w:val="00A1282E"/>
    <w:rsid w:val="00A12C87"/>
    <w:rsid w:val="00A12FAF"/>
    <w:rsid w:val="00A1315F"/>
    <w:rsid w:val="00A133A4"/>
    <w:rsid w:val="00A134BA"/>
    <w:rsid w:val="00A135A3"/>
    <w:rsid w:val="00A13B42"/>
    <w:rsid w:val="00A13B77"/>
    <w:rsid w:val="00A13CF2"/>
    <w:rsid w:val="00A13D5A"/>
    <w:rsid w:val="00A1406D"/>
    <w:rsid w:val="00A140A9"/>
    <w:rsid w:val="00A140D0"/>
    <w:rsid w:val="00A14155"/>
    <w:rsid w:val="00A14390"/>
    <w:rsid w:val="00A143EE"/>
    <w:rsid w:val="00A1440D"/>
    <w:rsid w:val="00A14A49"/>
    <w:rsid w:val="00A14A64"/>
    <w:rsid w:val="00A14C2B"/>
    <w:rsid w:val="00A14C90"/>
    <w:rsid w:val="00A14CB4"/>
    <w:rsid w:val="00A14D19"/>
    <w:rsid w:val="00A14ED7"/>
    <w:rsid w:val="00A150F8"/>
    <w:rsid w:val="00A15289"/>
    <w:rsid w:val="00A15432"/>
    <w:rsid w:val="00A15672"/>
    <w:rsid w:val="00A157FF"/>
    <w:rsid w:val="00A15FFB"/>
    <w:rsid w:val="00A16443"/>
    <w:rsid w:val="00A166A0"/>
    <w:rsid w:val="00A16747"/>
    <w:rsid w:val="00A1689F"/>
    <w:rsid w:val="00A1697A"/>
    <w:rsid w:val="00A169D7"/>
    <w:rsid w:val="00A16B06"/>
    <w:rsid w:val="00A16C8D"/>
    <w:rsid w:val="00A16CD0"/>
    <w:rsid w:val="00A16E8D"/>
    <w:rsid w:val="00A17821"/>
    <w:rsid w:val="00A1793F"/>
    <w:rsid w:val="00A17A15"/>
    <w:rsid w:val="00A17E1E"/>
    <w:rsid w:val="00A20063"/>
    <w:rsid w:val="00A205DB"/>
    <w:rsid w:val="00A20617"/>
    <w:rsid w:val="00A20636"/>
    <w:rsid w:val="00A2063D"/>
    <w:rsid w:val="00A20726"/>
    <w:rsid w:val="00A20EFE"/>
    <w:rsid w:val="00A21133"/>
    <w:rsid w:val="00A2139B"/>
    <w:rsid w:val="00A214FA"/>
    <w:rsid w:val="00A218E5"/>
    <w:rsid w:val="00A21989"/>
    <w:rsid w:val="00A21B97"/>
    <w:rsid w:val="00A21C1D"/>
    <w:rsid w:val="00A21D32"/>
    <w:rsid w:val="00A21D5F"/>
    <w:rsid w:val="00A21E90"/>
    <w:rsid w:val="00A21F31"/>
    <w:rsid w:val="00A2201E"/>
    <w:rsid w:val="00A220F5"/>
    <w:rsid w:val="00A2214F"/>
    <w:rsid w:val="00A22284"/>
    <w:rsid w:val="00A2242B"/>
    <w:rsid w:val="00A225D3"/>
    <w:rsid w:val="00A2263F"/>
    <w:rsid w:val="00A2265E"/>
    <w:rsid w:val="00A226BE"/>
    <w:rsid w:val="00A22B7E"/>
    <w:rsid w:val="00A22BE7"/>
    <w:rsid w:val="00A22C9A"/>
    <w:rsid w:val="00A23202"/>
    <w:rsid w:val="00A2377E"/>
    <w:rsid w:val="00A23A25"/>
    <w:rsid w:val="00A23AAD"/>
    <w:rsid w:val="00A23E5E"/>
    <w:rsid w:val="00A23E8B"/>
    <w:rsid w:val="00A23ECA"/>
    <w:rsid w:val="00A2423B"/>
    <w:rsid w:val="00A2443F"/>
    <w:rsid w:val="00A244E7"/>
    <w:rsid w:val="00A2466C"/>
    <w:rsid w:val="00A24823"/>
    <w:rsid w:val="00A248AF"/>
    <w:rsid w:val="00A249A1"/>
    <w:rsid w:val="00A249D4"/>
    <w:rsid w:val="00A24B2A"/>
    <w:rsid w:val="00A24D0D"/>
    <w:rsid w:val="00A25077"/>
    <w:rsid w:val="00A2511C"/>
    <w:rsid w:val="00A253B9"/>
    <w:rsid w:val="00A2545A"/>
    <w:rsid w:val="00A255EA"/>
    <w:rsid w:val="00A2562A"/>
    <w:rsid w:val="00A2568C"/>
    <w:rsid w:val="00A25725"/>
    <w:rsid w:val="00A25736"/>
    <w:rsid w:val="00A25AB1"/>
    <w:rsid w:val="00A25BF7"/>
    <w:rsid w:val="00A25D23"/>
    <w:rsid w:val="00A25FFF"/>
    <w:rsid w:val="00A26195"/>
    <w:rsid w:val="00A26363"/>
    <w:rsid w:val="00A26629"/>
    <w:rsid w:val="00A26663"/>
    <w:rsid w:val="00A26691"/>
    <w:rsid w:val="00A266A9"/>
    <w:rsid w:val="00A26752"/>
    <w:rsid w:val="00A268F6"/>
    <w:rsid w:val="00A2697F"/>
    <w:rsid w:val="00A26A2F"/>
    <w:rsid w:val="00A26DA8"/>
    <w:rsid w:val="00A26DE5"/>
    <w:rsid w:val="00A26FEA"/>
    <w:rsid w:val="00A270F8"/>
    <w:rsid w:val="00A2740B"/>
    <w:rsid w:val="00A275D0"/>
    <w:rsid w:val="00A275F8"/>
    <w:rsid w:val="00A2767D"/>
    <w:rsid w:val="00A27A9F"/>
    <w:rsid w:val="00A27B97"/>
    <w:rsid w:val="00A27C16"/>
    <w:rsid w:val="00A27C48"/>
    <w:rsid w:val="00A27C6A"/>
    <w:rsid w:val="00A27C82"/>
    <w:rsid w:val="00A27CF0"/>
    <w:rsid w:val="00A27E94"/>
    <w:rsid w:val="00A27EA8"/>
    <w:rsid w:val="00A27F65"/>
    <w:rsid w:val="00A27FA9"/>
    <w:rsid w:val="00A3043E"/>
    <w:rsid w:val="00A30486"/>
    <w:rsid w:val="00A304B6"/>
    <w:rsid w:val="00A304FF"/>
    <w:rsid w:val="00A305EE"/>
    <w:rsid w:val="00A3070E"/>
    <w:rsid w:val="00A30868"/>
    <w:rsid w:val="00A30F8E"/>
    <w:rsid w:val="00A30FB7"/>
    <w:rsid w:val="00A31011"/>
    <w:rsid w:val="00A31422"/>
    <w:rsid w:val="00A316F1"/>
    <w:rsid w:val="00A31734"/>
    <w:rsid w:val="00A3182C"/>
    <w:rsid w:val="00A31A65"/>
    <w:rsid w:val="00A31EA8"/>
    <w:rsid w:val="00A321DB"/>
    <w:rsid w:val="00A322A6"/>
    <w:rsid w:val="00A32362"/>
    <w:rsid w:val="00A325CB"/>
    <w:rsid w:val="00A325EF"/>
    <w:rsid w:val="00A32682"/>
    <w:rsid w:val="00A327DD"/>
    <w:rsid w:val="00A327FC"/>
    <w:rsid w:val="00A3283A"/>
    <w:rsid w:val="00A32964"/>
    <w:rsid w:val="00A32D2D"/>
    <w:rsid w:val="00A332B3"/>
    <w:rsid w:val="00A33467"/>
    <w:rsid w:val="00A33534"/>
    <w:rsid w:val="00A335DB"/>
    <w:rsid w:val="00A335DF"/>
    <w:rsid w:val="00A33735"/>
    <w:rsid w:val="00A338DD"/>
    <w:rsid w:val="00A33902"/>
    <w:rsid w:val="00A33AB4"/>
    <w:rsid w:val="00A33B15"/>
    <w:rsid w:val="00A33C25"/>
    <w:rsid w:val="00A33D4D"/>
    <w:rsid w:val="00A33DAA"/>
    <w:rsid w:val="00A34160"/>
    <w:rsid w:val="00A341FA"/>
    <w:rsid w:val="00A3425B"/>
    <w:rsid w:val="00A34485"/>
    <w:rsid w:val="00A3478F"/>
    <w:rsid w:val="00A349AD"/>
    <w:rsid w:val="00A349B9"/>
    <w:rsid w:val="00A34A09"/>
    <w:rsid w:val="00A34B83"/>
    <w:rsid w:val="00A3514A"/>
    <w:rsid w:val="00A35363"/>
    <w:rsid w:val="00A35484"/>
    <w:rsid w:val="00A3583A"/>
    <w:rsid w:val="00A35916"/>
    <w:rsid w:val="00A35926"/>
    <w:rsid w:val="00A35EA7"/>
    <w:rsid w:val="00A35ED8"/>
    <w:rsid w:val="00A35FBF"/>
    <w:rsid w:val="00A36189"/>
    <w:rsid w:val="00A36533"/>
    <w:rsid w:val="00A368D1"/>
    <w:rsid w:val="00A36A0D"/>
    <w:rsid w:val="00A36B0D"/>
    <w:rsid w:val="00A36B17"/>
    <w:rsid w:val="00A37061"/>
    <w:rsid w:val="00A3743A"/>
    <w:rsid w:val="00A37565"/>
    <w:rsid w:val="00A3762C"/>
    <w:rsid w:val="00A376FD"/>
    <w:rsid w:val="00A37850"/>
    <w:rsid w:val="00A378AA"/>
    <w:rsid w:val="00A3793E"/>
    <w:rsid w:val="00A37A20"/>
    <w:rsid w:val="00A37BD9"/>
    <w:rsid w:val="00A37BF1"/>
    <w:rsid w:val="00A37C2A"/>
    <w:rsid w:val="00A37C98"/>
    <w:rsid w:val="00A37EBF"/>
    <w:rsid w:val="00A37F18"/>
    <w:rsid w:val="00A40018"/>
    <w:rsid w:val="00A40573"/>
    <w:rsid w:val="00A40B0D"/>
    <w:rsid w:val="00A410B3"/>
    <w:rsid w:val="00A411BE"/>
    <w:rsid w:val="00A414BB"/>
    <w:rsid w:val="00A41787"/>
    <w:rsid w:val="00A41A97"/>
    <w:rsid w:val="00A41C00"/>
    <w:rsid w:val="00A41D14"/>
    <w:rsid w:val="00A41E58"/>
    <w:rsid w:val="00A42155"/>
    <w:rsid w:val="00A42404"/>
    <w:rsid w:val="00A4276C"/>
    <w:rsid w:val="00A427B1"/>
    <w:rsid w:val="00A4283E"/>
    <w:rsid w:val="00A42B15"/>
    <w:rsid w:val="00A42C81"/>
    <w:rsid w:val="00A42D34"/>
    <w:rsid w:val="00A42D98"/>
    <w:rsid w:val="00A42ED9"/>
    <w:rsid w:val="00A42EF2"/>
    <w:rsid w:val="00A43094"/>
    <w:rsid w:val="00A431D7"/>
    <w:rsid w:val="00A43A3A"/>
    <w:rsid w:val="00A43B7D"/>
    <w:rsid w:val="00A43C06"/>
    <w:rsid w:val="00A43C54"/>
    <w:rsid w:val="00A43CF9"/>
    <w:rsid w:val="00A43DB5"/>
    <w:rsid w:val="00A43FC0"/>
    <w:rsid w:val="00A43FFB"/>
    <w:rsid w:val="00A44060"/>
    <w:rsid w:val="00A44289"/>
    <w:rsid w:val="00A445FD"/>
    <w:rsid w:val="00A4478E"/>
    <w:rsid w:val="00A44859"/>
    <w:rsid w:val="00A448AD"/>
    <w:rsid w:val="00A44A7D"/>
    <w:rsid w:val="00A44EB5"/>
    <w:rsid w:val="00A450AC"/>
    <w:rsid w:val="00A4510D"/>
    <w:rsid w:val="00A452BA"/>
    <w:rsid w:val="00A453C2"/>
    <w:rsid w:val="00A45A1A"/>
    <w:rsid w:val="00A45A1B"/>
    <w:rsid w:val="00A45A98"/>
    <w:rsid w:val="00A45C46"/>
    <w:rsid w:val="00A45D84"/>
    <w:rsid w:val="00A45E81"/>
    <w:rsid w:val="00A45F60"/>
    <w:rsid w:val="00A4600C"/>
    <w:rsid w:val="00A46041"/>
    <w:rsid w:val="00A461AB"/>
    <w:rsid w:val="00A46467"/>
    <w:rsid w:val="00A46490"/>
    <w:rsid w:val="00A4655D"/>
    <w:rsid w:val="00A465AA"/>
    <w:rsid w:val="00A46738"/>
    <w:rsid w:val="00A4675E"/>
    <w:rsid w:val="00A467E3"/>
    <w:rsid w:val="00A4685F"/>
    <w:rsid w:val="00A4686C"/>
    <w:rsid w:val="00A46C2D"/>
    <w:rsid w:val="00A46CFA"/>
    <w:rsid w:val="00A46D14"/>
    <w:rsid w:val="00A46EB1"/>
    <w:rsid w:val="00A4721E"/>
    <w:rsid w:val="00A47246"/>
    <w:rsid w:val="00A47406"/>
    <w:rsid w:val="00A47498"/>
    <w:rsid w:val="00A474B2"/>
    <w:rsid w:val="00A4754C"/>
    <w:rsid w:val="00A4794A"/>
    <w:rsid w:val="00A47955"/>
    <w:rsid w:val="00A47FC2"/>
    <w:rsid w:val="00A50216"/>
    <w:rsid w:val="00A50470"/>
    <w:rsid w:val="00A50B8E"/>
    <w:rsid w:val="00A50BCC"/>
    <w:rsid w:val="00A51072"/>
    <w:rsid w:val="00A511DE"/>
    <w:rsid w:val="00A513E5"/>
    <w:rsid w:val="00A5145C"/>
    <w:rsid w:val="00A514B3"/>
    <w:rsid w:val="00A515FB"/>
    <w:rsid w:val="00A5167A"/>
    <w:rsid w:val="00A51877"/>
    <w:rsid w:val="00A51D0E"/>
    <w:rsid w:val="00A51F0D"/>
    <w:rsid w:val="00A521B8"/>
    <w:rsid w:val="00A5223E"/>
    <w:rsid w:val="00A5230E"/>
    <w:rsid w:val="00A523C3"/>
    <w:rsid w:val="00A52601"/>
    <w:rsid w:val="00A5286D"/>
    <w:rsid w:val="00A529A8"/>
    <w:rsid w:val="00A52BC7"/>
    <w:rsid w:val="00A52C0F"/>
    <w:rsid w:val="00A52EB0"/>
    <w:rsid w:val="00A530EA"/>
    <w:rsid w:val="00A53152"/>
    <w:rsid w:val="00A531B5"/>
    <w:rsid w:val="00A531B7"/>
    <w:rsid w:val="00A53508"/>
    <w:rsid w:val="00A536D2"/>
    <w:rsid w:val="00A537FB"/>
    <w:rsid w:val="00A53845"/>
    <w:rsid w:val="00A5393C"/>
    <w:rsid w:val="00A539B2"/>
    <w:rsid w:val="00A53D42"/>
    <w:rsid w:val="00A540EA"/>
    <w:rsid w:val="00A540FD"/>
    <w:rsid w:val="00A541AE"/>
    <w:rsid w:val="00A54366"/>
    <w:rsid w:val="00A543F9"/>
    <w:rsid w:val="00A54460"/>
    <w:rsid w:val="00A54757"/>
    <w:rsid w:val="00A54AB7"/>
    <w:rsid w:val="00A54B8F"/>
    <w:rsid w:val="00A54F51"/>
    <w:rsid w:val="00A54F8B"/>
    <w:rsid w:val="00A550A2"/>
    <w:rsid w:val="00A55198"/>
    <w:rsid w:val="00A5521E"/>
    <w:rsid w:val="00A55266"/>
    <w:rsid w:val="00A5526B"/>
    <w:rsid w:val="00A5531E"/>
    <w:rsid w:val="00A55766"/>
    <w:rsid w:val="00A55F76"/>
    <w:rsid w:val="00A56103"/>
    <w:rsid w:val="00A56198"/>
    <w:rsid w:val="00A5665F"/>
    <w:rsid w:val="00A56977"/>
    <w:rsid w:val="00A569B4"/>
    <w:rsid w:val="00A56DD4"/>
    <w:rsid w:val="00A56E0B"/>
    <w:rsid w:val="00A571BE"/>
    <w:rsid w:val="00A57232"/>
    <w:rsid w:val="00A57A26"/>
    <w:rsid w:val="00A57AEF"/>
    <w:rsid w:val="00A57DA7"/>
    <w:rsid w:val="00A57F83"/>
    <w:rsid w:val="00A60401"/>
    <w:rsid w:val="00A6049F"/>
    <w:rsid w:val="00A60584"/>
    <w:rsid w:val="00A60BFC"/>
    <w:rsid w:val="00A60FAE"/>
    <w:rsid w:val="00A613DD"/>
    <w:rsid w:val="00A615B4"/>
    <w:rsid w:val="00A618E3"/>
    <w:rsid w:val="00A61B1A"/>
    <w:rsid w:val="00A61D8B"/>
    <w:rsid w:val="00A61EE1"/>
    <w:rsid w:val="00A61FAE"/>
    <w:rsid w:val="00A620CD"/>
    <w:rsid w:val="00A6226D"/>
    <w:rsid w:val="00A62499"/>
    <w:rsid w:val="00A627FC"/>
    <w:rsid w:val="00A62B7D"/>
    <w:rsid w:val="00A62CEC"/>
    <w:rsid w:val="00A62D9B"/>
    <w:rsid w:val="00A62EDA"/>
    <w:rsid w:val="00A62F82"/>
    <w:rsid w:val="00A6316B"/>
    <w:rsid w:val="00A63178"/>
    <w:rsid w:val="00A631C4"/>
    <w:rsid w:val="00A6321D"/>
    <w:rsid w:val="00A632E5"/>
    <w:rsid w:val="00A634DC"/>
    <w:rsid w:val="00A63509"/>
    <w:rsid w:val="00A635E2"/>
    <w:rsid w:val="00A6371F"/>
    <w:rsid w:val="00A63878"/>
    <w:rsid w:val="00A6389A"/>
    <w:rsid w:val="00A63981"/>
    <w:rsid w:val="00A63B6F"/>
    <w:rsid w:val="00A63CA1"/>
    <w:rsid w:val="00A64005"/>
    <w:rsid w:val="00A640D5"/>
    <w:rsid w:val="00A64365"/>
    <w:rsid w:val="00A64658"/>
    <w:rsid w:val="00A646CF"/>
    <w:rsid w:val="00A64972"/>
    <w:rsid w:val="00A64C43"/>
    <w:rsid w:val="00A64CC0"/>
    <w:rsid w:val="00A64EF9"/>
    <w:rsid w:val="00A64FD9"/>
    <w:rsid w:val="00A65061"/>
    <w:rsid w:val="00A65435"/>
    <w:rsid w:val="00A657D5"/>
    <w:rsid w:val="00A658E7"/>
    <w:rsid w:val="00A65AFA"/>
    <w:rsid w:val="00A65BEA"/>
    <w:rsid w:val="00A65CF0"/>
    <w:rsid w:val="00A65DD9"/>
    <w:rsid w:val="00A65E24"/>
    <w:rsid w:val="00A65F0D"/>
    <w:rsid w:val="00A6622B"/>
    <w:rsid w:val="00A662B5"/>
    <w:rsid w:val="00A66594"/>
    <w:rsid w:val="00A66B9B"/>
    <w:rsid w:val="00A66C4E"/>
    <w:rsid w:val="00A66C82"/>
    <w:rsid w:val="00A66CF3"/>
    <w:rsid w:val="00A66D9E"/>
    <w:rsid w:val="00A66FC2"/>
    <w:rsid w:val="00A6746F"/>
    <w:rsid w:val="00A67471"/>
    <w:rsid w:val="00A67A78"/>
    <w:rsid w:val="00A67B49"/>
    <w:rsid w:val="00A67D74"/>
    <w:rsid w:val="00A67E84"/>
    <w:rsid w:val="00A70033"/>
    <w:rsid w:val="00A7010B"/>
    <w:rsid w:val="00A701E8"/>
    <w:rsid w:val="00A70703"/>
    <w:rsid w:val="00A70A3C"/>
    <w:rsid w:val="00A70A4F"/>
    <w:rsid w:val="00A70B4C"/>
    <w:rsid w:val="00A70C59"/>
    <w:rsid w:val="00A70CE3"/>
    <w:rsid w:val="00A70D76"/>
    <w:rsid w:val="00A70FDC"/>
    <w:rsid w:val="00A71120"/>
    <w:rsid w:val="00A714A8"/>
    <w:rsid w:val="00A714CB"/>
    <w:rsid w:val="00A716A6"/>
    <w:rsid w:val="00A71AD1"/>
    <w:rsid w:val="00A71D0D"/>
    <w:rsid w:val="00A71ED6"/>
    <w:rsid w:val="00A72308"/>
    <w:rsid w:val="00A72350"/>
    <w:rsid w:val="00A7235C"/>
    <w:rsid w:val="00A7236A"/>
    <w:rsid w:val="00A724F2"/>
    <w:rsid w:val="00A72525"/>
    <w:rsid w:val="00A72569"/>
    <w:rsid w:val="00A72923"/>
    <w:rsid w:val="00A732E8"/>
    <w:rsid w:val="00A7337F"/>
    <w:rsid w:val="00A73390"/>
    <w:rsid w:val="00A7344A"/>
    <w:rsid w:val="00A734AD"/>
    <w:rsid w:val="00A735AE"/>
    <w:rsid w:val="00A73804"/>
    <w:rsid w:val="00A7385C"/>
    <w:rsid w:val="00A739D2"/>
    <w:rsid w:val="00A73A91"/>
    <w:rsid w:val="00A73C63"/>
    <w:rsid w:val="00A73CF1"/>
    <w:rsid w:val="00A73E39"/>
    <w:rsid w:val="00A73F51"/>
    <w:rsid w:val="00A73FA3"/>
    <w:rsid w:val="00A740EB"/>
    <w:rsid w:val="00A7412E"/>
    <w:rsid w:val="00A742FE"/>
    <w:rsid w:val="00A74457"/>
    <w:rsid w:val="00A74532"/>
    <w:rsid w:val="00A746BA"/>
    <w:rsid w:val="00A74B97"/>
    <w:rsid w:val="00A74EDB"/>
    <w:rsid w:val="00A75158"/>
    <w:rsid w:val="00A755E8"/>
    <w:rsid w:val="00A758FF"/>
    <w:rsid w:val="00A75ADA"/>
    <w:rsid w:val="00A75BE8"/>
    <w:rsid w:val="00A75D21"/>
    <w:rsid w:val="00A7619E"/>
    <w:rsid w:val="00A761E4"/>
    <w:rsid w:val="00A762BD"/>
    <w:rsid w:val="00A76682"/>
    <w:rsid w:val="00A766FE"/>
    <w:rsid w:val="00A76706"/>
    <w:rsid w:val="00A76938"/>
    <w:rsid w:val="00A76CCD"/>
    <w:rsid w:val="00A76D15"/>
    <w:rsid w:val="00A76ECE"/>
    <w:rsid w:val="00A76EE1"/>
    <w:rsid w:val="00A7713E"/>
    <w:rsid w:val="00A77267"/>
    <w:rsid w:val="00A7732C"/>
    <w:rsid w:val="00A77678"/>
    <w:rsid w:val="00A7773B"/>
    <w:rsid w:val="00A77791"/>
    <w:rsid w:val="00A77BC8"/>
    <w:rsid w:val="00A77D75"/>
    <w:rsid w:val="00A77FE8"/>
    <w:rsid w:val="00A80013"/>
    <w:rsid w:val="00A8033D"/>
    <w:rsid w:val="00A80351"/>
    <w:rsid w:val="00A803AB"/>
    <w:rsid w:val="00A803F9"/>
    <w:rsid w:val="00A8050D"/>
    <w:rsid w:val="00A80578"/>
    <w:rsid w:val="00A805E0"/>
    <w:rsid w:val="00A8086F"/>
    <w:rsid w:val="00A809D9"/>
    <w:rsid w:val="00A80AC2"/>
    <w:rsid w:val="00A80D1A"/>
    <w:rsid w:val="00A80DB5"/>
    <w:rsid w:val="00A812E8"/>
    <w:rsid w:val="00A81310"/>
    <w:rsid w:val="00A814BC"/>
    <w:rsid w:val="00A8163A"/>
    <w:rsid w:val="00A818E0"/>
    <w:rsid w:val="00A81A1B"/>
    <w:rsid w:val="00A81BA4"/>
    <w:rsid w:val="00A81D42"/>
    <w:rsid w:val="00A81FBF"/>
    <w:rsid w:val="00A820AD"/>
    <w:rsid w:val="00A8212F"/>
    <w:rsid w:val="00A82190"/>
    <w:rsid w:val="00A82202"/>
    <w:rsid w:val="00A82263"/>
    <w:rsid w:val="00A823E8"/>
    <w:rsid w:val="00A82540"/>
    <w:rsid w:val="00A82587"/>
    <w:rsid w:val="00A826C0"/>
    <w:rsid w:val="00A8271B"/>
    <w:rsid w:val="00A828DC"/>
    <w:rsid w:val="00A82BC9"/>
    <w:rsid w:val="00A82BEE"/>
    <w:rsid w:val="00A82E1E"/>
    <w:rsid w:val="00A83062"/>
    <w:rsid w:val="00A831AB"/>
    <w:rsid w:val="00A832B7"/>
    <w:rsid w:val="00A8362E"/>
    <w:rsid w:val="00A8366F"/>
    <w:rsid w:val="00A836FE"/>
    <w:rsid w:val="00A8393E"/>
    <w:rsid w:val="00A83BD6"/>
    <w:rsid w:val="00A83BE5"/>
    <w:rsid w:val="00A83C9D"/>
    <w:rsid w:val="00A83E8B"/>
    <w:rsid w:val="00A83F2B"/>
    <w:rsid w:val="00A84383"/>
    <w:rsid w:val="00A8449C"/>
    <w:rsid w:val="00A84586"/>
    <w:rsid w:val="00A846E8"/>
    <w:rsid w:val="00A84835"/>
    <w:rsid w:val="00A848FA"/>
    <w:rsid w:val="00A84916"/>
    <w:rsid w:val="00A84934"/>
    <w:rsid w:val="00A849F7"/>
    <w:rsid w:val="00A84A2C"/>
    <w:rsid w:val="00A84ADF"/>
    <w:rsid w:val="00A84B21"/>
    <w:rsid w:val="00A84CC4"/>
    <w:rsid w:val="00A84CC8"/>
    <w:rsid w:val="00A84DC0"/>
    <w:rsid w:val="00A84E15"/>
    <w:rsid w:val="00A85071"/>
    <w:rsid w:val="00A8569B"/>
    <w:rsid w:val="00A856BB"/>
    <w:rsid w:val="00A85722"/>
    <w:rsid w:val="00A85D2A"/>
    <w:rsid w:val="00A85DAE"/>
    <w:rsid w:val="00A85DC9"/>
    <w:rsid w:val="00A860D6"/>
    <w:rsid w:val="00A8630A"/>
    <w:rsid w:val="00A8631C"/>
    <w:rsid w:val="00A8648D"/>
    <w:rsid w:val="00A864D2"/>
    <w:rsid w:val="00A864F5"/>
    <w:rsid w:val="00A86588"/>
    <w:rsid w:val="00A86687"/>
    <w:rsid w:val="00A866B2"/>
    <w:rsid w:val="00A868DA"/>
    <w:rsid w:val="00A86A0A"/>
    <w:rsid w:val="00A86FDD"/>
    <w:rsid w:val="00A871EF"/>
    <w:rsid w:val="00A877A9"/>
    <w:rsid w:val="00A8781A"/>
    <w:rsid w:val="00A878C1"/>
    <w:rsid w:val="00A87B08"/>
    <w:rsid w:val="00A87DE1"/>
    <w:rsid w:val="00A87DE3"/>
    <w:rsid w:val="00A90426"/>
    <w:rsid w:val="00A9061D"/>
    <w:rsid w:val="00A90627"/>
    <w:rsid w:val="00A90654"/>
    <w:rsid w:val="00A906A6"/>
    <w:rsid w:val="00A908B0"/>
    <w:rsid w:val="00A90BA9"/>
    <w:rsid w:val="00A90CC9"/>
    <w:rsid w:val="00A90E73"/>
    <w:rsid w:val="00A9115C"/>
    <w:rsid w:val="00A913D3"/>
    <w:rsid w:val="00A91615"/>
    <w:rsid w:val="00A916D0"/>
    <w:rsid w:val="00A917EA"/>
    <w:rsid w:val="00A91C79"/>
    <w:rsid w:val="00A91D31"/>
    <w:rsid w:val="00A923F9"/>
    <w:rsid w:val="00A92649"/>
    <w:rsid w:val="00A92900"/>
    <w:rsid w:val="00A92BE3"/>
    <w:rsid w:val="00A92DCF"/>
    <w:rsid w:val="00A92EA9"/>
    <w:rsid w:val="00A92EC2"/>
    <w:rsid w:val="00A93002"/>
    <w:rsid w:val="00A9314B"/>
    <w:rsid w:val="00A935E6"/>
    <w:rsid w:val="00A936C6"/>
    <w:rsid w:val="00A93890"/>
    <w:rsid w:val="00A93987"/>
    <w:rsid w:val="00A93CB4"/>
    <w:rsid w:val="00A93DC6"/>
    <w:rsid w:val="00A940C4"/>
    <w:rsid w:val="00A941B5"/>
    <w:rsid w:val="00A94209"/>
    <w:rsid w:val="00A942DC"/>
    <w:rsid w:val="00A94301"/>
    <w:rsid w:val="00A94576"/>
    <w:rsid w:val="00A94857"/>
    <w:rsid w:val="00A9485E"/>
    <w:rsid w:val="00A94A89"/>
    <w:rsid w:val="00A94CA7"/>
    <w:rsid w:val="00A94D72"/>
    <w:rsid w:val="00A94D7D"/>
    <w:rsid w:val="00A9507F"/>
    <w:rsid w:val="00A950AF"/>
    <w:rsid w:val="00A95497"/>
    <w:rsid w:val="00A95ED7"/>
    <w:rsid w:val="00A960DB"/>
    <w:rsid w:val="00A96180"/>
    <w:rsid w:val="00A96252"/>
    <w:rsid w:val="00A963E3"/>
    <w:rsid w:val="00A963F0"/>
    <w:rsid w:val="00A96704"/>
    <w:rsid w:val="00A96B8A"/>
    <w:rsid w:val="00A96BD2"/>
    <w:rsid w:val="00A96D39"/>
    <w:rsid w:val="00A96D46"/>
    <w:rsid w:val="00A96FAF"/>
    <w:rsid w:val="00A96FD9"/>
    <w:rsid w:val="00A971E4"/>
    <w:rsid w:val="00A972EC"/>
    <w:rsid w:val="00A97489"/>
    <w:rsid w:val="00A975E8"/>
    <w:rsid w:val="00A979E9"/>
    <w:rsid w:val="00A97A44"/>
    <w:rsid w:val="00A97B69"/>
    <w:rsid w:val="00A97D55"/>
    <w:rsid w:val="00A97F89"/>
    <w:rsid w:val="00AA036D"/>
    <w:rsid w:val="00AA0639"/>
    <w:rsid w:val="00AA063B"/>
    <w:rsid w:val="00AA098B"/>
    <w:rsid w:val="00AA09C9"/>
    <w:rsid w:val="00AA0A95"/>
    <w:rsid w:val="00AA0BF4"/>
    <w:rsid w:val="00AA0D43"/>
    <w:rsid w:val="00AA0DD6"/>
    <w:rsid w:val="00AA0DE1"/>
    <w:rsid w:val="00AA11FD"/>
    <w:rsid w:val="00AA129C"/>
    <w:rsid w:val="00AA130E"/>
    <w:rsid w:val="00AA144D"/>
    <w:rsid w:val="00AA14AF"/>
    <w:rsid w:val="00AA1597"/>
    <w:rsid w:val="00AA15CF"/>
    <w:rsid w:val="00AA1755"/>
    <w:rsid w:val="00AA17E2"/>
    <w:rsid w:val="00AA196B"/>
    <w:rsid w:val="00AA1A07"/>
    <w:rsid w:val="00AA1B03"/>
    <w:rsid w:val="00AA1BD0"/>
    <w:rsid w:val="00AA1F72"/>
    <w:rsid w:val="00AA207C"/>
    <w:rsid w:val="00AA211C"/>
    <w:rsid w:val="00AA213D"/>
    <w:rsid w:val="00AA230F"/>
    <w:rsid w:val="00AA25BF"/>
    <w:rsid w:val="00AA26BE"/>
    <w:rsid w:val="00AA28D0"/>
    <w:rsid w:val="00AA2906"/>
    <w:rsid w:val="00AA292D"/>
    <w:rsid w:val="00AA2933"/>
    <w:rsid w:val="00AA2CB4"/>
    <w:rsid w:val="00AA2CCD"/>
    <w:rsid w:val="00AA2D47"/>
    <w:rsid w:val="00AA2DCF"/>
    <w:rsid w:val="00AA2EB7"/>
    <w:rsid w:val="00AA301A"/>
    <w:rsid w:val="00AA3095"/>
    <w:rsid w:val="00AA35CC"/>
    <w:rsid w:val="00AA3AA9"/>
    <w:rsid w:val="00AA4166"/>
    <w:rsid w:val="00AA4783"/>
    <w:rsid w:val="00AA4CC1"/>
    <w:rsid w:val="00AA50E6"/>
    <w:rsid w:val="00AA5112"/>
    <w:rsid w:val="00AA5304"/>
    <w:rsid w:val="00AA5333"/>
    <w:rsid w:val="00AA55BC"/>
    <w:rsid w:val="00AA561D"/>
    <w:rsid w:val="00AA56E3"/>
    <w:rsid w:val="00AA5A14"/>
    <w:rsid w:val="00AA5A1A"/>
    <w:rsid w:val="00AA5A8E"/>
    <w:rsid w:val="00AA5B79"/>
    <w:rsid w:val="00AA5C8D"/>
    <w:rsid w:val="00AA5CD0"/>
    <w:rsid w:val="00AA5FB1"/>
    <w:rsid w:val="00AA606D"/>
    <w:rsid w:val="00AA67B8"/>
    <w:rsid w:val="00AA695A"/>
    <w:rsid w:val="00AA6D85"/>
    <w:rsid w:val="00AA6F21"/>
    <w:rsid w:val="00AA6F3C"/>
    <w:rsid w:val="00AA6FD1"/>
    <w:rsid w:val="00AA70D6"/>
    <w:rsid w:val="00AA711F"/>
    <w:rsid w:val="00AA7149"/>
    <w:rsid w:val="00AA7553"/>
    <w:rsid w:val="00AA7597"/>
    <w:rsid w:val="00AA76C6"/>
    <w:rsid w:val="00AA7914"/>
    <w:rsid w:val="00AA7A7E"/>
    <w:rsid w:val="00AA7B71"/>
    <w:rsid w:val="00AA7E12"/>
    <w:rsid w:val="00AA7F2C"/>
    <w:rsid w:val="00AB0113"/>
    <w:rsid w:val="00AB0189"/>
    <w:rsid w:val="00AB01AB"/>
    <w:rsid w:val="00AB01C6"/>
    <w:rsid w:val="00AB0362"/>
    <w:rsid w:val="00AB0579"/>
    <w:rsid w:val="00AB0644"/>
    <w:rsid w:val="00AB0753"/>
    <w:rsid w:val="00AB0944"/>
    <w:rsid w:val="00AB0A87"/>
    <w:rsid w:val="00AB0ABE"/>
    <w:rsid w:val="00AB0C84"/>
    <w:rsid w:val="00AB0FA9"/>
    <w:rsid w:val="00AB108B"/>
    <w:rsid w:val="00AB1256"/>
    <w:rsid w:val="00AB1495"/>
    <w:rsid w:val="00AB15BB"/>
    <w:rsid w:val="00AB165C"/>
    <w:rsid w:val="00AB17E9"/>
    <w:rsid w:val="00AB18C0"/>
    <w:rsid w:val="00AB1A31"/>
    <w:rsid w:val="00AB1E4E"/>
    <w:rsid w:val="00AB1F76"/>
    <w:rsid w:val="00AB1FBC"/>
    <w:rsid w:val="00AB1FE0"/>
    <w:rsid w:val="00AB2066"/>
    <w:rsid w:val="00AB221F"/>
    <w:rsid w:val="00AB25E9"/>
    <w:rsid w:val="00AB2DDF"/>
    <w:rsid w:val="00AB2DF0"/>
    <w:rsid w:val="00AB2E09"/>
    <w:rsid w:val="00AB2F93"/>
    <w:rsid w:val="00AB2FF0"/>
    <w:rsid w:val="00AB31BD"/>
    <w:rsid w:val="00AB3628"/>
    <w:rsid w:val="00AB3761"/>
    <w:rsid w:val="00AB4173"/>
    <w:rsid w:val="00AB41E1"/>
    <w:rsid w:val="00AB42D0"/>
    <w:rsid w:val="00AB43A4"/>
    <w:rsid w:val="00AB4476"/>
    <w:rsid w:val="00AB455B"/>
    <w:rsid w:val="00AB4579"/>
    <w:rsid w:val="00AB4676"/>
    <w:rsid w:val="00AB46A7"/>
    <w:rsid w:val="00AB4717"/>
    <w:rsid w:val="00AB47C7"/>
    <w:rsid w:val="00AB4878"/>
    <w:rsid w:val="00AB490D"/>
    <w:rsid w:val="00AB4A02"/>
    <w:rsid w:val="00AB4A1B"/>
    <w:rsid w:val="00AB4A5B"/>
    <w:rsid w:val="00AB4BE3"/>
    <w:rsid w:val="00AB4D46"/>
    <w:rsid w:val="00AB4F5E"/>
    <w:rsid w:val="00AB50F0"/>
    <w:rsid w:val="00AB5121"/>
    <w:rsid w:val="00AB51A8"/>
    <w:rsid w:val="00AB5202"/>
    <w:rsid w:val="00AB588A"/>
    <w:rsid w:val="00AB59FF"/>
    <w:rsid w:val="00AB5A7E"/>
    <w:rsid w:val="00AB5A8D"/>
    <w:rsid w:val="00AB5CEB"/>
    <w:rsid w:val="00AB5E48"/>
    <w:rsid w:val="00AB5F0E"/>
    <w:rsid w:val="00AB624E"/>
    <w:rsid w:val="00AB6252"/>
    <w:rsid w:val="00AB6713"/>
    <w:rsid w:val="00AB67F7"/>
    <w:rsid w:val="00AB6A87"/>
    <w:rsid w:val="00AB6D49"/>
    <w:rsid w:val="00AB6E31"/>
    <w:rsid w:val="00AB6F40"/>
    <w:rsid w:val="00AB6F8C"/>
    <w:rsid w:val="00AB6FFB"/>
    <w:rsid w:val="00AB706E"/>
    <w:rsid w:val="00AB70BE"/>
    <w:rsid w:val="00AB7167"/>
    <w:rsid w:val="00AB71C7"/>
    <w:rsid w:val="00AB7268"/>
    <w:rsid w:val="00AB72C3"/>
    <w:rsid w:val="00AB7671"/>
    <w:rsid w:val="00AB7725"/>
    <w:rsid w:val="00AB775E"/>
    <w:rsid w:val="00AB7AA0"/>
    <w:rsid w:val="00AB7AB5"/>
    <w:rsid w:val="00AB7B6F"/>
    <w:rsid w:val="00AB7FB9"/>
    <w:rsid w:val="00AC0011"/>
    <w:rsid w:val="00AC01E6"/>
    <w:rsid w:val="00AC0323"/>
    <w:rsid w:val="00AC06F7"/>
    <w:rsid w:val="00AC0AAF"/>
    <w:rsid w:val="00AC0B29"/>
    <w:rsid w:val="00AC0D6F"/>
    <w:rsid w:val="00AC0DAA"/>
    <w:rsid w:val="00AC0EA8"/>
    <w:rsid w:val="00AC12AF"/>
    <w:rsid w:val="00AC1432"/>
    <w:rsid w:val="00AC1468"/>
    <w:rsid w:val="00AC152F"/>
    <w:rsid w:val="00AC159F"/>
    <w:rsid w:val="00AC16DF"/>
    <w:rsid w:val="00AC183D"/>
    <w:rsid w:val="00AC1A35"/>
    <w:rsid w:val="00AC1A9F"/>
    <w:rsid w:val="00AC1CE5"/>
    <w:rsid w:val="00AC1D9D"/>
    <w:rsid w:val="00AC1DD4"/>
    <w:rsid w:val="00AC1E0A"/>
    <w:rsid w:val="00AC1ECF"/>
    <w:rsid w:val="00AC1FD7"/>
    <w:rsid w:val="00AC24C4"/>
    <w:rsid w:val="00AC2578"/>
    <w:rsid w:val="00AC2843"/>
    <w:rsid w:val="00AC285F"/>
    <w:rsid w:val="00AC2A7C"/>
    <w:rsid w:val="00AC2AE1"/>
    <w:rsid w:val="00AC2C24"/>
    <w:rsid w:val="00AC2C4F"/>
    <w:rsid w:val="00AC2D0B"/>
    <w:rsid w:val="00AC3046"/>
    <w:rsid w:val="00AC30D3"/>
    <w:rsid w:val="00AC30F6"/>
    <w:rsid w:val="00AC362A"/>
    <w:rsid w:val="00AC363A"/>
    <w:rsid w:val="00AC3742"/>
    <w:rsid w:val="00AC386A"/>
    <w:rsid w:val="00AC3AEE"/>
    <w:rsid w:val="00AC3B02"/>
    <w:rsid w:val="00AC3B41"/>
    <w:rsid w:val="00AC3E90"/>
    <w:rsid w:val="00AC4372"/>
    <w:rsid w:val="00AC438B"/>
    <w:rsid w:val="00AC49A2"/>
    <w:rsid w:val="00AC4B94"/>
    <w:rsid w:val="00AC4DB0"/>
    <w:rsid w:val="00AC4DB8"/>
    <w:rsid w:val="00AC4F40"/>
    <w:rsid w:val="00AC5137"/>
    <w:rsid w:val="00AC5162"/>
    <w:rsid w:val="00AC517B"/>
    <w:rsid w:val="00AC53D2"/>
    <w:rsid w:val="00AC5538"/>
    <w:rsid w:val="00AC56FF"/>
    <w:rsid w:val="00AC57DD"/>
    <w:rsid w:val="00AC58B9"/>
    <w:rsid w:val="00AC5925"/>
    <w:rsid w:val="00AC5ABC"/>
    <w:rsid w:val="00AC5BA2"/>
    <w:rsid w:val="00AC5C42"/>
    <w:rsid w:val="00AC6076"/>
    <w:rsid w:val="00AC63D0"/>
    <w:rsid w:val="00AC63DF"/>
    <w:rsid w:val="00AC64DE"/>
    <w:rsid w:val="00AC656A"/>
    <w:rsid w:val="00AC67A1"/>
    <w:rsid w:val="00AC6840"/>
    <w:rsid w:val="00AC6BAF"/>
    <w:rsid w:val="00AC7053"/>
    <w:rsid w:val="00AC7087"/>
    <w:rsid w:val="00AC7146"/>
    <w:rsid w:val="00AC71E8"/>
    <w:rsid w:val="00AC7238"/>
    <w:rsid w:val="00AC7292"/>
    <w:rsid w:val="00AC729E"/>
    <w:rsid w:val="00AC73F3"/>
    <w:rsid w:val="00AC7802"/>
    <w:rsid w:val="00AC7967"/>
    <w:rsid w:val="00AC7A8B"/>
    <w:rsid w:val="00AC7B8B"/>
    <w:rsid w:val="00AC7BCB"/>
    <w:rsid w:val="00AC7D72"/>
    <w:rsid w:val="00AC7ECF"/>
    <w:rsid w:val="00AC7EE5"/>
    <w:rsid w:val="00AC7F1B"/>
    <w:rsid w:val="00AC7FBF"/>
    <w:rsid w:val="00AD05C2"/>
    <w:rsid w:val="00AD066A"/>
    <w:rsid w:val="00AD069A"/>
    <w:rsid w:val="00AD06FE"/>
    <w:rsid w:val="00AD0810"/>
    <w:rsid w:val="00AD0982"/>
    <w:rsid w:val="00AD0C90"/>
    <w:rsid w:val="00AD0DB1"/>
    <w:rsid w:val="00AD0DB4"/>
    <w:rsid w:val="00AD0F19"/>
    <w:rsid w:val="00AD1059"/>
    <w:rsid w:val="00AD129D"/>
    <w:rsid w:val="00AD13F3"/>
    <w:rsid w:val="00AD1BAE"/>
    <w:rsid w:val="00AD1CAC"/>
    <w:rsid w:val="00AD1CB7"/>
    <w:rsid w:val="00AD1D64"/>
    <w:rsid w:val="00AD22C3"/>
    <w:rsid w:val="00AD2359"/>
    <w:rsid w:val="00AD25EF"/>
    <w:rsid w:val="00AD2761"/>
    <w:rsid w:val="00AD27EF"/>
    <w:rsid w:val="00AD286C"/>
    <w:rsid w:val="00AD287B"/>
    <w:rsid w:val="00AD28DF"/>
    <w:rsid w:val="00AD2D19"/>
    <w:rsid w:val="00AD2E66"/>
    <w:rsid w:val="00AD2FF6"/>
    <w:rsid w:val="00AD2FF7"/>
    <w:rsid w:val="00AD3417"/>
    <w:rsid w:val="00AD3955"/>
    <w:rsid w:val="00AD3A1C"/>
    <w:rsid w:val="00AD3D02"/>
    <w:rsid w:val="00AD3D97"/>
    <w:rsid w:val="00AD3E06"/>
    <w:rsid w:val="00AD3E54"/>
    <w:rsid w:val="00AD3EB4"/>
    <w:rsid w:val="00AD4251"/>
    <w:rsid w:val="00AD434A"/>
    <w:rsid w:val="00AD441C"/>
    <w:rsid w:val="00AD45BB"/>
    <w:rsid w:val="00AD46F9"/>
    <w:rsid w:val="00AD479D"/>
    <w:rsid w:val="00AD47D8"/>
    <w:rsid w:val="00AD48F4"/>
    <w:rsid w:val="00AD49E7"/>
    <w:rsid w:val="00AD4A96"/>
    <w:rsid w:val="00AD4B33"/>
    <w:rsid w:val="00AD4C9E"/>
    <w:rsid w:val="00AD4CAC"/>
    <w:rsid w:val="00AD4DE0"/>
    <w:rsid w:val="00AD4E3A"/>
    <w:rsid w:val="00AD4F8C"/>
    <w:rsid w:val="00AD500F"/>
    <w:rsid w:val="00AD51C1"/>
    <w:rsid w:val="00AD5212"/>
    <w:rsid w:val="00AD541D"/>
    <w:rsid w:val="00AD5497"/>
    <w:rsid w:val="00AD5526"/>
    <w:rsid w:val="00AD578C"/>
    <w:rsid w:val="00AD57C9"/>
    <w:rsid w:val="00AD5A02"/>
    <w:rsid w:val="00AD5E04"/>
    <w:rsid w:val="00AD5F41"/>
    <w:rsid w:val="00AD626D"/>
    <w:rsid w:val="00AD6290"/>
    <w:rsid w:val="00AD6508"/>
    <w:rsid w:val="00AD65AA"/>
    <w:rsid w:val="00AD69D9"/>
    <w:rsid w:val="00AD69F2"/>
    <w:rsid w:val="00AD6C6C"/>
    <w:rsid w:val="00AD6F12"/>
    <w:rsid w:val="00AD6F31"/>
    <w:rsid w:val="00AD6F53"/>
    <w:rsid w:val="00AD6FC3"/>
    <w:rsid w:val="00AD70F5"/>
    <w:rsid w:val="00AD74E2"/>
    <w:rsid w:val="00AD7558"/>
    <w:rsid w:val="00AD75D0"/>
    <w:rsid w:val="00AD76CF"/>
    <w:rsid w:val="00AD7730"/>
    <w:rsid w:val="00AD7935"/>
    <w:rsid w:val="00AD7CE0"/>
    <w:rsid w:val="00AD7CEC"/>
    <w:rsid w:val="00AE00D9"/>
    <w:rsid w:val="00AE01D8"/>
    <w:rsid w:val="00AE054D"/>
    <w:rsid w:val="00AE06AC"/>
    <w:rsid w:val="00AE0758"/>
    <w:rsid w:val="00AE0FD5"/>
    <w:rsid w:val="00AE11A3"/>
    <w:rsid w:val="00AE1377"/>
    <w:rsid w:val="00AE14C1"/>
    <w:rsid w:val="00AE16C5"/>
    <w:rsid w:val="00AE18EF"/>
    <w:rsid w:val="00AE18FD"/>
    <w:rsid w:val="00AE1974"/>
    <w:rsid w:val="00AE1A02"/>
    <w:rsid w:val="00AE1A03"/>
    <w:rsid w:val="00AE1A1D"/>
    <w:rsid w:val="00AE1ADE"/>
    <w:rsid w:val="00AE1B92"/>
    <w:rsid w:val="00AE1B9C"/>
    <w:rsid w:val="00AE1D8D"/>
    <w:rsid w:val="00AE1F86"/>
    <w:rsid w:val="00AE240E"/>
    <w:rsid w:val="00AE273A"/>
    <w:rsid w:val="00AE297A"/>
    <w:rsid w:val="00AE298D"/>
    <w:rsid w:val="00AE29AA"/>
    <w:rsid w:val="00AE3260"/>
    <w:rsid w:val="00AE335F"/>
    <w:rsid w:val="00AE3413"/>
    <w:rsid w:val="00AE3443"/>
    <w:rsid w:val="00AE346A"/>
    <w:rsid w:val="00AE351C"/>
    <w:rsid w:val="00AE364D"/>
    <w:rsid w:val="00AE3C72"/>
    <w:rsid w:val="00AE3CEE"/>
    <w:rsid w:val="00AE400D"/>
    <w:rsid w:val="00AE4034"/>
    <w:rsid w:val="00AE40A4"/>
    <w:rsid w:val="00AE422E"/>
    <w:rsid w:val="00AE4380"/>
    <w:rsid w:val="00AE43CE"/>
    <w:rsid w:val="00AE4941"/>
    <w:rsid w:val="00AE4AF0"/>
    <w:rsid w:val="00AE4CFC"/>
    <w:rsid w:val="00AE5025"/>
    <w:rsid w:val="00AE506A"/>
    <w:rsid w:val="00AE56CF"/>
    <w:rsid w:val="00AE58A5"/>
    <w:rsid w:val="00AE5BFE"/>
    <w:rsid w:val="00AE5E97"/>
    <w:rsid w:val="00AE63C2"/>
    <w:rsid w:val="00AE6611"/>
    <w:rsid w:val="00AE68BC"/>
    <w:rsid w:val="00AE6943"/>
    <w:rsid w:val="00AE6971"/>
    <w:rsid w:val="00AE6A6A"/>
    <w:rsid w:val="00AE6D6C"/>
    <w:rsid w:val="00AE701C"/>
    <w:rsid w:val="00AE7644"/>
    <w:rsid w:val="00AE7AC2"/>
    <w:rsid w:val="00AE7BB8"/>
    <w:rsid w:val="00AE7DA7"/>
    <w:rsid w:val="00AE7ED3"/>
    <w:rsid w:val="00AE7F42"/>
    <w:rsid w:val="00AF01FE"/>
    <w:rsid w:val="00AF027B"/>
    <w:rsid w:val="00AF0391"/>
    <w:rsid w:val="00AF0580"/>
    <w:rsid w:val="00AF0922"/>
    <w:rsid w:val="00AF09B5"/>
    <w:rsid w:val="00AF0B2C"/>
    <w:rsid w:val="00AF10B2"/>
    <w:rsid w:val="00AF1279"/>
    <w:rsid w:val="00AF1961"/>
    <w:rsid w:val="00AF1AF8"/>
    <w:rsid w:val="00AF1B01"/>
    <w:rsid w:val="00AF1B9B"/>
    <w:rsid w:val="00AF2001"/>
    <w:rsid w:val="00AF232F"/>
    <w:rsid w:val="00AF2569"/>
    <w:rsid w:val="00AF2597"/>
    <w:rsid w:val="00AF25F4"/>
    <w:rsid w:val="00AF280A"/>
    <w:rsid w:val="00AF2B4B"/>
    <w:rsid w:val="00AF2B99"/>
    <w:rsid w:val="00AF2D1A"/>
    <w:rsid w:val="00AF359E"/>
    <w:rsid w:val="00AF3675"/>
    <w:rsid w:val="00AF376D"/>
    <w:rsid w:val="00AF3907"/>
    <w:rsid w:val="00AF3915"/>
    <w:rsid w:val="00AF3C73"/>
    <w:rsid w:val="00AF3D4A"/>
    <w:rsid w:val="00AF3E8C"/>
    <w:rsid w:val="00AF3FD3"/>
    <w:rsid w:val="00AF4028"/>
    <w:rsid w:val="00AF411E"/>
    <w:rsid w:val="00AF413E"/>
    <w:rsid w:val="00AF456D"/>
    <w:rsid w:val="00AF4837"/>
    <w:rsid w:val="00AF49AA"/>
    <w:rsid w:val="00AF49E8"/>
    <w:rsid w:val="00AF4B53"/>
    <w:rsid w:val="00AF4BAE"/>
    <w:rsid w:val="00AF4C8D"/>
    <w:rsid w:val="00AF4D04"/>
    <w:rsid w:val="00AF4E0E"/>
    <w:rsid w:val="00AF4F3F"/>
    <w:rsid w:val="00AF5484"/>
    <w:rsid w:val="00AF575B"/>
    <w:rsid w:val="00AF5B4A"/>
    <w:rsid w:val="00AF5B60"/>
    <w:rsid w:val="00AF5BAC"/>
    <w:rsid w:val="00AF5BF7"/>
    <w:rsid w:val="00AF6692"/>
    <w:rsid w:val="00AF6709"/>
    <w:rsid w:val="00AF6921"/>
    <w:rsid w:val="00AF6CE6"/>
    <w:rsid w:val="00AF6D01"/>
    <w:rsid w:val="00AF6F6E"/>
    <w:rsid w:val="00AF702D"/>
    <w:rsid w:val="00AF7348"/>
    <w:rsid w:val="00AF7842"/>
    <w:rsid w:val="00AF787C"/>
    <w:rsid w:val="00AF798E"/>
    <w:rsid w:val="00AF7B21"/>
    <w:rsid w:val="00AF7B40"/>
    <w:rsid w:val="00AF7D6C"/>
    <w:rsid w:val="00B00260"/>
    <w:rsid w:val="00B00369"/>
    <w:rsid w:val="00B005B9"/>
    <w:rsid w:val="00B007FD"/>
    <w:rsid w:val="00B00A24"/>
    <w:rsid w:val="00B00AFB"/>
    <w:rsid w:val="00B00CAB"/>
    <w:rsid w:val="00B00D3B"/>
    <w:rsid w:val="00B00E2C"/>
    <w:rsid w:val="00B01046"/>
    <w:rsid w:val="00B01228"/>
    <w:rsid w:val="00B015FB"/>
    <w:rsid w:val="00B016FF"/>
    <w:rsid w:val="00B017B0"/>
    <w:rsid w:val="00B017EF"/>
    <w:rsid w:val="00B01836"/>
    <w:rsid w:val="00B01AAE"/>
    <w:rsid w:val="00B01AD6"/>
    <w:rsid w:val="00B01B0F"/>
    <w:rsid w:val="00B01CED"/>
    <w:rsid w:val="00B01E37"/>
    <w:rsid w:val="00B02172"/>
    <w:rsid w:val="00B0218A"/>
    <w:rsid w:val="00B022CE"/>
    <w:rsid w:val="00B02354"/>
    <w:rsid w:val="00B0235F"/>
    <w:rsid w:val="00B02612"/>
    <w:rsid w:val="00B028AC"/>
    <w:rsid w:val="00B02EB5"/>
    <w:rsid w:val="00B03025"/>
    <w:rsid w:val="00B03207"/>
    <w:rsid w:val="00B0327C"/>
    <w:rsid w:val="00B03438"/>
    <w:rsid w:val="00B035E4"/>
    <w:rsid w:val="00B03668"/>
    <w:rsid w:val="00B036A5"/>
    <w:rsid w:val="00B03740"/>
    <w:rsid w:val="00B037EF"/>
    <w:rsid w:val="00B0393F"/>
    <w:rsid w:val="00B03D41"/>
    <w:rsid w:val="00B040FA"/>
    <w:rsid w:val="00B0444E"/>
    <w:rsid w:val="00B0455C"/>
    <w:rsid w:val="00B046A2"/>
    <w:rsid w:val="00B04EF2"/>
    <w:rsid w:val="00B04F3C"/>
    <w:rsid w:val="00B04F6E"/>
    <w:rsid w:val="00B0505E"/>
    <w:rsid w:val="00B05182"/>
    <w:rsid w:val="00B05205"/>
    <w:rsid w:val="00B052C0"/>
    <w:rsid w:val="00B0532A"/>
    <w:rsid w:val="00B05336"/>
    <w:rsid w:val="00B0538D"/>
    <w:rsid w:val="00B057B0"/>
    <w:rsid w:val="00B05A8C"/>
    <w:rsid w:val="00B06128"/>
    <w:rsid w:val="00B062A8"/>
    <w:rsid w:val="00B065A4"/>
    <w:rsid w:val="00B065A9"/>
    <w:rsid w:val="00B06AE7"/>
    <w:rsid w:val="00B0710D"/>
    <w:rsid w:val="00B0736A"/>
    <w:rsid w:val="00B0741E"/>
    <w:rsid w:val="00B074D0"/>
    <w:rsid w:val="00B0763A"/>
    <w:rsid w:val="00B07A60"/>
    <w:rsid w:val="00B07AF6"/>
    <w:rsid w:val="00B07B0D"/>
    <w:rsid w:val="00B07BB9"/>
    <w:rsid w:val="00B07C57"/>
    <w:rsid w:val="00B07F59"/>
    <w:rsid w:val="00B1014C"/>
    <w:rsid w:val="00B103DA"/>
    <w:rsid w:val="00B10830"/>
    <w:rsid w:val="00B10A3E"/>
    <w:rsid w:val="00B10AA0"/>
    <w:rsid w:val="00B10D59"/>
    <w:rsid w:val="00B10FB7"/>
    <w:rsid w:val="00B1136C"/>
    <w:rsid w:val="00B1153A"/>
    <w:rsid w:val="00B11596"/>
    <w:rsid w:val="00B11641"/>
    <w:rsid w:val="00B1177E"/>
    <w:rsid w:val="00B11886"/>
    <w:rsid w:val="00B11897"/>
    <w:rsid w:val="00B11B3E"/>
    <w:rsid w:val="00B11CE3"/>
    <w:rsid w:val="00B11D46"/>
    <w:rsid w:val="00B11E0C"/>
    <w:rsid w:val="00B11E4E"/>
    <w:rsid w:val="00B120E6"/>
    <w:rsid w:val="00B12251"/>
    <w:rsid w:val="00B1262F"/>
    <w:rsid w:val="00B12991"/>
    <w:rsid w:val="00B12A03"/>
    <w:rsid w:val="00B12B63"/>
    <w:rsid w:val="00B12C85"/>
    <w:rsid w:val="00B12EA0"/>
    <w:rsid w:val="00B12EEF"/>
    <w:rsid w:val="00B12F3E"/>
    <w:rsid w:val="00B12FE3"/>
    <w:rsid w:val="00B13405"/>
    <w:rsid w:val="00B13407"/>
    <w:rsid w:val="00B134F9"/>
    <w:rsid w:val="00B1366B"/>
    <w:rsid w:val="00B137A9"/>
    <w:rsid w:val="00B137B4"/>
    <w:rsid w:val="00B138EF"/>
    <w:rsid w:val="00B13989"/>
    <w:rsid w:val="00B13ABC"/>
    <w:rsid w:val="00B13C78"/>
    <w:rsid w:val="00B14312"/>
    <w:rsid w:val="00B143EB"/>
    <w:rsid w:val="00B1482C"/>
    <w:rsid w:val="00B14A3B"/>
    <w:rsid w:val="00B14A58"/>
    <w:rsid w:val="00B14BF5"/>
    <w:rsid w:val="00B14C67"/>
    <w:rsid w:val="00B14D6D"/>
    <w:rsid w:val="00B152ED"/>
    <w:rsid w:val="00B153D9"/>
    <w:rsid w:val="00B156C8"/>
    <w:rsid w:val="00B156E0"/>
    <w:rsid w:val="00B1587F"/>
    <w:rsid w:val="00B15914"/>
    <w:rsid w:val="00B15BC8"/>
    <w:rsid w:val="00B15C4F"/>
    <w:rsid w:val="00B15D41"/>
    <w:rsid w:val="00B15D96"/>
    <w:rsid w:val="00B15DD5"/>
    <w:rsid w:val="00B15DF3"/>
    <w:rsid w:val="00B160A0"/>
    <w:rsid w:val="00B160B9"/>
    <w:rsid w:val="00B162DF"/>
    <w:rsid w:val="00B16880"/>
    <w:rsid w:val="00B16AB0"/>
    <w:rsid w:val="00B16B56"/>
    <w:rsid w:val="00B16FE7"/>
    <w:rsid w:val="00B17011"/>
    <w:rsid w:val="00B17102"/>
    <w:rsid w:val="00B17261"/>
    <w:rsid w:val="00B172E5"/>
    <w:rsid w:val="00B1733D"/>
    <w:rsid w:val="00B1737F"/>
    <w:rsid w:val="00B173DD"/>
    <w:rsid w:val="00B177C3"/>
    <w:rsid w:val="00B178A0"/>
    <w:rsid w:val="00B17970"/>
    <w:rsid w:val="00B17B2A"/>
    <w:rsid w:val="00B17CCB"/>
    <w:rsid w:val="00B17D0B"/>
    <w:rsid w:val="00B201EE"/>
    <w:rsid w:val="00B20344"/>
    <w:rsid w:val="00B203DA"/>
    <w:rsid w:val="00B2065B"/>
    <w:rsid w:val="00B208D5"/>
    <w:rsid w:val="00B2091F"/>
    <w:rsid w:val="00B20B98"/>
    <w:rsid w:val="00B20BCD"/>
    <w:rsid w:val="00B20C0D"/>
    <w:rsid w:val="00B20E30"/>
    <w:rsid w:val="00B20E6F"/>
    <w:rsid w:val="00B20F3D"/>
    <w:rsid w:val="00B2118D"/>
    <w:rsid w:val="00B211B2"/>
    <w:rsid w:val="00B212B2"/>
    <w:rsid w:val="00B21546"/>
    <w:rsid w:val="00B215FF"/>
    <w:rsid w:val="00B2171F"/>
    <w:rsid w:val="00B21923"/>
    <w:rsid w:val="00B21986"/>
    <w:rsid w:val="00B219C1"/>
    <w:rsid w:val="00B21B17"/>
    <w:rsid w:val="00B21B97"/>
    <w:rsid w:val="00B21C56"/>
    <w:rsid w:val="00B21C8B"/>
    <w:rsid w:val="00B21D71"/>
    <w:rsid w:val="00B21ECB"/>
    <w:rsid w:val="00B21FB9"/>
    <w:rsid w:val="00B2217B"/>
    <w:rsid w:val="00B22342"/>
    <w:rsid w:val="00B22374"/>
    <w:rsid w:val="00B22681"/>
    <w:rsid w:val="00B2275B"/>
    <w:rsid w:val="00B229D0"/>
    <w:rsid w:val="00B22A4F"/>
    <w:rsid w:val="00B22B5B"/>
    <w:rsid w:val="00B22B99"/>
    <w:rsid w:val="00B22BEA"/>
    <w:rsid w:val="00B22C22"/>
    <w:rsid w:val="00B22D18"/>
    <w:rsid w:val="00B22D59"/>
    <w:rsid w:val="00B22FF3"/>
    <w:rsid w:val="00B230F4"/>
    <w:rsid w:val="00B23112"/>
    <w:rsid w:val="00B23292"/>
    <w:rsid w:val="00B23322"/>
    <w:rsid w:val="00B23388"/>
    <w:rsid w:val="00B2354D"/>
    <w:rsid w:val="00B236BD"/>
    <w:rsid w:val="00B237E7"/>
    <w:rsid w:val="00B2382E"/>
    <w:rsid w:val="00B23840"/>
    <w:rsid w:val="00B239EA"/>
    <w:rsid w:val="00B23D41"/>
    <w:rsid w:val="00B23E76"/>
    <w:rsid w:val="00B23ECE"/>
    <w:rsid w:val="00B240B5"/>
    <w:rsid w:val="00B242A8"/>
    <w:rsid w:val="00B2431C"/>
    <w:rsid w:val="00B243CB"/>
    <w:rsid w:val="00B24487"/>
    <w:rsid w:val="00B2476E"/>
    <w:rsid w:val="00B24852"/>
    <w:rsid w:val="00B24D9F"/>
    <w:rsid w:val="00B2501B"/>
    <w:rsid w:val="00B25069"/>
    <w:rsid w:val="00B250C1"/>
    <w:rsid w:val="00B25190"/>
    <w:rsid w:val="00B252BA"/>
    <w:rsid w:val="00B252CD"/>
    <w:rsid w:val="00B253CA"/>
    <w:rsid w:val="00B253DC"/>
    <w:rsid w:val="00B25537"/>
    <w:rsid w:val="00B255C1"/>
    <w:rsid w:val="00B257D4"/>
    <w:rsid w:val="00B25A22"/>
    <w:rsid w:val="00B25D7F"/>
    <w:rsid w:val="00B25E4C"/>
    <w:rsid w:val="00B25F57"/>
    <w:rsid w:val="00B260AC"/>
    <w:rsid w:val="00B2628B"/>
    <w:rsid w:val="00B2646B"/>
    <w:rsid w:val="00B2668D"/>
    <w:rsid w:val="00B267D2"/>
    <w:rsid w:val="00B26A41"/>
    <w:rsid w:val="00B26C16"/>
    <w:rsid w:val="00B26D28"/>
    <w:rsid w:val="00B270B9"/>
    <w:rsid w:val="00B2743F"/>
    <w:rsid w:val="00B27675"/>
    <w:rsid w:val="00B277EB"/>
    <w:rsid w:val="00B2781D"/>
    <w:rsid w:val="00B278C5"/>
    <w:rsid w:val="00B278C8"/>
    <w:rsid w:val="00B27E48"/>
    <w:rsid w:val="00B27F07"/>
    <w:rsid w:val="00B30009"/>
    <w:rsid w:val="00B30170"/>
    <w:rsid w:val="00B301A4"/>
    <w:rsid w:val="00B301B8"/>
    <w:rsid w:val="00B30275"/>
    <w:rsid w:val="00B3038B"/>
    <w:rsid w:val="00B3087F"/>
    <w:rsid w:val="00B308F0"/>
    <w:rsid w:val="00B30958"/>
    <w:rsid w:val="00B309D4"/>
    <w:rsid w:val="00B30A48"/>
    <w:rsid w:val="00B30CE4"/>
    <w:rsid w:val="00B30D31"/>
    <w:rsid w:val="00B30D4C"/>
    <w:rsid w:val="00B30F4C"/>
    <w:rsid w:val="00B31047"/>
    <w:rsid w:val="00B3132E"/>
    <w:rsid w:val="00B313B8"/>
    <w:rsid w:val="00B317CC"/>
    <w:rsid w:val="00B31840"/>
    <w:rsid w:val="00B3184C"/>
    <w:rsid w:val="00B31858"/>
    <w:rsid w:val="00B31AD7"/>
    <w:rsid w:val="00B31DB6"/>
    <w:rsid w:val="00B32087"/>
    <w:rsid w:val="00B321A9"/>
    <w:rsid w:val="00B3221E"/>
    <w:rsid w:val="00B323BF"/>
    <w:rsid w:val="00B32677"/>
    <w:rsid w:val="00B32B8C"/>
    <w:rsid w:val="00B32BC6"/>
    <w:rsid w:val="00B32BCE"/>
    <w:rsid w:val="00B32D3F"/>
    <w:rsid w:val="00B33102"/>
    <w:rsid w:val="00B33195"/>
    <w:rsid w:val="00B331CE"/>
    <w:rsid w:val="00B331EA"/>
    <w:rsid w:val="00B3323B"/>
    <w:rsid w:val="00B3343B"/>
    <w:rsid w:val="00B338EF"/>
    <w:rsid w:val="00B33AF0"/>
    <w:rsid w:val="00B33BDE"/>
    <w:rsid w:val="00B33C38"/>
    <w:rsid w:val="00B33C70"/>
    <w:rsid w:val="00B33CE5"/>
    <w:rsid w:val="00B33D09"/>
    <w:rsid w:val="00B33E2E"/>
    <w:rsid w:val="00B33E93"/>
    <w:rsid w:val="00B33FE8"/>
    <w:rsid w:val="00B34214"/>
    <w:rsid w:val="00B34241"/>
    <w:rsid w:val="00B345BC"/>
    <w:rsid w:val="00B34635"/>
    <w:rsid w:val="00B3465C"/>
    <w:rsid w:val="00B346DB"/>
    <w:rsid w:val="00B3494E"/>
    <w:rsid w:val="00B3498D"/>
    <w:rsid w:val="00B349DC"/>
    <w:rsid w:val="00B34A41"/>
    <w:rsid w:val="00B34B30"/>
    <w:rsid w:val="00B34C58"/>
    <w:rsid w:val="00B34C92"/>
    <w:rsid w:val="00B34D2C"/>
    <w:rsid w:val="00B34EFA"/>
    <w:rsid w:val="00B34EFF"/>
    <w:rsid w:val="00B35014"/>
    <w:rsid w:val="00B35302"/>
    <w:rsid w:val="00B354CA"/>
    <w:rsid w:val="00B355F0"/>
    <w:rsid w:val="00B358CD"/>
    <w:rsid w:val="00B36030"/>
    <w:rsid w:val="00B360AA"/>
    <w:rsid w:val="00B36113"/>
    <w:rsid w:val="00B36214"/>
    <w:rsid w:val="00B36231"/>
    <w:rsid w:val="00B362CF"/>
    <w:rsid w:val="00B363E3"/>
    <w:rsid w:val="00B3645D"/>
    <w:rsid w:val="00B3658B"/>
    <w:rsid w:val="00B3660E"/>
    <w:rsid w:val="00B368D5"/>
    <w:rsid w:val="00B36B78"/>
    <w:rsid w:val="00B36D11"/>
    <w:rsid w:val="00B36F49"/>
    <w:rsid w:val="00B36F5C"/>
    <w:rsid w:val="00B36FDF"/>
    <w:rsid w:val="00B372BF"/>
    <w:rsid w:val="00B37563"/>
    <w:rsid w:val="00B37639"/>
    <w:rsid w:val="00B37840"/>
    <w:rsid w:val="00B3787A"/>
    <w:rsid w:val="00B37ACC"/>
    <w:rsid w:val="00B37C29"/>
    <w:rsid w:val="00B37D0E"/>
    <w:rsid w:val="00B37EA8"/>
    <w:rsid w:val="00B37F5B"/>
    <w:rsid w:val="00B37FD2"/>
    <w:rsid w:val="00B40296"/>
    <w:rsid w:val="00B40419"/>
    <w:rsid w:val="00B40497"/>
    <w:rsid w:val="00B4056B"/>
    <w:rsid w:val="00B40579"/>
    <w:rsid w:val="00B40712"/>
    <w:rsid w:val="00B40A6E"/>
    <w:rsid w:val="00B40BB8"/>
    <w:rsid w:val="00B40BEF"/>
    <w:rsid w:val="00B40E02"/>
    <w:rsid w:val="00B40EA2"/>
    <w:rsid w:val="00B4145F"/>
    <w:rsid w:val="00B415FD"/>
    <w:rsid w:val="00B4182E"/>
    <w:rsid w:val="00B418A1"/>
    <w:rsid w:val="00B41915"/>
    <w:rsid w:val="00B41C3E"/>
    <w:rsid w:val="00B41CBD"/>
    <w:rsid w:val="00B41E4D"/>
    <w:rsid w:val="00B42074"/>
    <w:rsid w:val="00B42527"/>
    <w:rsid w:val="00B428DE"/>
    <w:rsid w:val="00B428E1"/>
    <w:rsid w:val="00B42A96"/>
    <w:rsid w:val="00B42DC9"/>
    <w:rsid w:val="00B43059"/>
    <w:rsid w:val="00B430DC"/>
    <w:rsid w:val="00B43407"/>
    <w:rsid w:val="00B4341B"/>
    <w:rsid w:val="00B437C9"/>
    <w:rsid w:val="00B437F5"/>
    <w:rsid w:val="00B43B0B"/>
    <w:rsid w:val="00B43C7F"/>
    <w:rsid w:val="00B43FDE"/>
    <w:rsid w:val="00B440D7"/>
    <w:rsid w:val="00B44104"/>
    <w:rsid w:val="00B442B4"/>
    <w:rsid w:val="00B44A14"/>
    <w:rsid w:val="00B44A31"/>
    <w:rsid w:val="00B44B7E"/>
    <w:rsid w:val="00B44BC5"/>
    <w:rsid w:val="00B44E06"/>
    <w:rsid w:val="00B44F0A"/>
    <w:rsid w:val="00B4511E"/>
    <w:rsid w:val="00B4557A"/>
    <w:rsid w:val="00B4572B"/>
    <w:rsid w:val="00B45A61"/>
    <w:rsid w:val="00B45CBE"/>
    <w:rsid w:val="00B45CFA"/>
    <w:rsid w:val="00B46244"/>
    <w:rsid w:val="00B466C5"/>
    <w:rsid w:val="00B466E5"/>
    <w:rsid w:val="00B466EA"/>
    <w:rsid w:val="00B4673B"/>
    <w:rsid w:val="00B46CF7"/>
    <w:rsid w:val="00B46F11"/>
    <w:rsid w:val="00B470D0"/>
    <w:rsid w:val="00B472C1"/>
    <w:rsid w:val="00B473A3"/>
    <w:rsid w:val="00B47893"/>
    <w:rsid w:val="00B47A3D"/>
    <w:rsid w:val="00B47C2A"/>
    <w:rsid w:val="00B47C8F"/>
    <w:rsid w:val="00B47DB6"/>
    <w:rsid w:val="00B47DD6"/>
    <w:rsid w:val="00B47E6F"/>
    <w:rsid w:val="00B47E81"/>
    <w:rsid w:val="00B47F35"/>
    <w:rsid w:val="00B47F65"/>
    <w:rsid w:val="00B50034"/>
    <w:rsid w:val="00B5032D"/>
    <w:rsid w:val="00B505EB"/>
    <w:rsid w:val="00B50639"/>
    <w:rsid w:val="00B506A7"/>
    <w:rsid w:val="00B5082F"/>
    <w:rsid w:val="00B50951"/>
    <w:rsid w:val="00B50BFE"/>
    <w:rsid w:val="00B50D3F"/>
    <w:rsid w:val="00B50DD5"/>
    <w:rsid w:val="00B50DE9"/>
    <w:rsid w:val="00B50F89"/>
    <w:rsid w:val="00B51004"/>
    <w:rsid w:val="00B51252"/>
    <w:rsid w:val="00B513C7"/>
    <w:rsid w:val="00B514C5"/>
    <w:rsid w:val="00B51552"/>
    <w:rsid w:val="00B5158A"/>
    <w:rsid w:val="00B515B7"/>
    <w:rsid w:val="00B515E0"/>
    <w:rsid w:val="00B515FC"/>
    <w:rsid w:val="00B517C8"/>
    <w:rsid w:val="00B51985"/>
    <w:rsid w:val="00B5199D"/>
    <w:rsid w:val="00B51C7D"/>
    <w:rsid w:val="00B51E0C"/>
    <w:rsid w:val="00B5206D"/>
    <w:rsid w:val="00B5246B"/>
    <w:rsid w:val="00B52488"/>
    <w:rsid w:val="00B52B05"/>
    <w:rsid w:val="00B52B2F"/>
    <w:rsid w:val="00B52C3B"/>
    <w:rsid w:val="00B52D02"/>
    <w:rsid w:val="00B52E36"/>
    <w:rsid w:val="00B52FA9"/>
    <w:rsid w:val="00B53152"/>
    <w:rsid w:val="00B532B4"/>
    <w:rsid w:val="00B5363B"/>
    <w:rsid w:val="00B53A25"/>
    <w:rsid w:val="00B53AD8"/>
    <w:rsid w:val="00B53BDF"/>
    <w:rsid w:val="00B53D8C"/>
    <w:rsid w:val="00B53F51"/>
    <w:rsid w:val="00B53FD4"/>
    <w:rsid w:val="00B54106"/>
    <w:rsid w:val="00B541B0"/>
    <w:rsid w:val="00B542C7"/>
    <w:rsid w:val="00B5451D"/>
    <w:rsid w:val="00B54601"/>
    <w:rsid w:val="00B54840"/>
    <w:rsid w:val="00B548B3"/>
    <w:rsid w:val="00B54C27"/>
    <w:rsid w:val="00B54C56"/>
    <w:rsid w:val="00B54FDB"/>
    <w:rsid w:val="00B54FE4"/>
    <w:rsid w:val="00B5502A"/>
    <w:rsid w:val="00B550C7"/>
    <w:rsid w:val="00B55199"/>
    <w:rsid w:val="00B551A4"/>
    <w:rsid w:val="00B55254"/>
    <w:rsid w:val="00B5560E"/>
    <w:rsid w:val="00B5579D"/>
    <w:rsid w:val="00B5591A"/>
    <w:rsid w:val="00B55E8A"/>
    <w:rsid w:val="00B5601E"/>
    <w:rsid w:val="00B562CB"/>
    <w:rsid w:val="00B56430"/>
    <w:rsid w:val="00B565C8"/>
    <w:rsid w:val="00B56787"/>
    <w:rsid w:val="00B5679F"/>
    <w:rsid w:val="00B569D5"/>
    <w:rsid w:val="00B56E48"/>
    <w:rsid w:val="00B570F6"/>
    <w:rsid w:val="00B57158"/>
    <w:rsid w:val="00B572CA"/>
    <w:rsid w:val="00B5730D"/>
    <w:rsid w:val="00B57328"/>
    <w:rsid w:val="00B574AD"/>
    <w:rsid w:val="00B576DB"/>
    <w:rsid w:val="00B579B9"/>
    <w:rsid w:val="00B57AC1"/>
    <w:rsid w:val="00B57DB7"/>
    <w:rsid w:val="00B60447"/>
    <w:rsid w:val="00B6045A"/>
    <w:rsid w:val="00B604A3"/>
    <w:rsid w:val="00B6066B"/>
    <w:rsid w:val="00B606D6"/>
    <w:rsid w:val="00B609B7"/>
    <w:rsid w:val="00B60A08"/>
    <w:rsid w:val="00B60A5B"/>
    <w:rsid w:val="00B61332"/>
    <w:rsid w:val="00B61374"/>
    <w:rsid w:val="00B61781"/>
    <w:rsid w:val="00B6194C"/>
    <w:rsid w:val="00B61A0B"/>
    <w:rsid w:val="00B61AE2"/>
    <w:rsid w:val="00B61D02"/>
    <w:rsid w:val="00B61F8F"/>
    <w:rsid w:val="00B6202A"/>
    <w:rsid w:val="00B620DD"/>
    <w:rsid w:val="00B62173"/>
    <w:rsid w:val="00B62193"/>
    <w:rsid w:val="00B62236"/>
    <w:rsid w:val="00B622C3"/>
    <w:rsid w:val="00B62385"/>
    <w:rsid w:val="00B62A91"/>
    <w:rsid w:val="00B62CE7"/>
    <w:rsid w:val="00B62CFF"/>
    <w:rsid w:val="00B62EE5"/>
    <w:rsid w:val="00B62EE6"/>
    <w:rsid w:val="00B631F5"/>
    <w:rsid w:val="00B6324E"/>
    <w:rsid w:val="00B6328D"/>
    <w:rsid w:val="00B632FA"/>
    <w:rsid w:val="00B634A1"/>
    <w:rsid w:val="00B6352D"/>
    <w:rsid w:val="00B635A7"/>
    <w:rsid w:val="00B63754"/>
    <w:rsid w:val="00B637C1"/>
    <w:rsid w:val="00B6387A"/>
    <w:rsid w:val="00B639DB"/>
    <w:rsid w:val="00B63B97"/>
    <w:rsid w:val="00B63EF2"/>
    <w:rsid w:val="00B6406B"/>
    <w:rsid w:val="00B64374"/>
    <w:rsid w:val="00B64377"/>
    <w:rsid w:val="00B6439B"/>
    <w:rsid w:val="00B643E8"/>
    <w:rsid w:val="00B64406"/>
    <w:rsid w:val="00B64565"/>
    <w:rsid w:val="00B64882"/>
    <w:rsid w:val="00B64A43"/>
    <w:rsid w:val="00B64A6C"/>
    <w:rsid w:val="00B64C46"/>
    <w:rsid w:val="00B65077"/>
    <w:rsid w:val="00B65132"/>
    <w:rsid w:val="00B653AC"/>
    <w:rsid w:val="00B656AB"/>
    <w:rsid w:val="00B659D3"/>
    <w:rsid w:val="00B65BD1"/>
    <w:rsid w:val="00B65C62"/>
    <w:rsid w:val="00B65D92"/>
    <w:rsid w:val="00B65D9E"/>
    <w:rsid w:val="00B65F5A"/>
    <w:rsid w:val="00B66140"/>
    <w:rsid w:val="00B6622B"/>
    <w:rsid w:val="00B6660F"/>
    <w:rsid w:val="00B669DB"/>
    <w:rsid w:val="00B66E24"/>
    <w:rsid w:val="00B66E3C"/>
    <w:rsid w:val="00B66FBC"/>
    <w:rsid w:val="00B67218"/>
    <w:rsid w:val="00B672D2"/>
    <w:rsid w:val="00B67BB3"/>
    <w:rsid w:val="00B67E59"/>
    <w:rsid w:val="00B7018B"/>
    <w:rsid w:val="00B701C1"/>
    <w:rsid w:val="00B7038A"/>
    <w:rsid w:val="00B703C4"/>
    <w:rsid w:val="00B7049E"/>
    <w:rsid w:val="00B7051C"/>
    <w:rsid w:val="00B70A68"/>
    <w:rsid w:val="00B70A83"/>
    <w:rsid w:val="00B70AF4"/>
    <w:rsid w:val="00B70CE1"/>
    <w:rsid w:val="00B70D61"/>
    <w:rsid w:val="00B71638"/>
    <w:rsid w:val="00B71713"/>
    <w:rsid w:val="00B7174E"/>
    <w:rsid w:val="00B717C6"/>
    <w:rsid w:val="00B717F4"/>
    <w:rsid w:val="00B718B8"/>
    <w:rsid w:val="00B718E2"/>
    <w:rsid w:val="00B719AC"/>
    <w:rsid w:val="00B71A11"/>
    <w:rsid w:val="00B71D25"/>
    <w:rsid w:val="00B71D26"/>
    <w:rsid w:val="00B72038"/>
    <w:rsid w:val="00B7209F"/>
    <w:rsid w:val="00B721EB"/>
    <w:rsid w:val="00B7234A"/>
    <w:rsid w:val="00B723BB"/>
    <w:rsid w:val="00B724F3"/>
    <w:rsid w:val="00B72584"/>
    <w:rsid w:val="00B72AE4"/>
    <w:rsid w:val="00B73278"/>
    <w:rsid w:val="00B734B2"/>
    <w:rsid w:val="00B739C5"/>
    <w:rsid w:val="00B739FF"/>
    <w:rsid w:val="00B73BC3"/>
    <w:rsid w:val="00B73DE8"/>
    <w:rsid w:val="00B73EE6"/>
    <w:rsid w:val="00B73FF2"/>
    <w:rsid w:val="00B7414B"/>
    <w:rsid w:val="00B741B2"/>
    <w:rsid w:val="00B741EB"/>
    <w:rsid w:val="00B74456"/>
    <w:rsid w:val="00B74462"/>
    <w:rsid w:val="00B744FB"/>
    <w:rsid w:val="00B74B42"/>
    <w:rsid w:val="00B7513E"/>
    <w:rsid w:val="00B7529F"/>
    <w:rsid w:val="00B75918"/>
    <w:rsid w:val="00B7599B"/>
    <w:rsid w:val="00B75AAB"/>
    <w:rsid w:val="00B75D2C"/>
    <w:rsid w:val="00B76120"/>
    <w:rsid w:val="00B76126"/>
    <w:rsid w:val="00B76252"/>
    <w:rsid w:val="00B76679"/>
    <w:rsid w:val="00B768A5"/>
    <w:rsid w:val="00B76996"/>
    <w:rsid w:val="00B76A41"/>
    <w:rsid w:val="00B76B32"/>
    <w:rsid w:val="00B76B4A"/>
    <w:rsid w:val="00B76CEE"/>
    <w:rsid w:val="00B77285"/>
    <w:rsid w:val="00B776D2"/>
    <w:rsid w:val="00B7771C"/>
    <w:rsid w:val="00B77739"/>
    <w:rsid w:val="00B7778E"/>
    <w:rsid w:val="00B77846"/>
    <w:rsid w:val="00B778FA"/>
    <w:rsid w:val="00B7796F"/>
    <w:rsid w:val="00B77A00"/>
    <w:rsid w:val="00B77AA8"/>
    <w:rsid w:val="00B77BDE"/>
    <w:rsid w:val="00B77BEE"/>
    <w:rsid w:val="00B77C6F"/>
    <w:rsid w:val="00B77F75"/>
    <w:rsid w:val="00B77FD0"/>
    <w:rsid w:val="00B80280"/>
    <w:rsid w:val="00B80372"/>
    <w:rsid w:val="00B80576"/>
    <w:rsid w:val="00B805FA"/>
    <w:rsid w:val="00B809D0"/>
    <w:rsid w:val="00B80A1A"/>
    <w:rsid w:val="00B80D4B"/>
    <w:rsid w:val="00B80EB7"/>
    <w:rsid w:val="00B80F5A"/>
    <w:rsid w:val="00B80F6C"/>
    <w:rsid w:val="00B8125B"/>
    <w:rsid w:val="00B8125C"/>
    <w:rsid w:val="00B812AF"/>
    <w:rsid w:val="00B81544"/>
    <w:rsid w:val="00B815A2"/>
    <w:rsid w:val="00B816A1"/>
    <w:rsid w:val="00B81950"/>
    <w:rsid w:val="00B81BB9"/>
    <w:rsid w:val="00B81D3A"/>
    <w:rsid w:val="00B81E66"/>
    <w:rsid w:val="00B81EAC"/>
    <w:rsid w:val="00B81FA0"/>
    <w:rsid w:val="00B82024"/>
    <w:rsid w:val="00B821A9"/>
    <w:rsid w:val="00B821CD"/>
    <w:rsid w:val="00B8224C"/>
    <w:rsid w:val="00B822D2"/>
    <w:rsid w:val="00B82998"/>
    <w:rsid w:val="00B82AA7"/>
    <w:rsid w:val="00B82C62"/>
    <w:rsid w:val="00B82D90"/>
    <w:rsid w:val="00B82EE8"/>
    <w:rsid w:val="00B82F24"/>
    <w:rsid w:val="00B82F91"/>
    <w:rsid w:val="00B8314E"/>
    <w:rsid w:val="00B832AF"/>
    <w:rsid w:val="00B833F3"/>
    <w:rsid w:val="00B83C61"/>
    <w:rsid w:val="00B83E44"/>
    <w:rsid w:val="00B8406B"/>
    <w:rsid w:val="00B84275"/>
    <w:rsid w:val="00B84892"/>
    <w:rsid w:val="00B848D3"/>
    <w:rsid w:val="00B84BB9"/>
    <w:rsid w:val="00B84C14"/>
    <w:rsid w:val="00B84F84"/>
    <w:rsid w:val="00B84FF6"/>
    <w:rsid w:val="00B850FE"/>
    <w:rsid w:val="00B85190"/>
    <w:rsid w:val="00B85197"/>
    <w:rsid w:val="00B851F0"/>
    <w:rsid w:val="00B85220"/>
    <w:rsid w:val="00B853B1"/>
    <w:rsid w:val="00B853FC"/>
    <w:rsid w:val="00B8585D"/>
    <w:rsid w:val="00B85A36"/>
    <w:rsid w:val="00B85D63"/>
    <w:rsid w:val="00B85DEC"/>
    <w:rsid w:val="00B85F44"/>
    <w:rsid w:val="00B8616A"/>
    <w:rsid w:val="00B865DE"/>
    <w:rsid w:val="00B8681D"/>
    <w:rsid w:val="00B86971"/>
    <w:rsid w:val="00B86B0A"/>
    <w:rsid w:val="00B86B28"/>
    <w:rsid w:val="00B86B6C"/>
    <w:rsid w:val="00B86BBB"/>
    <w:rsid w:val="00B86CC3"/>
    <w:rsid w:val="00B86EE6"/>
    <w:rsid w:val="00B872AE"/>
    <w:rsid w:val="00B872FE"/>
    <w:rsid w:val="00B87366"/>
    <w:rsid w:val="00B87465"/>
    <w:rsid w:val="00B875B9"/>
    <w:rsid w:val="00B87761"/>
    <w:rsid w:val="00B87958"/>
    <w:rsid w:val="00B87A2B"/>
    <w:rsid w:val="00B87A3B"/>
    <w:rsid w:val="00B87B36"/>
    <w:rsid w:val="00B87C81"/>
    <w:rsid w:val="00B87FB4"/>
    <w:rsid w:val="00B9029F"/>
    <w:rsid w:val="00B9036B"/>
    <w:rsid w:val="00B9052A"/>
    <w:rsid w:val="00B9067C"/>
    <w:rsid w:val="00B90A29"/>
    <w:rsid w:val="00B90BB9"/>
    <w:rsid w:val="00B90C66"/>
    <w:rsid w:val="00B90E62"/>
    <w:rsid w:val="00B90F44"/>
    <w:rsid w:val="00B90F74"/>
    <w:rsid w:val="00B91119"/>
    <w:rsid w:val="00B9138A"/>
    <w:rsid w:val="00B9148C"/>
    <w:rsid w:val="00B917F8"/>
    <w:rsid w:val="00B9181B"/>
    <w:rsid w:val="00B919DC"/>
    <w:rsid w:val="00B91C2D"/>
    <w:rsid w:val="00B91CE0"/>
    <w:rsid w:val="00B91D40"/>
    <w:rsid w:val="00B920C8"/>
    <w:rsid w:val="00B92140"/>
    <w:rsid w:val="00B92374"/>
    <w:rsid w:val="00B924B1"/>
    <w:rsid w:val="00B924EC"/>
    <w:rsid w:val="00B928A4"/>
    <w:rsid w:val="00B9294F"/>
    <w:rsid w:val="00B9298E"/>
    <w:rsid w:val="00B92A53"/>
    <w:rsid w:val="00B92AED"/>
    <w:rsid w:val="00B92E04"/>
    <w:rsid w:val="00B92EB8"/>
    <w:rsid w:val="00B9329A"/>
    <w:rsid w:val="00B9335C"/>
    <w:rsid w:val="00B93474"/>
    <w:rsid w:val="00B936E7"/>
    <w:rsid w:val="00B93823"/>
    <w:rsid w:val="00B9382B"/>
    <w:rsid w:val="00B93941"/>
    <w:rsid w:val="00B93D6C"/>
    <w:rsid w:val="00B93EC0"/>
    <w:rsid w:val="00B940B3"/>
    <w:rsid w:val="00B941FB"/>
    <w:rsid w:val="00B94223"/>
    <w:rsid w:val="00B94234"/>
    <w:rsid w:val="00B945DA"/>
    <w:rsid w:val="00B94626"/>
    <w:rsid w:val="00B94A42"/>
    <w:rsid w:val="00B94B57"/>
    <w:rsid w:val="00B94B7C"/>
    <w:rsid w:val="00B95052"/>
    <w:rsid w:val="00B95120"/>
    <w:rsid w:val="00B9518D"/>
    <w:rsid w:val="00B9559F"/>
    <w:rsid w:val="00B955C0"/>
    <w:rsid w:val="00B95883"/>
    <w:rsid w:val="00B95940"/>
    <w:rsid w:val="00B959A6"/>
    <w:rsid w:val="00B95B25"/>
    <w:rsid w:val="00B95B2C"/>
    <w:rsid w:val="00B95E76"/>
    <w:rsid w:val="00B95E97"/>
    <w:rsid w:val="00B96032"/>
    <w:rsid w:val="00B96056"/>
    <w:rsid w:val="00B96298"/>
    <w:rsid w:val="00B96520"/>
    <w:rsid w:val="00B967E8"/>
    <w:rsid w:val="00B9680F"/>
    <w:rsid w:val="00B9696B"/>
    <w:rsid w:val="00B96A3C"/>
    <w:rsid w:val="00B96DE7"/>
    <w:rsid w:val="00B96FFF"/>
    <w:rsid w:val="00B971E2"/>
    <w:rsid w:val="00B97354"/>
    <w:rsid w:val="00B97829"/>
    <w:rsid w:val="00B97831"/>
    <w:rsid w:val="00B9794F"/>
    <w:rsid w:val="00B97A7B"/>
    <w:rsid w:val="00B97BE5"/>
    <w:rsid w:val="00B97E40"/>
    <w:rsid w:val="00BA0257"/>
    <w:rsid w:val="00BA0666"/>
    <w:rsid w:val="00BA0943"/>
    <w:rsid w:val="00BA0AA3"/>
    <w:rsid w:val="00BA0C7F"/>
    <w:rsid w:val="00BA0E8F"/>
    <w:rsid w:val="00BA0F72"/>
    <w:rsid w:val="00BA130A"/>
    <w:rsid w:val="00BA18FC"/>
    <w:rsid w:val="00BA1C06"/>
    <w:rsid w:val="00BA1D0F"/>
    <w:rsid w:val="00BA1F72"/>
    <w:rsid w:val="00BA2011"/>
    <w:rsid w:val="00BA2362"/>
    <w:rsid w:val="00BA24CA"/>
    <w:rsid w:val="00BA253E"/>
    <w:rsid w:val="00BA257F"/>
    <w:rsid w:val="00BA2687"/>
    <w:rsid w:val="00BA270F"/>
    <w:rsid w:val="00BA2731"/>
    <w:rsid w:val="00BA28DA"/>
    <w:rsid w:val="00BA2A10"/>
    <w:rsid w:val="00BA2B7B"/>
    <w:rsid w:val="00BA2F71"/>
    <w:rsid w:val="00BA317D"/>
    <w:rsid w:val="00BA3317"/>
    <w:rsid w:val="00BA3873"/>
    <w:rsid w:val="00BA39FE"/>
    <w:rsid w:val="00BA3CBA"/>
    <w:rsid w:val="00BA4003"/>
    <w:rsid w:val="00BA446D"/>
    <w:rsid w:val="00BA46B0"/>
    <w:rsid w:val="00BA494D"/>
    <w:rsid w:val="00BA4989"/>
    <w:rsid w:val="00BA4A82"/>
    <w:rsid w:val="00BA4E27"/>
    <w:rsid w:val="00BA512B"/>
    <w:rsid w:val="00BA51BC"/>
    <w:rsid w:val="00BA5238"/>
    <w:rsid w:val="00BA530C"/>
    <w:rsid w:val="00BA5559"/>
    <w:rsid w:val="00BA57A6"/>
    <w:rsid w:val="00BA58AE"/>
    <w:rsid w:val="00BA58B3"/>
    <w:rsid w:val="00BA5A48"/>
    <w:rsid w:val="00BA5CD1"/>
    <w:rsid w:val="00BA5D32"/>
    <w:rsid w:val="00BA5EC8"/>
    <w:rsid w:val="00BA5F4F"/>
    <w:rsid w:val="00BA622F"/>
    <w:rsid w:val="00BA6393"/>
    <w:rsid w:val="00BA642A"/>
    <w:rsid w:val="00BA6473"/>
    <w:rsid w:val="00BA6681"/>
    <w:rsid w:val="00BA6804"/>
    <w:rsid w:val="00BA6B1D"/>
    <w:rsid w:val="00BA6BDC"/>
    <w:rsid w:val="00BA6DCE"/>
    <w:rsid w:val="00BA7072"/>
    <w:rsid w:val="00BA71B2"/>
    <w:rsid w:val="00BA726E"/>
    <w:rsid w:val="00BA7698"/>
    <w:rsid w:val="00BA76C1"/>
    <w:rsid w:val="00BA7863"/>
    <w:rsid w:val="00BA79ED"/>
    <w:rsid w:val="00BA7AC0"/>
    <w:rsid w:val="00BA7BCC"/>
    <w:rsid w:val="00BB0227"/>
    <w:rsid w:val="00BB0456"/>
    <w:rsid w:val="00BB071D"/>
    <w:rsid w:val="00BB072C"/>
    <w:rsid w:val="00BB0810"/>
    <w:rsid w:val="00BB09DC"/>
    <w:rsid w:val="00BB0A33"/>
    <w:rsid w:val="00BB0A39"/>
    <w:rsid w:val="00BB0BD8"/>
    <w:rsid w:val="00BB0D01"/>
    <w:rsid w:val="00BB0D11"/>
    <w:rsid w:val="00BB1135"/>
    <w:rsid w:val="00BB13D2"/>
    <w:rsid w:val="00BB1470"/>
    <w:rsid w:val="00BB1980"/>
    <w:rsid w:val="00BB1B16"/>
    <w:rsid w:val="00BB1D1B"/>
    <w:rsid w:val="00BB1F44"/>
    <w:rsid w:val="00BB1F9D"/>
    <w:rsid w:val="00BB28C7"/>
    <w:rsid w:val="00BB295A"/>
    <w:rsid w:val="00BB2B5B"/>
    <w:rsid w:val="00BB2E04"/>
    <w:rsid w:val="00BB2E30"/>
    <w:rsid w:val="00BB3152"/>
    <w:rsid w:val="00BB3695"/>
    <w:rsid w:val="00BB3708"/>
    <w:rsid w:val="00BB3AAB"/>
    <w:rsid w:val="00BB3B6A"/>
    <w:rsid w:val="00BB3B86"/>
    <w:rsid w:val="00BB3BAB"/>
    <w:rsid w:val="00BB3E81"/>
    <w:rsid w:val="00BB4405"/>
    <w:rsid w:val="00BB44A9"/>
    <w:rsid w:val="00BB45E4"/>
    <w:rsid w:val="00BB47E6"/>
    <w:rsid w:val="00BB49C5"/>
    <w:rsid w:val="00BB4D4F"/>
    <w:rsid w:val="00BB4D70"/>
    <w:rsid w:val="00BB4DAF"/>
    <w:rsid w:val="00BB509F"/>
    <w:rsid w:val="00BB5176"/>
    <w:rsid w:val="00BB5472"/>
    <w:rsid w:val="00BB54BA"/>
    <w:rsid w:val="00BB5688"/>
    <w:rsid w:val="00BB57C0"/>
    <w:rsid w:val="00BB5A14"/>
    <w:rsid w:val="00BB5D8B"/>
    <w:rsid w:val="00BB5EA0"/>
    <w:rsid w:val="00BB5EE6"/>
    <w:rsid w:val="00BB5F8D"/>
    <w:rsid w:val="00BB5FF4"/>
    <w:rsid w:val="00BB620F"/>
    <w:rsid w:val="00BB628C"/>
    <w:rsid w:val="00BB64F9"/>
    <w:rsid w:val="00BB6A83"/>
    <w:rsid w:val="00BB6BA8"/>
    <w:rsid w:val="00BB6D4E"/>
    <w:rsid w:val="00BB6FA1"/>
    <w:rsid w:val="00BB70ED"/>
    <w:rsid w:val="00BB732E"/>
    <w:rsid w:val="00BB77CD"/>
    <w:rsid w:val="00BB7844"/>
    <w:rsid w:val="00BB7955"/>
    <w:rsid w:val="00BB7F18"/>
    <w:rsid w:val="00BB7F4F"/>
    <w:rsid w:val="00BC0020"/>
    <w:rsid w:val="00BC0150"/>
    <w:rsid w:val="00BC026C"/>
    <w:rsid w:val="00BC0435"/>
    <w:rsid w:val="00BC05A2"/>
    <w:rsid w:val="00BC067F"/>
    <w:rsid w:val="00BC06E3"/>
    <w:rsid w:val="00BC0DB3"/>
    <w:rsid w:val="00BC0DDC"/>
    <w:rsid w:val="00BC0FDC"/>
    <w:rsid w:val="00BC1433"/>
    <w:rsid w:val="00BC1471"/>
    <w:rsid w:val="00BC14E1"/>
    <w:rsid w:val="00BC156F"/>
    <w:rsid w:val="00BC16CF"/>
    <w:rsid w:val="00BC1716"/>
    <w:rsid w:val="00BC1CCE"/>
    <w:rsid w:val="00BC1F18"/>
    <w:rsid w:val="00BC1FEE"/>
    <w:rsid w:val="00BC2121"/>
    <w:rsid w:val="00BC2139"/>
    <w:rsid w:val="00BC21F0"/>
    <w:rsid w:val="00BC2579"/>
    <w:rsid w:val="00BC266C"/>
    <w:rsid w:val="00BC26C5"/>
    <w:rsid w:val="00BC283E"/>
    <w:rsid w:val="00BC28B6"/>
    <w:rsid w:val="00BC28B8"/>
    <w:rsid w:val="00BC2CEF"/>
    <w:rsid w:val="00BC2CF2"/>
    <w:rsid w:val="00BC2CF9"/>
    <w:rsid w:val="00BC2DBB"/>
    <w:rsid w:val="00BC345A"/>
    <w:rsid w:val="00BC37B6"/>
    <w:rsid w:val="00BC3983"/>
    <w:rsid w:val="00BC39D5"/>
    <w:rsid w:val="00BC3C1A"/>
    <w:rsid w:val="00BC3CD9"/>
    <w:rsid w:val="00BC418D"/>
    <w:rsid w:val="00BC41A6"/>
    <w:rsid w:val="00BC43DB"/>
    <w:rsid w:val="00BC44EB"/>
    <w:rsid w:val="00BC4513"/>
    <w:rsid w:val="00BC452F"/>
    <w:rsid w:val="00BC4596"/>
    <w:rsid w:val="00BC4853"/>
    <w:rsid w:val="00BC499C"/>
    <w:rsid w:val="00BC4E6D"/>
    <w:rsid w:val="00BC4EE4"/>
    <w:rsid w:val="00BC538A"/>
    <w:rsid w:val="00BC57DA"/>
    <w:rsid w:val="00BC589D"/>
    <w:rsid w:val="00BC5A71"/>
    <w:rsid w:val="00BC5B91"/>
    <w:rsid w:val="00BC5D2D"/>
    <w:rsid w:val="00BC5D32"/>
    <w:rsid w:val="00BC5DBD"/>
    <w:rsid w:val="00BC5F4A"/>
    <w:rsid w:val="00BC627C"/>
    <w:rsid w:val="00BC630A"/>
    <w:rsid w:val="00BC63B1"/>
    <w:rsid w:val="00BC63E6"/>
    <w:rsid w:val="00BC6724"/>
    <w:rsid w:val="00BC67B5"/>
    <w:rsid w:val="00BC6899"/>
    <w:rsid w:val="00BC69B4"/>
    <w:rsid w:val="00BC6DF0"/>
    <w:rsid w:val="00BC6F45"/>
    <w:rsid w:val="00BC71A2"/>
    <w:rsid w:val="00BC75E6"/>
    <w:rsid w:val="00BC7721"/>
    <w:rsid w:val="00BC77F1"/>
    <w:rsid w:val="00BC78DE"/>
    <w:rsid w:val="00BC79B2"/>
    <w:rsid w:val="00BC79E1"/>
    <w:rsid w:val="00BC7A68"/>
    <w:rsid w:val="00BC7A6F"/>
    <w:rsid w:val="00BC7B9E"/>
    <w:rsid w:val="00BC7C49"/>
    <w:rsid w:val="00BC7EDA"/>
    <w:rsid w:val="00BC7F91"/>
    <w:rsid w:val="00BC7FB5"/>
    <w:rsid w:val="00BD013E"/>
    <w:rsid w:val="00BD0223"/>
    <w:rsid w:val="00BD030E"/>
    <w:rsid w:val="00BD0486"/>
    <w:rsid w:val="00BD0543"/>
    <w:rsid w:val="00BD066A"/>
    <w:rsid w:val="00BD0885"/>
    <w:rsid w:val="00BD0AF7"/>
    <w:rsid w:val="00BD0B5A"/>
    <w:rsid w:val="00BD0C43"/>
    <w:rsid w:val="00BD0F2A"/>
    <w:rsid w:val="00BD118F"/>
    <w:rsid w:val="00BD1457"/>
    <w:rsid w:val="00BD15D2"/>
    <w:rsid w:val="00BD1605"/>
    <w:rsid w:val="00BD1839"/>
    <w:rsid w:val="00BD1871"/>
    <w:rsid w:val="00BD1922"/>
    <w:rsid w:val="00BD1926"/>
    <w:rsid w:val="00BD1AE8"/>
    <w:rsid w:val="00BD1B3C"/>
    <w:rsid w:val="00BD1C0C"/>
    <w:rsid w:val="00BD1C30"/>
    <w:rsid w:val="00BD1E68"/>
    <w:rsid w:val="00BD2055"/>
    <w:rsid w:val="00BD2608"/>
    <w:rsid w:val="00BD2A20"/>
    <w:rsid w:val="00BD2BD2"/>
    <w:rsid w:val="00BD2E30"/>
    <w:rsid w:val="00BD2E93"/>
    <w:rsid w:val="00BD2F30"/>
    <w:rsid w:val="00BD3205"/>
    <w:rsid w:val="00BD3343"/>
    <w:rsid w:val="00BD3633"/>
    <w:rsid w:val="00BD3838"/>
    <w:rsid w:val="00BD3867"/>
    <w:rsid w:val="00BD39BA"/>
    <w:rsid w:val="00BD3CD1"/>
    <w:rsid w:val="00BD3E33"/>
    <w:rsid w:val="00BD4121"/>
    <w:rsid w:val="00BD42DD"/>
    <w:rsid w:val="00BD4309"/>
    <w:rsid w:val="00BD430E"/>
    <w:rsid w:val="00BD4403"/>
    <w:rsid w:val="00BD45D8"/>
    <w:rsid w:val="00BD4675"/>
    <w:rsid w:val="00BD47CC"/>
    <w:rsid w:val="00BD4854"/>
    <w:rsid w:val="00BD486C"/>
    <w:rsid w:val="00BD4A30"/>
    <w:rsid w:val="00BD4BB6"/>
    <w:rsid w:val="00BD4BF3"/>
    <w:rsid w:val="00BD5351"/>
    <w:rsid w:val="00BD54CD"/>
    <w:rsid w:val="00BD559B"/>
    <w:rsid w:val="00BD58B4"/>
    <w:rsid w:val="00BD5A0B"/>
    <w:rsid w:val="00BD5A34"/>
    <w:rsid w:val="00BD5C13"/>
    <w:rsid w:val="00BD5EA8"/>
    <w:rsid w:val="00BD605B"/>
    <w:rsid w:val="00BD60D3"/>
    <w:rsid w:val="00BD6231"/>
    <w:rsid w:val="00BD6681"/>
    <w:rsid w:val="00BD6812"/>
    <w:rsid w:val="00BD6868"/>
    <w:rsid w:val="00BD6AAE"/>
    <w:rsid w:val="00BD6B58"/>
    <w:rsid w:val="00BD6E3B"/>
    <w:rsid w:val="00BD709A"/>
    <w:rsid w:val="00BD70FE"/>
    <w:rsid w:val="00BD71E8"/>
    <w:rsid w:val="00BD737A"/>
    <w:rsid w:val="00BD74D0"/>
    <w:rsid w:val="00BD74D2"/>
    <w:rsid w:val="00BD76ED"/>
    <w:rsid w:val="00BD771D"/>
    <w:rsid w:val="00BD7732"/>
    <w:rsid w:val="00BD7804"/>
    <w:rsid w:val="00BD7CBE"/>
    <w:rsid w:val="00BD7CC8"/>
    <w:rsid w:val="00BD7DE9"/>
    <w:rsid w:val="00BD7E62"/>
    <w:rsid w:val="00BE00B4"/>
    <w:rsid w:val="00BE0828"/>
    <w:rsid w:val="00BE09C8"/>
    <w:rsid w:val="00BE0D2F"/>
    <w:rsid w:val="00BE0E9C"/>
    <w:rsid w:val="00BE0EFF"/>
    <w:rsid w:val="00BE0F15"/>
    <w:rsid w:val="00BE1059"/>
    <w:rsid w:val="00BE11E5"/>
    <w:rsid w:val="00BE145D"/>
    <w:rsid w:val="00BE1540"/>
    <w:rsid w:val="00BE1599"/>
    <w:rsid w:val="00BE17F6"/>
    <w:rsid w:val="00BE189C"/>
    <w:rsid w:val="00BE1926"/>
    <w:rsid w:val="00BE1B1B"/>
    <w:rsid w:val="00BE1D22"/>
    <w:rsid w:val="00BE1D55"/>
    <w:rsid w:val="00BE1E70"/>
    <w:rsid w:val="00BE2209"/>
    <w:rsid w:val="00BE22A3"/>
    <w:rsid w:val="00BE22CC"/>
    <w:rsid w:val="00BE2591"/>
    <w:rsid w:val="00BE25FA"/>
    <w:rsid w:val="00BE27B6"/>
    <w:rsid w:val="00BE27CD"/>
    <w:rsid w:val="00BE27E0"/>
    <w:rsid w:val="00BE2E76"/>
    <w:rsid w:val="00BE30E7"/>
    <w:rsid w:val="00BE338C"/>
    <w:rsid w:val="00BE34C1"/>
    <w:rsid w:val="00BE3613"/>
    <w:rsid w:val="00BE368E"/>
    <w:rsid w:val="00BE37F5"/>
    <w:rsid w:val="00BE3EBA"/>
    <w:rsid w:val="00BE43F7"/>
    <w:rsid w:val="00BE4573"/>
    <w:rsid w:val="00BE467F"/>
    <w:rsid w:val="00BE47C1"/>
    <w:rsid w:val="00BE4BD0"/>
    <w:rsid w:val="00BE4BDC"/>
    <w:rsid w:val="00BE4C97"/>
    <w:rsid w:val="00BE4D5A"/>
    <w:rsid w:val="00BE5137"/>
    <w:rsid w:val="00BE5313"/>
    <w:rsid w:val="00BE555D"/>
    <w:rsid w:val="00BE5908"/>
    <w:rsid w:val="00BE5A0C"/>
    <w:rsid w:val="00BE5B71"/>
    <w:rsid w:val="00BE5E31"/>
    <w:rsid w:val="00BE5F8A"/>
    <w:rsid w:val="00BE5FBE"/>
    <w:rsid w:val="00BE600F"/>
    <w:rsid w:val="00BE6013"/>
    <w:rsid w:val="00BE6125"/>
    <w:rsid w:val="00BE6290"/>
    <w:rsid w:val="00BE62B0"/>
    <w:rsid w:val="00BE649F"/>
    <w:rsid w:val="00BE66AF"/>
    <w:rsid w:val="00BE66FE"/>
    <w:rsid w:val="00BE67D6"/>
    <w:rsid w:val="00BE6A0B"/>
    <w:rsid w:val="00BE6F38"/>
    <w:rsid w:val="00BE7295"/>
    <w:rsid w:val="00BE72F9"/>
    <w:rsid w:val="00BE76AD"/>
    <w:rsid w:val="00BE770C"/>
    <w:rsid w:val="00BE77CC"/>
    <w:rsid w:val="00BE7805"/>
    <w:rsid w:val="00BE7838"/>
    <w:rsid w:val="00BE787E"/>
    <w:rsid w:val="00BE792E"/>
    <w:rsid w:val="00BE7B74"/>
    <w:rsid w:val="00BE7D5B"/>
    <w:rsid w:val="00BE7E42"/>
    <w:rsid w:val="00BF0013"/>
    <w:rsid w:val="00BF00DD"/>
    <w:rsid w:val="00BF03A6"/>
    <w:rsid w:val="00BF070D"/>
    <w:rsid w:val="00BF076F"/>
    <w:rsid w:val="00BF07DF"/>
    <w:rsid w:val="00BF0B06"/>
    <w:rsid w:val="00BF0F82"/>
    <w:rsid w:val="00BF1042"/>
    <w:rsid w:val="00BF1848"/>
    <w:rsid w:val="00BF19B8"/>
    <w:rsid w:val="00BF19E7"/>
    <w:rsid w:val="00BF1A28"/>
    <w:rsid w:val="00BF1B23"/>
    <w:rsid w:val="00BF1D82"/>
    <w:rsid w:val="00BF1E9B"/>
    <w:rsid w:val="00BF250E"/>
    <w:rsid w:val="00BF25A4"/>
    <w:rsid w:val="00BF2694"/>
    <w:rsid w:val="00BF27BC"/>
    <w:rsid w:val="00BF29F1"/>
    <w:rsid w:val="00BF2B7F"/>
    <w:rsid w:val="00BF2D3C"/>
    <w:rsid w:val="00BF2D8B"/>
    <w:rsid w:val="00BF2DBA"/>
    <w:rsid w:val="00BF301F"/>
    <w:rsid w:val="00BF304E"/>
    <w:rsid w:val="00BF30C8"/>
    <w:rsid w:val="00BF311E"/>
    <w:rsid w:val="00BF32EE"/>
    <w:rsid w:val="00BF337B"/>
    <w:rsid w:val="00BF33C0"/>
    <w:rsid w:val="00BF3619"/>
    <w:rsid w:val="00BF367B"/>
    <w:rsid w:val="00BF36CE"/>
    <w:rsid w:val="00BF36FA"/>
    <w:rsid w:val="00BF3BDA"/>
    <w:rsid w:val="00BF3BF9"/>
    <w:rsid w:val="00BF3D57"/>
    <w:rsid w:val="00BF3E2E"/>
    <w:rsid w:val="00BF3ECC"/>
    <w:rsid w:val="00BF3EF9"/>
    <w:rsid w:val="00BF4054"/>
    <w:rsid w:val="00BF40AF"/>
    <w:rsid w:val="00BF4387"/>
    <w:rsid w:val="00BF4428"/>
    <w:rsid w:val="00BF470C"/>
    <w:rsid w:val="00BF487B"/>
    <w:rsid w:val="00BF48D9"/>
    <w:rsid w:val="00BF4BD5"/>
    <w:rsid w:val="00BF4C7B"/>
    <w:rsid w:val="00BF5173"/>
    <w:rsid w:val="00BF5748"/>
    <w:rsid w:val="00BF5966"/>
    <w:rsid w:val="00BF5C2E"/>
    <w:rsid w:val="00BF5C33"/>
    <w:rsid w:val="00BF5F3C"/>
    <w:rsid w:val="00BF611E"/>
    <w:rsid w:val="00BF62D1"/>
    <w:rsid w:val="00BF636A"/>
    <w:rsid w:val="00BF698B"/>
    <w:rsid w:val="00BF6B30"/>
    <w:rsid w:val="00BF6B7A"/>
    <w:rsid w:val="00BF6BC5"/>
    <w:rsid w:val="00BF6D95"/>
    <w:rsid w:val="00BF6EC7"/>
    <w:rsid w:val="00BF7177"/>
    <w:rsid w:val="00BF71DB"/>
    <w:rsid w:val="00BF7268"/>
    <w:rsid w:val="00BF79FB"/>
    <w:rsid w:val="00BF7AA1"/>
    <w:rsid w:val="00BF7CE9"/>
    <w:rsid w:val="00BF7D65"/>
    <w:rsid w:val="00C003C8"/>
    <w:rsid w:val="00C00852"/>
    <w:rsid w:val="00C00866"/>
    <w:rsid w:val="00C00C1E"/>
    <w:rsid w:val="00C00E31"/>
    <w:rsid w:val="00C00E3D"/>
    <w:rsid w:val="00C00E42"/>
    <w:rsid w:val="00C00E86"/>
    <w:rsid w:val="00C00E87"/>
    <w:rsid w:val="00C00EA9"/>
    <w:rsid w:val="00C00EEB"/>
    <w:rsid w:val="00C00EEE"/>
    <w:rsid w:val="00C010D6"/>
    <w:rsid w:val="00C014CB"/>
    <w:rsid w:val="00C0153E"/>
    <w:rsid w:val="00C01561"/>
    <w:rsid w:val="00C0157C"/>
    <w:rsid w:val="00C017EC"/>
    <w:rsid w:val="00C01A27"/>
    <w:rsid w:val="00C01BDA"/>
    <w:rsid w:val="00C01D7F"/>
    <w:rsid w:val="00C01DBA"/>
    <w:rsid w:val="00C01E1D"/>
    <w:rsid w:val="00C01E64"/>
    <w:rsid w:val="00C01E68"/>
    <w:rsid w:val="00C021D5"/>
    <w:rsid w:val="00C021DE"/>
    <w:rsid w:val="00C02214"/>
    <w:rsid w:val="00C0223B"/>
    <w:rsid w:val="00C023B4"/>
    <w:rsid w:val="00C024AB"/>
    <w:rsid w:val="00C024B9"/>
    <w:rsid w:val="00C028CE"/>
    <w:rsid w:val="00C02935"/>
    <w:rsid w:val="00C029E1"/>
    <w:rsid w:val="00C02A2A"/>
    <w:rsid w:val="00C02E82"/>
    <w:rsid w:val="00C02F65"/>
    <w:rsid w:val="00C02FD9"/>
    <w:rsid w:val="00C0304D"/>
    <w:rsid w:val="00C030EA"/>
    <w:rsid w:val="00C031CF"/>
    <w:rsid w:val="00C0345F"/>
    <w:rsid w:val="00C03584"/>
    <w:rsid w:val="00C03961"/>
    <w:rsid w:val="00C03B2F"/>
    <w:rsid w:val="00C03C4E"/>
    <w:rsid w:val="00C040C4"/>
    <w:rsid w:val="00C04113"/>
    <w:rsid w:val="00C0451E"/>
    <w:rsid w:val="00C045E4"/>
    <w:rsid w:val="00C046CE"/>
    <w:rsid w:val="00C04A0B"/>
    <w:rsid w:val="00C04ACD"/>
    <w:rsid w:val="00C04BD5"/>
    <w:rsid w:val="00C04CC8"/>
    <w:rsid w:val="00C04E12"/>
    <w:rsid w:val="00C04EBF"/>
    <w:rsid w:val="00C05136"/>
    <w:rsid w:val="00C051C8"/>
    <w:rsid w:val="00C052F4"/>
    <w:rsid w:val="00C054D7"/>
    <w:rsid w:val="00C05738"/>
    <w:rsid w:val="00C05BDB"/>
    <w:rsid w:val="00C05BDD"/>
    <w:rsid w:val="00C061A9"/>
    <w:rsid w:val="00C06367"/>
    <w:rsid w:val="00C06374"/>
    <w:rsid w:val="00C06391"/>
    <w:rsid w:val="00C0645D"/>
    <w:rsid w:val="00C0657A"/>
    <w:rsid w:val="00C06689"/>
    <w:rsid w:val="00C066E9"/>
    <w:rsid w:val="00C069B4"/>
    <w:rsid w:val="00C06B53"/>
    <w:rsid w:val="00C06B89"/>
    <w:rsid w:val="00C06D37"/>
    <w:rsid w:val="00C06DD6"/>
    <w:rsid w:val="00C06DFF"/>
    <w:rsid w:val="00C07045"/>
    <w:rsid w:val="00C07197"/>
    <w:rsid w:val="00C071C4"/>
    <w:rsid w:val="00C07417"/>
    <w:rsid w:val="00C07688"/>
    <w:rsid w:val="00C07A3F"/>
    <w:rsid w:val="00C07C11"/>
    <w:rsid w:val="00C07EDD"/>
    <w:rsid w:val="00C10253"/>
    <w:rsid w:val="00C1044F"/>
    <w:rsid w:val="00C10667"/>
    <w:rsid w:val="00C108E8"/>
    <w:rsid w:val="00C10EA0"/>
    <w:rsid w:val="00C10F98"/>
    <w:rsid w:val="00C11191"/>
    <w:rsid w:val="00C111A4"/>
    <w:rsid w:val="00C112C3"/>
    <w:rsid w:val="00C113CB"/>
    <w:rsid w:val="00C114A5"/>
    <w:rsid w:val="00C11530"/>
    <w:rsid w:val="00C11782"/>
    <w:rsid w:val="00C11862"/>
    <w:rsid w:val="00C11CCF"/>
    <w:rsid w:val="00C11FA2"/>
    <w:rsid w:val="00C12225"/>
    <w:rsid w:val="00C125CD"/>
    <w:rsid w:val="00C12628"/>
    <w:rsid w:val="00C12775"/>
    <w:rsid w:val="00C12786"/>
    <w:rsid w:val="00C127CC"/>
    <w:rsid w:val="00C1281F"/>
    <w:rsid w:val="00C12BC6"/>
    <w:rsid w:val="00C12C6A"/>
    <w:rsid w:val="00C12D12"/>
    <w:rsid w:val="00C13099"/>
    <w:rsid w:val="00C1315B"/>
    <w:rsid w:val="00C1320C"/>
    <w:rsid w:val="00C13345"/>
    <w:rsid w:val="00C13369"/>
    <w:rsid w:val="00C1369E"/>
    <w:rsid w:val="00C1388B"/>
    <w:rsid w:val="00C13921"/>
    <w:rsid w:val="00C1392F"/>
    <w:rsid w:val="00C139D4"/>
    <w:rsid w:val="00C13AF4"/>
    <w:rsid w:val="00C13B58"/>
    <w:rsid w:val="00C13CBB"/>
    <w:rsid w:val="00C13D27"/>
    <w:rsid w:val="00C13DD5"/>
    <w:rsid w:val="00C13FFC"/>
    <w:rsid w:val="00C14334"/>
    <w:rsid w:val="00C14347"/>
    <w:rsid w:val="00C14435"/>
    <w:rsid w:val="00C1454B"/>
    <w:rsid w:val="00C1484A"/>
    <w:rsid w:val="00C148BF"/>
    <w:rsid w:val="00C14B2C"/>
    <w:rsid w:val="00C14CC4"/>
    <w:rsid w:val="00C14DCB"/>
    <w:rsid w:val="00C14E7F"/>
    <w:rsid w:val="00C14E84"/>
    <w:rsid w:val="00C1526D"/>
    <w:rsid w:val="00C15385"/>
    <w:rsid w:val="00C155CF"/>
    <w:rsid w:val="00C157EB"/>
    <w:rsid w:val="00C15803"/>
    <w:rsid w:val="00C15A45"/>
    <w:rsid w:val="00C15AE4"/>
    <w:rsid w:val="00C15BCA"/>
    <w:rsid w:val="00C15DDF"/>
    <w:rsid w:val="00C15E37"/>
    <w:rsid w:val="00C15F2A"/>
    <w:rsid w:val="00C15F5A"/>
    <w:rsid w:val="00C16352"/>
    <w:rsid w:val="00C16489"/>
    <w:rsid w:val="00C165BE"/>
    <w:rsid w:val="00C169F9"/>
    <w:rsid w:val="00C16B1C"/>
    <w:rsid w:val="00C16B9B"/>
    <w:rsid w:val="00C16BAB"/>
    <w:rsid w:val="00C16E97"/>
    <w:rsid w:val="00C16F35"/>
    <w:rsid w:val="00C1713B"/>
    <w:rsid w:val="00C174F6"/>
    <w:rsid w:val="00C176F7"/>
    <w:rsid w:val="00C179F2"/>
    <w:rsid w:val="00C17C33"/>
    <w:rsid w:val="00C17CA0"/>
    <w:rsid w:val="00C20068"/>
    <w:rsid w:val="00C20070"/>
    <w:rsid w:val="00C20265"/>
    <w:rsid w:val="00C204E8"/>
    <w:rsid w:val="00C207E1"/>
    <w:rsid w:val="00C20855"/>
    <w:rsid w:val="00C20BBE"/>
    <w:rsid w:val="00C20FE3"/>
    <w:rsid w:val="00C2102F"/>
    <w:rsid w:val="00C211F6"/>
    <w:rsid w:val="00C2133E"/>
    <w:rsid w:val="00C21D09"/>
    <w:rsid w:val="00C21DDD"/>
    <w:rsid w:val="00C21F3A"/>
    <w:rsid w:val="00C220A7"/>
    <w:rsid w:val="00C2215B"/>
    <w:rsid w:val="00C222BD"/>
    <w:rsid w:val="00C2259C"/>
    <w:rsid w:val="00C2276E"/>
    <w:rsid w:val="00C228C8"/>
    <w:rsid w:val="00C22935"/>
    <w:rsid w:val="00C22A43"/>
    <w:rsid w:val="00C22AE8"/>
    <w:rsid w:val="00C22B5F"/>
    <w:rsid w:val="00C22D32"/>
    <w:rsid w:val="00C22DC6"/>
    <w:rsid w:val="00C22DD4"/>
    <w:rsid w:val="00C23071"/>
    <w:rsid w:val="00C230C6"/>
    <w:rsid w:val="00C2327C"/>
    <w:rsid w:val="00C232B4"/>
    <w:rsid w:val="00C23318"/>
    <w:rsid w:val="00C2334E"/>
    <w:rsid w:val="00C2369E"/>
    <w:rsid w:val="00C236E0"/>
    <w:rsid w:val="00C23825"/>
    <w:rsid w:val="00C23870"/>
    <w:rsid w:val="00C23B2E"/>
    <w:rsid w:val="00C23CCB"/>
    <w:rsid w:val="00C23E51"/>
    <w:rsid w:val="00C23F2C"/>
    <w:rsid w:val="00C240D2"/>
    <w:rsid w:val="00C24452"/>
    <w:rsid w:val="00C2490C"/>
    <w:rsid w:val="00C24BBE"/>
    <w:rsid w:val="00C24DA7"/>
    <w:rsid w:val="00C24E86"/>
    <w:rsid w:val="00C24FE0"/>
    <w:rsid w:val="00C2511D"/>
    <w:rsid w:val="00C251F1"/>
    <w:rsid w:val="00C252A9"/>
    <w:rsid w:val="00C254AC"/>
    <w:rsid w:val="00C2569C"/>
    <w:rsid w:val="00C2597F"/>
    <w:rsid w:val="00C259D8"/>
    <w:rsid w:val="00C25E2F"/>
    <w:rsid w:val="00C25FC7"/>
    <w:rsid w:val="00C2612D"/>
    <w:rsid w:val="00C261F5"/>
    <w:rsid w:val="00C2639D"/>
    <w:rsid w:val="00C26793"/>
    <w:rsid w:val="00C2692A"/>
    <w:rsid w:val="00C26F1F"/>
    <w:rsid w:val="00C26F6B"/>
    <w:rsid w:val="00C26FAE"/>
    <w:rsid w:val="00C270F5"/>
    <w:rsid w:val="00C273FF"/>
    <w:rsid w:val="00C274AA"/>
    <w:rsid w:val="00C27682"/>
    <w:rsid w:val="00C27707"/>
    <w:rsid w:val="00C27840"/>
    <w:rsid w:val="00C279B6"/>
    <w:rsid w:val="00C27A81"/>
    <w:rsid w:val="00C27CDD"/>
    <w:rsid w:val="00C27D2A"/>
    <w:rsid w:val="00C27E02"/>
    <w:rsid w:val="00C27EEE"/>
    <w:rsid w:val="00C27F29"/>
    <w:rsid w:val="00C30069"/>
    <w:rsid w:val="00C30201"/>
    <w:rsid w:val="00C30329"/>
    <w:rsid w:val="00C304CC"/>
    <w:rsid w:val="00C307B3"/>
    <w:rsid w:val="00C30995"/>
    <w:rsid w:val="00C309EC"/>
    <w:rsid w:val="00C30C0A"/>
    <w:rsid w:val="00C30CD8"/>
    <w:rsid w:val="00C31042"/>
    <w:rsid w:val="00C31453"/>
    <w:rsid w:val="00C31801"/>
    <w:rsid w:val="00C31A74"/>
    <w:rsid w:val="00C31B31"/>
    <w:rsid w:val="00C31CBA"/>
    <w:rsid w:val="00C31D30"/>
    <w:rsid w:val="00C32142"/>
    <w:rsid w:val="00C32405"/>
    <w:rsid w:val="00C325A5"/>
    <w:rsid w:val="00C3280C"/>
    <w:rsid w:val="00C32824"/>
    <w:rsid w:val="00C32A51"/>
    <w:rsid w:val="00C32F95"/>
    <w:rsid w:val="00C3338A"/>
    <w:rsid w:val="00C33411"/>
    <w:rsid w:val="00C337AA"/>
    <w:rsid w:val="00C33A25"/>
    <w:rsid w:val="00C33CD2"/>
    <w:rsid w:val="00C33E9B"/>
    <w:rsid w:val="00C3410E"/>
    <w:rsid w:val="00C343BA"/>
    <w:rsid w:val="00C344EC"/>
    <w:rsid w:val="00C34713"/>
    <w:rsid w:val="00C34AE0"/>
    <w:rsid w:val="00C34EF1"/>
    <w:rsid w:val="00C34F7E"/>
    <w:rsid w:val="00C34FBC"/>
    <w:rsid w:val="00C35133"/>
    <w:rsid w:val="00C35222"/>
    <w:rsid w:val="00C352DE"/>
    <w:rsid w:val="00C3546F"/>
    <w:rsid w:val="00C35607"/>
    <w:rsid w:val="00C35622"/>
    <w:rsid w:val="00C356A6"/>
    <w:rsid w:val="00C35861"/>
    <w:rsid w:val="00C35966"/>
    <w:rsid w:val="00C35B9B"/>
    <w:rsid w:val="00C35C56"/>
    <w:rsid w:val="00C35CC0"/>
    <w:rsid w:val="00C35CFC"/>
    <w:rsid w:val="00C35D95"/>
    <w:rsid w:val="00C35DB9"/>
    <w:rsid w:val="00C361AE"/>
    <w:rsid w:val="00C3636A"/>
    <w:rsid w:val="00C36854"/>
    <w:rsid w:val="00C36BDC"/>
    <w:rsid w:val="00C37177"/>
    <w:rsid w:val="00C372F7"/>
    <w:rsid w:val="00C37446"/>
    <w:rsid w:val="00C3751E"/>
    <w:rsid w:val="00C37643"/>
    <w:rsid w:val="00C376E8"/>
    <w:rsid w:val="00C3789A"/>
    <w:rsid w:val="00C379D6"/>
    <w:rsid w:val="00C37A6A"/>
    <w:rsid w:val="00C37A6D"/>
    <w:rsid w:val="00C37B17"/>
    <w:rsid w:val="00C37BFD"/>
    <w:rsid w:val="00C37E64"/>
    <w:rsid w:val="00C400EB"/>
    <w:rsid w:val="00C404C6"/>
    <w:rsid w:val="00C406D8"/>
    <w:rsid w:val="00C406FC"/>
    <w:rsid w:val="00C407BE"/>
    <w:rsid w:val="00C40815"/>
    <w:rsid w:val="00C408FB"/>
    <w:rsid w:val="00C40939"/>
    <w:rsid w:val="00C409E5"/>
    <w:rsid w:val="00C40BAA"/>
    <w:rsid w:val="00C40E1C"/>
    <w:rsid w:val="00C40E3F"/>
    <w:rsid w:val="00C40F1E"/>
    <w:rsid w:val="00C41131"/>
    <w:rsid w:val="00C41182"/>
    <w:rsid w:val="00C41483"/>
    <w:rsid w:val="00C41577"/>
    <w:rsid w:val="00C41579"/>
    <w:rsid w:val="00C4186E"/>
    <w:rsid w:val="00C418FE"/>
    <w:rsid w:val="00C41A9C"/>
    <w:rsid w:val="00C41D09"/>
    <w:rsid w:val="00C41DD4"/>
    <w:rsid w:val="00C41F6C"/>
    <w:rsid w:val="00C41FAD"/>
    <w:rsid w:val="00C420D0"/>
    <w:rsid w:val="00C421BB"/>
    <w:rsid w:val="00C422E7"/>
    <w:rsid w:val="00C4250C"/>
    <w:rsid w:val="00C4256D"/>
    <w:rsid w:val="00C426FD"/>
    <w:rsid w:val="00C429A4"/>
    <w:rsid w:val="00C42B0F"/>
    <w:rsid w:val="00C42D5D"/>
    <w:rsid w:val="00C42DCC"/>
    <w:rsid w:val="00C42FF3"/>
    <w:rsid w:val="00C4304F"/>
    <w:rsid w:val="00C4334B"/>
    <w:rsid w:val="00C435A4"/>
    <w:rsid w:val="00C438D2"/>
    <w:rsid w:val="00C43B6C"/>
    <w:rsid w:val="00C43B79"/>
    <w:rsid w:val="00C43C72"/>
    <w:rsid w:val="00C43D05"/>
    <w:rsid w:val="00C43DA8"/>
    <w:rsid w:val="00C43F8D"/>
    <w:rsid w:val="00C43F99"/>
    <w:rsid w:val="00C44438"/>
    <w:rsid w:val="00C445F6"/>
    <w:rsid w:val="00C447B0"/>
    <w:rsid w:val="00C44B94"/>
    <w:rsid w:val="00C44C4E"/>
    <w:rsid w:val="00C44D98"/>
    <w:rsid w:val="00C44F68"/>
    <w:rsid w:val="00C450FB"/>
    <w:rsid w:val="00C45607"/>
    <w:rsid w:val="00C4571C"/>
    <w:rsid w:val="00C459EB"/>
    <w:rsid w:val="00C45A0B"/>
    <w:rsid w:val="00C45A54"/>
    <w:rsid w:val="00C45B70"/>
    <w:rsid w:val="00C45D34"/>
    <w:rsid w:val="00C460C2"/>
    <w:rsid w:val="00C46273"/>
    <w:rsid w:val="00C463CA"/>
    <w:rsid w:val="00C4673E"/>
    <w:rsid w:val="00C46860"/>
    <w:rsid w:val="00C46908"/>
    <w:rsid w:val="00C4694A"/>
    <w:rsid w:val="00C46A08"/>
    <w:rsid w:val="00C46C7D"/>
    <w:rsid w:val="00C46F8E"/>
    <w:rsid w:val="00C47163"/>
    <w:rsid w:val="00C473A1"/>
    <w:rsid w:val="00C473A4"/>
    <w:rsid w:val="00C47820"/>
    <w:rsid w:val="00C47833"/>
    <w:rsid w:val="00C47905"/>
    <w:rsid w:val="00C47B8E"/>
    <w:rsid w:val="00C47CA1"/>
    <w:rsid w:val="00C47CE4"/>
    <w:rsid w:val="00C47E21"/>
    <w:rsid w:val="00C47F3C"/>
    <w:rsid w:val="00C50154"/>
    <w:rsid w:val="00C5018D"/>
    <w:rsid w:val="00C50246"/>
    <w:rsid w:val="00C50ABC"/>
    <w:rsid w:val="00C50B13"/>
    <w:rsid w:val="00C50C5D"/>
    <w:rsid w:val="00C50D01"/>
    <w:rsid w:val="00C50D84"/>
    <w:rsid w:val="00C50F21"/>
    <w:rsid w:val="00C51134"/>
    <w:rsid w:val="00C512C3"/>
    <w:rsid w:val="00C512C7"/>
    <w:rsid w:val="00C5143D"/>
    <w:rsid w:val="00C514B6"/>
    <w:rsid w:val="00C51603"/>
    <w:rsid w:val="00C51713"/>
    <w:rsid w:val="00C517B2"/>
    <w:rsid w:val="00C51812"/>
    <w:rsid w:val="00C51892"/>
    <w:rsid w:val="00C51944"/>
    <w:rsid w:val="00C519EE"/>
    <w:rsid w:val="00C51D41"/>
    <w:rsid w:val="00C51E4F"/>
    <w:rsid w:val="00C51FB3"/>
    <w:rsid w:val="00C52107"/>
    <w:rsid w:val="00C5225B"/>
    <w:rsid w:val="00C52335"/>
    <w:rsid w:val="00C523AA"/>
    <w:rsid w:val="00C52444"/>
    <w:rsid w:val="00C52777"/>
    <w:rsid w:val="00C52845"/>
    <w:rsid w:val="00C52BBC"/>
    <w:rsid w:val="00C52C6D"/>
    <w:rsid w:val="00C52E88"/>
    <w:rsid w:val="00C5320A"/>
    <w:rsid w:val="00C53228"/>
    <w:rsid w:val="00C5328F"/>
    <w:rsid w:val="00C533F9"/>
    <w:rsid w:val="00C535D5"/>
    <w:rsid w:val="00C53824"/>
    <w:rsid w:val="00C53C92"/>
    <w:rsid w:val="00C53D6C"/>
    <w:rsid w:val="00C53DB1"/>
    <w:rsid w:val="00C540D0"/>
    <w:rsid w:val="00C54194"/>
    <w:rsid w:val="00C542BB"/>
    <w:rsid w:val="00C542FC"/>
    <w:rsid w:val="00C54798"/>
    <w:rsid w:val="00C548A7"/>
    <w:rsid w:val="00C548D6"/>
    <w:rsid w:val="00C54905"/>
    <w:rsid w:val="00C549D3"/>
    <w:rsid w:val="00C54BD5"/>
    <w:rsid w:val="00C54F87"/>
    <w:rsid w:val="00C55105"/>
    <w:rsid w:val="00C55121"/>
    <w:rsid w:val="00C5520A"/>
    <w:rsid w:val="00C55270"/>
    <w:rsid w:val="00C552F2"/>
    <w:rsid w:val="00C55333"/>
    <w:rsid w:val="00C55481"/>
    <w:rsid w:val="00C55724"/>
    <w:rsid w:val="00C55752"/>
    <w:rsid w:val="00C5585C"/>
    <w:rsid w:val="00C5588F"/>
    <w:rsid w:val="00C558DB"/>
    <w:rsid w:val="00C55A5B"/>
    <w:rsid w:val="00C55BEF"/>
    <w:rsid w:val="00C55E73"/>
    <w:rsid w:val="00C55E7C"/>
    <w:rsid w:val="00C55F27"/>
    <w:rsid w:val="00C56417"/>
    <w:rsid w:val="00C56A5D"/>
    <w:rsid w:val="00C5701D"/>
    <w:rsid w:val="00C57087"/>
    <w:rsid w:val="00C57317"/>
    <w:rsid w:val="00C5757C"/>
    <w:rsid w:val="00C57732"/>
    <w:rsid w:val="00C57751"/>
    <w:rsid w:val="00C57903"/>
    <w:rsid w:val="00C57E4B"/>
    <w:rsid w:val="00C57F4C"/>
    <w:rsid w:val="00C600BB"/>
    <w:rsid w:val="00C6020C"/>
    <w:rsid w:val="00C60242"/>
    <w:rsid w:val="00C602E1"/>
    <w:rsid w:val="00C6034B"/>
    <w:rsid w:val="00C603AB"/>
    <w:rsid w:val="00C604B1"/>
    <w:rsid w:val="00C6059B"/>
    <w:rsid w:val="00C6059F"/>
    <w:rsid w:val="00C606C1"/>
    <w:rsid w:val="00C60892"/>
    <w:rsid w:val="00C60955"/>
    <w:rsid w:val="00C60A4D"/>
    <w:rsid w:val="00C60CC9"/>
    <w:rsid w:val="00C60EA8"/>
    <w:rsid w:val="00C60F71"/>
    <w:rsid w:val="00C60FFC"/>
    <w:rsid w:val="00C61101"/>
    <w:rsid w:val="00C615A2"/>
    <w:rsid w:val="00C61869"/>
    <w:rsid w:val="00C61FD2"/>
    <w:rsid w:val="00C621C3"/>
    <w:rsid w:val="00C62244"/>
    <w:rsid w:val="00C623AA"/>
    <w:rsid w:val="00C62550"/>
    <w:rsid w:val="00C62585"/>
    <w:rsid w:val="00C62748"/>
    <w:rsid w:val="00C62884"/>
    <w:rsid w:val="00C62B33"/>
    <w:rsid w:val="00C62BF1"/>
    <w:rsid w:val="00C62C18"/>
    <w:rsid w:val="00C62D1F"/>
    <w:rsid w:val="00C62D65"/>
    <w:rsid w:val="00C63245"/>
    <w:rsid w:val="00C63329"/>
    <w:rsid w:val="00C633C8"/>
    <w:rsid w:val="00C63635"/>
    <w:rsid w:val="00C636C1"/>
    <w:rsid w:val="00C63979"/>
    <w:rsid w:val="00C63C79"/>
    <w:rsid w:val="00C63D69"/>
    <w:rsid w:val="00C6412F"/>
    <w:rsid w:val="00C6418D"/>
    <w:rsid w:val="00C6441B"/>
    <w:rsid w:val="00C64718"/>
    <w:rsid w:val="00C648E3"/>
    <w:rsid w:val="00C64D69"/>
    <w:rsid w:val="00C64EA8"/>
    <w:rsid w:val="00C65035"/>
    <w:rsid w:val="00C65084"/>
    <w:rsid w:val="00C650EE"/>
    <w:rsid w:val="00C65154"/>
    <w:rsid w:val="00C6535F"/>
    <w:rsid w:val="00C6591A"/>
    <w:rsid w:val="00C65927"/>
    <w:rsid w:val="00C6596D"/>
    <w:rsid w:val="00C65E15"/>
    <w:rsid w:val="00C65E98"/>
    <w:rsid w:val="00C65F35"/>
    <w:rsid w:val="00C65F98"/>
    <w:rsid w:val="00C65FDA"/>
    <w:rsid w:val="00C664DA"/>
    <w:rsid w:val="00C66540"/>
    <w:rsid w:val="00C66800"/>
    <w:rsid w:val="00C669DA"/>
    <w:rsid w:val="00C66C6D"/>
    <w:rsid w:val="00C66D24"/>
    <w:rsid w:val="00C66D5B"/>
    <w:rsid w:val="00C66EB1"/>
    <w:rsid w:val="00C66EEF"/>
    <w:rsid w:val="00C670BC"/>
    <w:rsid w:val="00C67124"/>
    <w:rsid w:val="00C671CC"/>
    <w:rsid w:val="00C67238"/>
    <w:rsid w:val="00C6767A"/>
    <w:rsid w:val="00C67EB2"/>
    <w:rsid w:val="00C67F9B"/>
    <w:rsid w:val="00C7002A"/>
    <w:rsid w:val="00C70034"/>
    <w:rsid w:val="00C70088"/>
    <w:rsid w:val="00C700E6"/>
    <w:rsid w:val="00C702BB"/>
    <w:rsid w:val="00C70436"/>
    <w:rsid w:val="00C70515"/>
    <w:rsid w:val="00C70573"/>
    <w:rsid w:val="00C70599"/>
    <w:rsid w:val="00C708CE"/>
    <w:rsid w:val="00C70930"/>
    <w:rsid w:val="00C709AB"/>
    <w:rsid w:val="00C70A68"/>
    <w:rsid w:val="00C70B53"/>
    <w:rsid w:val="00C70D2A"/>
    <w:rsid w:val="00C70EAE"/>
    <w:rsid w:val="00C70EF1"/>
    <w:rsid w:val="00C70F9E"/>
    <w:rsid w:val="00C714C0"/>
    <w:rsid w:val="00C714D5"/>
    <w:rsid w:val="00C7175F"/>
    <w:rsid w:val="00C71777"/>
    <w:rsid w:val="00C71B74"/>
    <w:rsid w:val="00C71C48"/>
    <w:rsid w:val="00C71F19"/>
    <w:rsid w:val="00C722FD"/>
    <w:rsid w:val="00C723E2"/>
    <w:rsid w:val="00C7251B"/>
    <w:rsid w:val="00C72529"/>
    <w:rsid w:val="00C7299D"/>
    <w:rsid w:val="00C729A9"/>
    <w:rsid w:val="00C729F7"/>
    <w:rsid w:val="00C72AF6"/>
    <w:rsid w:val="00C72C70"/>
    <w:rsid w:val="00C732A8"/>
    <w:rsid w:val="00C7332B"/>
    <w:rsid w:val="00C73520"/>
    <w:rsid w:val="00C7354B"/>
    <w:rsid w:val="00C73633"/>
    <w:rsid w:val="00C7386C"/>
    <w:rsid w:val="00C73955"/>
    <w:rsid w:val="00C73BC9"/>
    <w:rsid w:val="00C73E1D"/>
    <w:rsid w:val="00C7417B"/>
    <w:rsid w:val="00C7418C"/>
    <w:rsid w:val="00C742B2"/>
    <w:rsid w:val="00C744E2"/>
    <w:rsid w:val="00C7476A"/>
    <w:rsid w:val="00C747E7"/>
    <w:rsid w:val="00C74BA8"/>
    <w:rsid w:val="00C75040"/>
    <w:rsid w:val="00C751C9"/>
    <w:rsid w:val="00C753F4"/>
    <w:rsid w:val="00C756DF"/>
    <w:rsid w:val="00C756F7"/>
    <w:rsid w:val="00C75882"/>
    <w:rsid w:val="00C7599D"/>
    <w:rsid w:val="00C75B42"/>
    <w:rsid w:val="00C75C1F"/>
    <w:rsid w:val="00C75DD6"/>
    <w:rsid w:val="00C76331"/>
    <w:rsid w:val="00C767C8"/>
    <w:rsid w:val="00C7689B"/>
    <w:rsid w:val="00C76AE4"/>
    <w:rsid w:val="00C76E45"/>
    <w:rsid w:val="00C771D6"/>
    <w:rsid w:val="00C7721D"/>
    <w:rsid w:val="00C772E4"/>
    <w:rsid w:val="00C77303"/>
    <w:rsid w:val="00C77436"/>
    <w:rsid w:val="00C77520"/>
    <w:rsid w:val="00C776A8"/>
    <w:rsid w:val="00C776D5"/>
    <w:rsid w:val="00C77714"/>
    <w:rsid w:val="00C777B2"/>
    <w:rsid w:val="00C7789E"/>
    <w:rsid w:val="00C7790C"/>
    <w:rsid w:val="00C77989"/>
    <w:rsid w:val="00C77B33"/>
    <w:rsid w:val="00C77CAF"/>
    <w:rsid w:val="00C77E82"/>
    <w:rsid w:val="00C8000B"/>
    <w:rsid w:val="00C8031D"/>
    <w:rsid w:val="00C8037D"/>
    <w:rsid w:val="00C803AB"/>
    <w:rsid w:val="00C80562"/>
    <w:rsid w:val="00C80576"/>
    <w:rsid w:val="00C806FC"/>
    <w:rsid w:val="00C807A4"/>
    <w:rsid w:val="00C80F15"/>
    <w:rsid w:val="00C810EC"/>
    <w:rsid w:val="00C812A8"/>
    <w:rsid w:val="00C812BA"/>
    <w:rsid w:val="00C8191A"/>
    <w:rsid w:val="00C8196A"/>
    <w:rsid w:val="00C81A18"/>
    <w:rsid w:val="00C81A1A"/>
    <w:rsid w:val="00C81A90"/>
    <w:rsid w:val="00C81C3C"/>
    <w:rsid w:val="00C81C4F"/>
    <w:rsid w:val="00C81F8B"/>
    <w:rsid w:val="00C82013"/>
    <w:rsid w:val="00C8202D"/>
    <w:rsid w:val="00C8230F"/>
    <w:rsid w:val="00C82314"/>
    <w:rsid w:val="00C82366"/>
    <w:rsid w:val="00C82440"/>
    <w:rsid w:val="00C826E3"/>
    <w:rsid w:val="00C82815"/>
    <w:rsid w:val="00C82841"/>
    <w:rsid w:val="00C8298D"/>
    <w:rsid w:val="00C82B32"/>
    <w:rsid w:val="00C82B90"/>
    <w:rsid w:val="00C82C33"/>
    <w:rsid w:val="00C82CA2"/>
    <w:rsid w:val="00C82ECD"/>
    <w:rsid w:val="00C835F6"/>
    <w:rsid w:val="00C83B95"/>
    <w:rsid w:val="00C83CE1"/>
    <w:rsid w:val="00C83F1D"/>
    <w:rsid w:val="00C83FFE"/>
    <w:rsid w:val="00C84069"/>
    <w:rsid w:val="00C840CE"/>
    <w:rsid w:val="00C84209"/>
    <w:rsid w:val="00C842D7"/>
    <w:rsid w:val="00C843BA"/>
    <w:rsid w:val="00C846D3"/>
    <w:rsid w:val="00C846EB"/>
    <w:rsid w:val="00C847DA"/>
    <w:rsid w:val="00C84CF7"/>
    <w:rsid w:val="00C84D19"/>
    <w:rsid w:val="00C850EB"/>
    <w:rsid w:val="00C8518E"/>
    <w:rsid w:val="00C851F9"/>
    <w:rsid w:val="00C85530"/>
    <w:rsid w:val="00C85718"/>
    <w:rsid w:val="00C857DB"/>
    <w:rsid w:val="00C858B5"/>
    <w:rsid w:val="00C859E3"/>
    <w:rsid w:val="00C85AFA"/>
    <w:rsid w:val="00C85BE6"/>
    <w:rsid w:val="00C85C97"/>
    <w:rsid w:val="00C86112"/>
    <w:rsid w:val="00C8622C"/>
    <w:rsid w:val="00C86BED"/>
    <w:rsid w:val="00C86CF7"/>
    <w:rsid w:val="00C86E1C"/>
    <w:rsid w:val="00C86FBA"/>
    <w:rsid w:val="00C86FEB"/>
    <w:rsid w:val="00C87177"/>
    <w:rsid w:val="00C8719B"/>
    <w:rsid w:val="00C8778E"/>
    <w:rsid w:val="00C8790F"/>
    <w:rsid w:val="00C879A9"/>
    <w:rsid w:val="00C87D08"/>
    <w:rsid w:val="00C87D73"/>
    <w:rsid w:val="00C90461"/>
    <w:rsid w:val="00C9069F"/>
    <w:rsid w:val="00C9072D"/>
    <w:rsid w:val="00C907FA"/>
    <w:rsid w:val="00C90804"/>
    <w:rsid w:val="00C90811"/>
    <w:rsid w:val="00C90A0D"/>
    <w:rsid w:val="00C90C4B"/>
    <w:rsid w:val="00C90D49"/>
    <w:rsid w:val="00C90FFB"/>
    <w:rsid w:val="00C9100E"/>
    <w:rsid w:val="00C91022"/>
    <w:rsid w:val="00C91312"/>
    <w:rsid w:val="00C91407"/>
    <w:rsid w:val="00C91412"/>
    <w:rsid w:val="00C9148E"/>
    <w:rsid w:val="00C9170E"/>
    <w:rsid w:val="00C91742"/>
    <w:rsid w:val="00C9186A"/>
    <w:rsid w:val="00C919BD"/>
    <w:rsid w:val="00C91AF8"/>
    <w:rsid w:val="00C91C5F"/>
    <w:rsid w:val="00C91FEF"/>
    <w:rsid w:val="00C92028"/>
    <w:rsid w:val="00C92277"/>
    <w:rsid w:val="00C92364"/>
    <w:rsid w:val="00C92647"/>
    <w:rsid w:val="00C9272D"/>
    <w:rsid w:val="00C927B2"/>
    <w:rsid w:val="00C928AD"/>
    <w:rsid w:val="00C92DB2"/>
    <w:rsid w:val="00C92F5F"/>
    <w:rsid w:val="00C92FF4"/>
    <w:rsid w:val="00C932BD"/>
    <w:rsid w:val="00C933A5"/>
    <w:rsid w:val="00C936B5"/>
    <w:rsid w:val="00C93780"/>
    <w:rsid w:val="00C9390A"/>
    <w:rsid w:val="00C93A01"/>
    <w:rsid w:val="00C93A38"/>
    <w:rsid w:val="00C93A9F"/>
    <w:rsid w:val="00C93ADA"/>
    <w:rsid w:val="00C93C71"/>
    <w:rsid w:val="00C93E09"/>
    <w:rsid w:val="00C9400E"/>
    <w:rsid w:val="00C9417B"/>
    <w:rsid w:val="00C943C0"/>
    <w:rsid w:val="00C94467"/>
    <w:rsid w:val="00C94725"/>
    <w:rsid w:val="00C94792"/>
    <w:rsid w:val="00C94BA4"/>
    <w:rsid w:val="00C94BF8"/>
    <w:rsid w:val="00C94CD3"/>
    <w:rsid w:val="00C94D57"/>
    <w:rsid w:val="00C94D62"/>
    <w:rsid w:val="00C95137"/>
    <w:rsid w:val="00C951A8"/>
    <w:rsid w:val="00C9526D"/>
    <w:rsid w:val="00C9528B"/>
    <w:rsid w:val="00C95520"/>
    <w:rsid w:val="00C955CF"/>
    <w:rsid w:val="00C9587A"/>
    <w:rsid w:val="00C958ED"/>
    <w:rsid w:val="00C9595C"/>
    <w:rsid w:val="00C95B13"/>
    <w:rsid w:val="00C95E01"/>
    <w:rsid w:val="00C95EC0"/>
    <w:rsid w:val="00C96008"/>
    <w:rsid w:val="00C9603F"/>
    <w:rsid w:val="00C960AE"/>
    <w:rsid w:val="00C960B9"/>
    <w:rsid w:val="00C960C9"/>
    <w:rsid w:val="00C96110"/>
    <w:rsid w:val="00C96435"/>
    <w:rsid w:val="00C964C8"/>
    <w:rsid w:val="00C9669B"/>
    <w:rsid w:val="00C967C8"/>
    <w:rsid w:val="00C969A4"/>
    <w:rsid w:val="00C96AAA"/>
    <w:rsid w:val="00C96C12"/>
    <w:rsid w:val="00C96EB0"/>
    <w:rsid w:val="00C96F08"/>
    <w:rsid w:val="00C96FBB"/>
    <w:rsid w:val="00C970DC"/>
    <w:rsid w:val="00C971EC"/>
    <w:rsid w:val="00C975FA"/>
    <w:rsid w:val="00C9763B"/>
    <w:rsid w:val="00C97648"/>
    <w:rsid w:val="00C9765D"/>
    <w:rsid w:val="00C978EA"/>
    <w:rsid w:val="00C9797A"/>
    <w:rsid w:val="00C97A09"/>
    <w:rsid w:val="00C97D8E"/>
    <w:rsid w:val="00C97EA2"/>
    <w:rsid w:val="00CA009A"/>
    <w:rsid w:val="00CA039A"/>
    <w:rsid w:val="00CA0484"/>
    <w:rsid w:val="00CA0C1D"/>
    <w:rsid w:val="00CA0C3E"/>
    <w:rsid w:val="00CA0DB2"/>
    <w:rsid w:val="00CA1262"/>
    <w:rsid w:val="00CA1351"/>
    <w:rsid w:val="00CA147E"/>
    <w:rsid w:val="00CA14DC"/>
    <w:rsid w:val="00CA160C"/>
    <w:rsid w:val="00CA1619"/>
    <w:rsid w:val="00CA1C91"/>
    <w:rsid w:val="00CA2102"/>
    <w:rsid w:val="00CA2129"/>
    <w:rsid w:val="00CA22C1"/>
    <w:rsid w:val="00CA2347"/>
    <w:rsid w:val="00CA23D2"/>
    <w:rsid w:val="00CA24AA"/>
    <w:rsid w:val="00CA25C3"/>
    <w:rsid w:val="00CA267F"/>
    <w:rsid w:val="00CA28FC"/>
    <w:rsid w:val="00CA2B17"/>
    <w:rsid w:val="00CA2B3A"/>
    <w:rsid w:val="00CA2BE5"/>
    <w:rsid w:val="00CA2E73"/>
    <w:rsid w:val="00CA2F86"/>
    <w:rsid w:val="00CA3041"/>
    <w:rsid w:val="00CA304F"/>
    <w:rsid w:val="00CA3113"/>
    <w:rsid w:val="00CA32B4"/>
    <w:rsid w:val="00CA38AC"/>
    <w:rsid w:val="00CA38BC"/>
    <w:rsid w:val="00CA39C1"/>
    <w:rsid w:val="00CA3A16"/>
    <w:rsid w:val="00CA3C42"/>
    <w:rsid w:val="00CA3C6A"/>
    <w:rsid w:val="00CA3E66"/>
    <w:rsid w:val="00CA3E92"/>
    <w:rsid w:val="00CA3F43"/>
    <w:rsid w:val="00CA3FD5"/>
    <w:rsid w:val="00CA421E"/>
    <w:rsid w:val="00CA4542"/>
    <w:rsid w:val="00CA46D1"/>
    <w:rsid w:val="00CA4755"/>
    <w:rsid w:val="00CA4784"/>
    <w:rsid w:val="00CA4797"/>
    <w:rsid w:val="00CA498E"/>
    <w:rsid w:val="00CA4D43"/>
    <w:rsid w:val="00CA52A4"/>
    <w:rsid w:val="00CA52ED"/>
    <w:rsid w:val="00CA5306"/>
    <w:rsid w:val="00CA564A"/>
    <w:rsid w:val="00CA580C"/>
    <w:rsid w:val="00CA58CA"/>
    <w:rsid w:val="00CA5A09"/>
    <w:rsid w:val="00CA5CAE"/>
    <w:rsid w:val="00CA5D50"/>
    <w:rsid w:val="00CA5DF7"/>
    <w:rsid w:val="00CA611F"/>
    <w:rsid w:val="00CA631F"/>
    <w:rsid w:val="00CA6482"/>
    <w:rsid w:val="00CA6597"/>
    <w:rsid w:val="00CA6977"/>
    <w:rsid w:val="00CA6B85"/>
    <w:rsid w:val="00CA6C75"/>
    <w:rsid w:val="00CA6DB4"/>
    <w:rsid w:val="00CA6EFC"/>
    <w:rsid w:val="00CA6F9E"/>
    <w:rsid w:val="00CA74E4"/>
    <w:rsid w:val="00CA74EE"/>
    <w:rsid w:val="00CA7DFD"/>
    <w:rsid w:val="00CA7F32"/>
    <w:rsid w:val="00CB0362"/>
    <w:rsid w:val="00CB03D0"/>
    <w:rsid w:val="00CB0554"/>
    <w:rsid w:val="00CB05BD"/>
    <w:rsid w:val="00CB06CD"/>
    <w:rsid w:val="00CB0716"/>
    <w:rsid w:val="00CB0764"/>
    <w:rsid w:val="00CB0841"/>
    <w:rsid w:val="00CB099E"/>
    <w:rsid w:val="00CB0D30"/>
    <w:rsid w:val="00CB115F"/>
    <w:rsid w:val="00CB11EE"/>
    <w:rsid w:val="00CB12EC"/>
    <w:rsid w:val="00CB17E3"/>
    <w:rsid w:val="00CB18D4"/>
    <w:rsid w:val="00CB18E3"/>
    <w:rsid w:val="00CB1DC5"/>
    <w:rsid w:val="00CB2123"/>
    <w:rsid w:val="00CB2238"/>
    <w:rsid w:val="00CB254C"/>
    <w:rsid w:val="00CB258E"/>
    <w:rsid w:val="00CB2AF6"/>
    <w:rsid w:val="00CB2CDD"/>
    <w:rsid w:val="00CB2D9D"/>
    <w:rsid w:val="00CB2FA0"/>
    <w:rsid w:val="00CB35B7"/>
    <w:rsid w:val="00CB3613"/>
    <w:rsid w:val="00CB3690"/>
    <w:rsid w:val="00CB39B0"/>
    <w:rsid w:val="00CB3A5A"/>
    <w:rsid w:val="00CB3CAB"/>
    <w:rsid w:val="00CB4078"/>
    <w:rsid w:val="00CB45A0"/>
    <w:rsid w:val="00CB488B"/>
    <w:rsid w:val="00CB4C02"/>
    <w:rsid w:val="00CB4DE7"/>
    <w:rsid w:val="00CB4ED3"/>
    <w:rsid w:val="00CB4EDC"/>
    <w:rsid w:val="00CB4F62"/>
    <w:rsid w:val="00CB540F"/>
    <w:rsid w:val="00CB57E0"/>
    <w:rsid w:val="00CB59DE"/>
    <w:rsid w:val="00CB5AAB"/>
    <w:rsid w:val="00CB5ABE"/>
    <w:rsid w:val="00CB5C1F"/>
    <w:rsid w:val="00CB5F51"/>
    <w:rsid w:val="00CB602C"/>
    <w:rsid w:val="00CB610C"/>
    <w:rsid w:val="00CB61DD"/>
    <w:rsid w:val="00CB6595"/>
    <w:rsid w:val="00CB6679"/>
    <w:rsid w:val="00CB66D1"/>
    <w:rsid w:val="00CB680B"/>
    <w:rsid w:val="00CB6839"/>
    <w:rsid w:val="00CB6875"/>
    <w:rsid w:val="00CB6968"/>
    <w:rsid w:val="00CB6CB6"/>
    <w:rsid w:val="00CB742C"/>
    <w:rsid w:val="00CB78BC"/>
    <w:rsid w:val="00CB7C52"/>
    <w:rsid w:val="00CB7C9C"/>
    <w:rsid w:val="00CB7D1E"/>
    <w:rsid w:val="00CB7DB8"/>
    <w:rsid w:val="00CB7FD3"/>
    <w:rsid w:val="00CC04E1"/>
    <w:rsid w:val="00CC05BD"/>
    <w:rsid w:val="00CC05C9"/>
    <w:rsid w:val="00CC06B0"/>
    <w:rsid w:val="00CC07B8"/>
    <w:rsid w:val="00CC08ED"/>
    <w:rsid w:val="00CC0A66"/>
    <w:rsid w:val="00CC0AC6"/>
    <w:rsid w:val="00CC0CE9"/>
    <w:rsid w:val="00CC0DA5"/>
    <w:rsid w:val="00CC0EF8"/>
    <w:rsid w:val="00CC0F56"/>
    <w:rsid w:val="00CC1112"/>
    <w:rsid w:val="00CC1379"/>
    <w:rsid w:val="00CC1741"/>
    <w:rsid w:val="00CC1F28"/>
    <w:rsid w:val="00CC2094"/>
    <w:rsid w:val="00CC214F"/>
    <w:rsid w:val="00CC2246"/>
    <w:rsid w:val="00CC2493"/>
    <w:rsid w:val="00CC264A"/>
    <w:rsid w:val="00CC29C1"/>
    <w:rsid w:val="00CC2A97"/>
    <w:rsid w:val="00CC2DEF"/>
    <w:rsid w:val="00CC2DF7"/>
    <w:rsid w:val="00CC2E3E"/>
    <w:rsid w:val="00CC3162"/>
    <w:rsid w:val="00CC3554"/>
    <w:rsid w:val="00CC35A4"/>
    <w:rsid w:val="00CC35CF"/>
    <w:rsid w:val="00CC3655"/>
    <w:rsid w:val="00CC367A"/>
    <w:rsid w:val="00CC3979"/>
    <w:rsid w:val="00CC3C91"/>
    <w:rsid w:val="00CC3DDC"/>
    <w:rsid w:val="00CC3E2F"/>
    <w:rsid w:val="00CC3E8B"/>
    <w:rsid w:val="00CC3EC7"/>
    <w:rsid w:val="00CC3ECA"/>
    <w:rsid w:val="00CC40B6"/>
    <w:rsid w:val="00CC4294"/>
    <w:rsid w:val="00CC4354"/>
    <w:rsid w:val="00CC43AC"/>
    <w:rsid w:val="00CC4595"/>
    <w:rsid w:val="00CC45D8"/>
    <w:rsid w:val="00CC4622"/>
    <w:rsid w:val="00CC4694"/>
    <w:rsid w:val="00CC47CF"/>
    <w:rsid w:val="00CC4B61"/>
    <w:rsid w:val="00CC4FF8"/>
    <w:rsid w:val="00CC5085"/>
    <w:rsid w:val="00CC50B2"/>
    <w:rsid w:val="00CC522B"/>
    <w:rsid w:val="00CC5349"/>
    <w:rsid w:val="00CC540F"/>
    <w:rsid w:val="00CC54CF"/>
    <w:rsid w:val="00CC5535"/>
    <w:rsid w:val="00CC55E0"/>
    <w:rsid w:val="00CC5A1C"/>
    <w:rsid w:val="00CC5ADD"/>
    <w:rsid w:val="00CC5DC3"/>
    <w:rsid w:val="00CC6209"/>
    <w:rsid w:val="00CC631A"/>
    <w:rsid w:val="00CC6492"/>
    <w:rsid w:val="00CC6601"/>
    <w:rsid w:val="00CC67B2"/>
    <w:rsid w:val="00CC6D3A"/>
    <w:rsid w:val="00CC6FD0"/>
    <w:rsid w:val="00CC703E"/>
    <w:rsid w:val="00CC71D7"/>
    <w:rsid w:val="00CC7223"/>
    <w:rsid w:val="00CC72A9"/>
    <w:rsid w:val="00CC746D"/>
    <w:rsid w:val="00CC7655"/>
    <w:rsid w:val="00CC772D"/>
    <w:rsid w:val="00CC7817"/>
    <w:rsid w:val="00CC7BB0"/>
    <w:rsid w:val="00CC7C83"/>
    <w:rsid w:val="00CC7D2E"/>
    <w:rsid w:val="00CC7F05"/>
    <w:rsid w:val="00CC7F2C"/>
    <w:rsid w:val="00CD028C"/>
    <w:rsid w:val="00CD033C"/>
    <w:rsid w:val="00CD073F"/>
    <w:rsid w:val="00CD081D"/>
    <w:rsid w:val="00CD0A77"/>
    <w:rsid w:val="00CD0C52"/>
    <w:rsid w:val="00CD0C5B"/>
    <w:rsid w:val="00CD0D6B"/>
    <w:rsid w:val="00CD0DD5"/>
    <w:rsid w:val="00CD0E16"/>
    <w:rsid w:val="00CD10AC"/>
    <w:rsid w:val="00CD10F1"/>
    <w:rsid w:val="00CD110D"/>
    <w:rsid w:val="00CD1210"/>
    <w:rsid w:val="00CD129E"/>
    <w:rsid w:val="00CD136D"/>
    <w:rsid w:val="00CD1610"/>
    <w:rsid w:val="00CD1626"/>
    <w:rsid w:val="00CD19E0"/>
    <w:rsid w:val="00CD1A63"/>
    <w:rsid w:val="00CD1AC6"/>
    <w:rsid w:val="00CD1B2F"/>
    <w:rsid w:val="00CD1B32"/>
    <w:rsid w:val="00CD1C9E"/>
    <w:rsid w:val="00CD1EEC"/>
    <w:rsid w:val="00CD233F"/>
    <w:rsid w:val="00CD23B7"/>
    <w:rsid w:val="00CD246E"/>
    <w:rsid w:val="00CD24D0"/>
    <w:rsid w:val="00CD253A"/>
    <w:rsid w:val="00CD28A5"/>
    <w:rsid w:val="00CD2B4F"/>
    <w:rsid w:val="00CD2B91"/>
    <w:rsid w:val="00CD2CD6"/>
    <w:rsid w:val="00CD2D39"/>
    <w:rsid w:val="00CD307A"/>
    <w:rsid w:val="00CD3364"/>
    <w:rsid w:val="00CD33C9"/>
    <w:rsid w:val="00CD3417"/>
    <w:rsid w:val="00CD346D"/>
    <w:rsid w:val="00CD3473"/>
    <w:rsid w:val="00CD34CE"/>
    <w:rsid w:val="00CD37BA"/>
    <w:rsid w:val="00CD3923"/>
    <w:rsid w:val="00CD3BC6"/>
    <w:rsid w:val="00CD3E4D"/>
    <w:rsid w:val="00CD401D"/>
    <w:rsid w:val="00CD40D9"/>
    <w:rsid w:val="00CD41EE"/>
    <w:rsid w:val="00CD41F5"/>
    <w:rsid w:val="00CD421F"/>
    <w:rsid w:val="00CD425F"/>
    <w:rsid w:val="00CD4314"/>
    <w:rsid w:val="00CD459F"/>
    <w:rsid w:val="00CD4751"/>
    <w:rsid w:val="00CD47AF"/>
    <w:rsid w:val="00CD4920"/>
    <w:rsid w:val="00CD4CB9"/>
    <w:rsid w:val="00CD4DFF"/>
    <w:rsid w:val="00CD4EF7"/>
    <w:rsid w:val="00CD510B"/>
    <w:rsid w:val="00CD521E"/>
    <w:rsid w:val="00CD5283"/>
    <w:rsid w:val="00CD529F"/>
    <w:rsid w:val="00CD5455"/>
    <w:rsid w:val="00CD5686"/>
    <w:rsid w:val="00CD5906"/>
    <w:rsid w:val="00CD59B5"/>
    <w:rsid w:val="00CD5A81"/>
    <w:rsid w:val="00CD5BB5"/>
    <w:rsid w:val="00CD5BDA"/>
    <w:rsid w:val="00CD5DF8"/>
    <w:rsid w:val="00CD5F6E"/>
    <w:rsid w:val="00CD6309"/>
    <w:rsid w:val="00CD649A"/>
    <w:rsid w:val="00CD64E8"/>
    <w:rsid w:val="00CD65BB"/>
    <w:rsid w:val="00CD65FD"/>
    <w:rsid w:val="00CD6830"/>
    <w:rsid w:val="00CD6D43"/>
    <w:rsid w:val="00CD6E39"/>
    <w:rsid w:val="00CD6E52"/>
    <w:rsid w:val="00CD6F61"/>
    <w:rsid w:val="00CD7113"/>
    <w:rsid w:val="00CD7130"/>
    <w:rsid w:val="00CD7156"/>
    <w:rsid w:val="00CD734D"/>
    <w:rsid w:val="00CD778A"/>
    <w:rsid w:val="00CD7B81"/>
    <w:rsid w:val="00CD7BD1"/>
    <w:rsid w:val="00CE0015"/>
    <w:rsid w:val="00CE0242"/>
    <w:rsid w:val="00CE0720"/>
    <w:rsid w:val="00CE078B"/>
    <w:rsid w:val="00CE081E"/>
    <w:rsid w:val="00CE0849"/>
    <w:rsid w:val="00CE097A"/>
    <w:rsid w:val="00CE0CA6"/>
    <w:rsid w:val="00CE0EEF"/>
    <w:rsid w:val="00CE0F04"/>
    <w:rsid w:val="00CE1016"/>
    <w:rsid w:val="00CE10FD"/>
    <w:rsid w:val="00CE1150"/>
    <w:rsid w:val="00CE1690"/>
    <w:rsid w:val="00CE1748"/>
    <w:rsid w:val="00CE1761"/>
    <w:rsid w:val="00CE17C3"/>
    <w:rsid w:val="00CE1E08"/>
    <w:rsid w:val="00CE25D4"/>
    <w:rsid w:val="00CE28E3"/>
    <w:rsid w:val="00CE2AE1"/>
    <w:rsid w:val="00CE2B04"/>
    <w:rsid w:val="00CE2C45"/>
    <w:rsid w:val="00CE2C61"/>
    <w:rsid w:val="00CE2C8D"/>
    <w:rsid w:val="00CE2D68"/>
    <w:rsid w:val="00CE2DC6"/>
    <w:rsid w:val="00CE2FF2"/>
    <w:rsid w:val="00CE30A2"/>
    <w:rsid w:val="00CE3249"/>
    <w:rsid w:val="00CE32A9"/>
    <w:rsid w:val="00CE32CF"/>
    <w:rsid w:val="00CE337A"/>
    <w:rsid w:val="00CE363C"/>
    <w:rsid w:val="00CE3C39"/>
    <w:rsid w:val="00CE3C81"/>
    <w:rsid w:val="00CE3D88"/>
    <w:rsid w:val="00CE3E28"/>
    <w:rsid w:val="00CE3EBA"/>
    <w:rsid w:val="00CE3F16"/>
    <w:rsid w:val="00CE4000"/>
    <w:rsid w:val="00CE427D"/>
    <w:rsid w:val="00CE441F"/>
    <w:rsid w:val="00CE4497"/>
    <w:rsid w:val="00CE44A4"/>
    <w:rsid w:val="00CE47C6"/>
    <w:rsid w:val="00CE4C31"/>
    <w:rsid w:val="00CE4E98"/>
    <w:rsid w:val="00CE4F7D"/>
    <w:rsid w:val="00CE512F"/>
    <w:rsid w:val="00CE537A"/>
    <w:rsid w:val="00CE5560"/>
    <w:rsid w:val="00CE55DE"/>
    <w:rsid w:val="00CE594B"/>
    <w:rsid w:val="00CE59A1"/>
    <w:rsid w:val="00CE5A0E"/>
    <w:rsid w:val="00CE5BA2"/>
    <w:rsid w:val="00CE5CFC"/>
    <w:rsid w:val="00CE5D38"/>
    <w:rsid w:val="00CE605F"/>
    <w:rsid w:val="00CE612A"/>
    <w:rsid w:val="00CE6163"/>
    <w:rsid w:val="00CE61B2"/>
    <w:rsid w:val="00CE66A8"/>
    <w:rsid w:val="00CE66F2"/>
    <w:rsid w:val="00CE6BE5"/>
    <w:rsid w:val="00CE6E53"/>
    <w:rsid w:val="00CE6F66"/>
    <w:rsid w:val="00CE71BE"/>
    <w:rsid w:val="00CE7388"/>
    <w:rsid w:val="00CE73F5"/>
    <w:rsid w:val="00CE7A12"/>
    <w:rsid w:val="00CE7AD0"/>
    <w:rsid w:val="00CE7BB0"/>
    <w:rsid w:val="00CE7EBB"/>
    <w:rsid w:val="00CE7FE9"/>
    <w:rsid w:val="00CF01EB"/>
    <w:rsid w:val="00CF02B4"/>
    <w:rsid w:val="00CF0328"/>
    <w:rsid w:val="00CF038B"/>
    <w:rsid w:val="00CF0497"/>
    <w:rsid w:val="00CF04BE"/>
    <w:rsid w:val="00CF0A29"/>
    <w:rsid w:val="00CF0C8E"/>
    <w:rsid w:val="00CF0CFC"/>
    <w:rsid w:val="00CF0D3F"/>
    <w:rsid w:val="00CF0F6A"/>
    <w:rsid w:val="00CF0F77"/>
    <w:rsid w:val="00CF1081"/>
    <w:rsid w:val="00CF1090"/>
    <w:rsid w:val="00CF1154"/>
    <w:rsid w:val="00CF11A1"/>
    <w:rsid w:val="00CF1226"/>
    <w:rsid w:val="00CF14E2"/>
    <w:rsid w:val="00CF1665"/>
    <w:rsid w:val="00CF16F2"/>
    <w:rsid w:val="00CF18CB"/>
    <w:rsid w:val="00CF1A52"/>
    <w:rsid w:val="00CF1C52"/>
    <w:rsid w:val="00CF1FAB"/>
    <w:rsid w:val="00CF1FF0"/>
    <w:rsid w:val="00CF201E"/>
    <w:rsid w:val="00CF2580"/>
    <w:rsid w:val="00CF278B"/>
    <w:rsid w:val="00CF282A"/>
    <w:rsid w:val="00CF2A4F"/>
    <w:rsid w:val="00CF2A8C"/>
    <w:rsid w:val="00CF2C4F"/>
    <w:rsid w:val="00CF2FD1"/>
    <w:rsid w:val="00CF3566"/>
    <w:rsid w:val="00CF36C7"/>
    <w:rsid w:val="00CF36D2"/>
    <w:rsid w:val="00CF3901"/>
    <w:rsid w:val="00CF3BE7"/>
    <w:rsid w:val="00CF3C0B"/>
    <w:rsid w:val="00CF3D88"/>
    <w:rsid w:val="00CF3D8D"/>
    <w:rsid w:val="00CF3F56"/>
    <w:rsid w:val="00CF4010"/>
    <w:rsid w:val="00CF40AD"/>
    <w:rsid w:val="00CF41A6"/>
    <w:rsid w:val="00CF45A8"/>
    <w:rsid w:val="00CF4714"/>
    <w:rsid w:val="00CF498E"/>
    <w:rsid w:val="00CF4BE0"/>
    <w:rsid w:val="00CF4BF6"/>
    <w:rsid w:val="00CF4BFE"/>
    <w:rsid w:val="00CF4EAD"/>
    <w:rsid w:val="00CF4FB5"/>
    <w:rsid w:val="00CF509B"/>
    <w:rsid w:val="00CF51F4"/>
    <w:rsid w:val="00CF526F"/>
    <w:rsid w:val="00CF52E0"/>
    <w:rsid w:val="00CF53FE"/>
    <w:rsid w:val="00CF5797"/>
    <w:rsid w:val="00CF57F8"/>
    <w:rsid w:val="00CF58C6"/>
    <w:rsid w:val="00CF58CA"/>
    <w:rsid w:val="00CF5963"/>
    <w:rsid w:val="00CF5A4B"/>
    <w:rsid w:val="00CF5C0B"/>
    <w:rsid w:val="00CF5C37"/>
    <w:rsid w:val="00CF5ED0"/>
    <w:rsid w:val="00CF5F12"/>
    <w:rsid w:val="00CF5FD0"/>
    <w:rsid w:val="00CF5FEB"/>
    <w:rsid w:val="00CF602C"/>
    <w:rsid w:val="00CF6083"/>
    <w:rsid w:val="00CF617E"/>
    <w:rsid w:val="00CF62E1"/>
    <w:rsid w:val="00CF6343"/>
    <w:rsid w:val="00CF6651"/>
    <w:rsid w:val="00CF69C8"/>
    <w:rsid w:val="00CF6A12"/>
    <w:rsid w:val="00CF6A36"/>
    <w:rsid w:val="00CF6D12"/>
    <w:rsid w:val="00CF6E13"/>
    <w:rsid w:val="00CF7114"/>
    <w:rsid w:val="00CF7204"/>
    <w:rsid w:val="00CF75D1"/>
    <w:rsid w:val="00CF76CC"/>
    <w:rsid w:val="00CF792B"/>
    <w:rsid w:val="00CF798A"/>
    <w:rsid w:val="00CF79FE"/>
    <w:rsid w:val="00CF7AB5"/>
    <w:rsid w:val="00CF7BC1"/>
    <w:rsid w:val="00CF7F0B"/>
    <w:rsid w:val="00D003AB"/>
    <w:rsid w:val="00D0053F"/>
    <w:rsid w:val="00D005A9"/>
    <w:rsid w:val="00D00908"/>
    <w:rsid w:val="00D009A8"/>
    <w:rsid w:val="00D00BD6"/>
    <w:rsid w:val="00D00C40"/>
    <w:rsid w:val="00D00CAD"/>
    <w:rsid w:val="00D00CCE"/>
    <w:rsid w:val="00D00D3D"/>
    <w:rsid w:val="00D00ED6"/>
    <w:rsid w:val="00D013A6"/>
    <w:rsid w:val="00D01548"/>
    <w:rsid w:val="00D0178A"/>
    <w:rsid w:val="00D017BF"/>
    <w:rsid w:val="00D019A7"/>
    <w:rsid w:val="00D019B5"/>
    <w:rsid w:val="00D01A13"/>
    <w:rsid w:val="00D01A90"/>
    <w:rsid w:val="00D01CA2"/>
    <w:rsid w:val="00D01CA9"/>
    <w:rsid w:val="00D01E7D"/>
    <w:rsid w:val="00D01F14"/>
    <w:rsid w:val="00D01FEE"/>
    <w:rsid w:val="00D0213E"/>
    <w:rsid w:val="00D02150"/>
    <w:rsid w:val="00D02426"/>
    <w:rsid w:val="00D0262E"/>
    <w:rsid w:val="00D02657"/>
    <w:rsid w:val="00D02846"/>
    <w:rsid w:val="00D02F5C"/>
    <w:rsid w:val="00D02F63"/>
    <w:rsid w:val="00D034FF"/>
    <w:rsid w:val="00D03AEE"/>
    <w:rsid w:val="00D03D47"/>
    <w:rsid w:val="00D03D50"/>
    <w:rsid w:val="00D03DBC"/>
    <w:rsid w:val="00D03FAB"/>
    <w:rsid w:val="00D0404E"/>
    <w:rsid w:val="00D041BF"/>
    <w:rsid w:val="00D042EF"/>
    <w:rsid w:val="00D04314"/>
    <w:rsid w:val="00D0472B"/>
    <w:rsid w:val="00D04B09"/>
    <w:rsid w:val="00D04CE4"/>
    <w:rsid w:val="00D04D91"/>
    <w:rsid w:val="00D04F0A"/>
    <w:rsid w:val="00D050F5"/>
    <w:rsid w:val="00D05373"/>
    <w:rsid w:val="00D054BE"/>
    <w:rsid w:val="00D056EB"/>
    <w:rsid w:val="00D0571B"/>
    <w:rsid w:val="00D05773"/>
    <w:rsid w:val="00D05915"/>
    <w:rsid w:val="00D05AAA"/>
    <w:rsid w:val="00D05AF5"/>
    <w:rsid w:val="00D05B22"/>
    <w:rsid w:val="00D05CE2"/>
    <w:rsid w:val="00D05E03"/>
    <w:rsid w:val="00D05F6E"/>
    <w:rsid w:val="00D062EF"/>
    <w:rsid w:val="00D063F5"/>
    <w:rsid w:val="00D0644F"/>
    <w:rsid w:val="00D064C4"/>
    <w:rsid w:val="00D065E2"/>
    <w:rsid w:val="00D06729"/>
    <w:rsid w:val="00D067DA"/>
    <w:rsid w:val="00D06966"/>
    <w:rsid w:val="00D06A82"/>
    <w:rsid w:val="00D06C8E"/>
    <w:rsid w:val="00D06CDB"/>
    <w:rsid w:val="00D06DE1"/>
    <w:rsid w:val="00D06E0B"/>
    <w:rsid w:val="00D06F77"/>
    <w:rsid w:val="00D06FD8"/>
    <w:rsid w:val="00D070FF"/>
    <w:rsid w:val="00D07223"/>
    <w:rsid w:val="00D07289"/>
    <w:rsid w:val="00D074BE"/>
    <w:rsid w:val="00D07614"/>
    <w:rsid w:val="00D07D4A"/>
    <w:rsid w:val="00D07D6E"/>
    <w:rsid w:val="00D07EC5"/>
    <w:rsid w:val="00D102D0"/>
    <w:rsid w:val="00D102E2"/>
    <w:rsid w:val="00D10574"/>
    <w:rsid w:val="00D1058C"/>
    <w:rsid w:val="00D10724"/>
    <w:rsid w:val="00D109C3"/>
    <w:rsid w:val="00D10A6F"/>
    <w:rsid w:val="00D10B5D"/>
    <w:rsid w:val="00D10EA8"/>
    <w:rsid w:val="00D111B4"/>
    <w:rsid w:val="00D1150E"/>
    <w:rsid w:val="00D115A0"/>
    <w:rsid w:val="00D115CB"/>
    <w:rsid w:val="00D115D6"/>
    <w:rsid w:val="00D1167C"/>
    <w:rsid w:val="00D117FE"/>
    <w:rsid w:val="00D11BCD"/>
    <w:rsid w:val="00D11C05"/>
    <w:rsid w:val="00D11CB8"/>
    <w:rsid w:val="00D11ECC"/>
    <w:rsid w:val="00D11F42"/>
    <w:rsid w:val="00D12121"/>
    <w:rsid w:val="00D121FD"/>
    <w:rsid w:val="00D12342"/>
    <w:rsid w:val="00D124EC"/>
    <w:rsid w:val="00D126E4"/>
    <w:rsid w:val="00D12837"/>
    <w:rsid w:val="00D12B24"/>
    <w:rsid w:val="00D12B65"/>
    <w:rsid w:val="00D12C53"/>
    <w:rsid w:val="00D132CF"/>
    <w:rsid w:val="00D134A8"/>
    <w:rsid w:val="00D137A7"/>
    <w:rsid w:val="00D1383C"/>
    <w:rsid w:val="00D139BB"/>
    <w:rsid w:val="00D13D0B"/>
    <w:rsid w:val="00D140FA"/>
    <w:rsid w:val="00D14180"/>
    <w:rsid w:val="00D142C1"/>
    <w:rsid w:val="00D14344"/>
    <w:rsid w:val="00D143AF"/>
    <w:rsid w:val="00D143CB"/>
    <w:rsid w:val="00D1443C"/>
    <w:rsid w:val="00D14460"/>
    <w:rsid w:val="00D1464B"/>
    <w:rsid w:val="00D1472E"/>
    <w:rsid w:val="00D14893"/>
    <w:rsid w:val="00D14994"/>
    <w:rsid w:val="00D14B9E"/>
    <w:rsid w:val="00D14C1E"/>
    <w:rsid w:val="00D14D0D"/>
    <w:rsid w:val="00D14D9B"/>
    <w:rsid w:val="00D14E78"/>
    <w:rsid w:val="00D14EBB"/>
    <w:rsid w:val="00D15573"/>
    <w:rsid w:val="00D15589"/>
    <w:rsid w:val="00D15663"/>
    <w:rsid w:val="00D1573B"/>
    <w:rsid w:val="00D157AF"/>
    <w:rsid w:val="00D15843"/>
    <w:rsid w:val="00D158CE"/>
    <w:rsid w:val="00D15A1F"/>
    <w:rsid w:val="00D15D33"/>
    <w:rsid w:val="00D15D77"/>
    <w:rsid w:val="00D15D87"/>
    <w:rsid w:val="00D15FD4"/>
    <w:rsid w:val="00D16050"/>
    <w:rsid w:val="00D16155"/>
    <w:rsid w:val="00D1618D"/>
    <w:rsid w:val="00D1622E"/>
    <w:rsid w:val="00D167A0"/>
    <w:rsid w:val="00D167E5"/>
    <w:rsid w:val="00D16B26"/>
    <w:rsid w:val="00D16BAC"/>
    <w:rsid w:val="00D16ED1"/>
    <w:rsid w:val="00D1709D"/>
    <w:rsid w:val="00D1716B"/>
    <w:rsid w:val="00D174B8"/>
    <w:rsid w:val="00D1757B"/>
    <w:rsid w:val="00D17822"/>
    <w:rsid w:val="00D17945"/>
    <w:rsid w:val="00D17CA7"/>
    <w:rsid w:val="00D17D57"/>
    <w:rsid w:val="00D17EEA"/>
    <w:rsid w:val="00D20264"/>
    <w:rsid w:val="00D2034B"/>
    <w:rsid w:val="00D20368"/>
    <w:rsid w:val="00D205F7"/>
    <w:rsid w:val="00D2060A"/>
    <w:rsid w:val="00D208B1"/>
    <w:rsid w:val="00D20914"/>
    <w:rsid w:val="00D20D5F"/>
    <w:rsid w:val="00D21144"/>
    <w:rsid w:val="00D217CA"/>
    <w:rsid w:val="00D21976"/>
    <w:rsid w:val="00D21B20"/>
    <w:rsid w:val="00D21D3E"/>
    <w:rsid w:val="00D21DA7"/>
    <w:rsid w:val="00D222A6"/>
    <w:rsid w:val="00D225CE"/>
    <w:rsid w:val="00D227C3"/>
    <w:rsid w:val="00D22877"/>
    <w:rsid w:val="00D22A0D"/>
    <w:rsid w:val="00D22BC2"/>
    <w:rsid w:val="00D22D1B"/>
    <w:rsid w:val="00D22DA5"/>
    <w:rsid w:val="00D23014"/>
    <w:rsid w:val="00D235A5"/>
    <w:rsid w:val="00D23946"/>
    <w:rsid w:val="00D2399D"/>
    <w:rsid w:val="00D23CE3"/>
    <w:rsid w:val="00D23D9D"/>
    <w:rsid w:val="00D23E2F"/>
    <w:rsid w:val="00D23E80"/>
    <w:rsid w:val="00D23FDC"/>
    <w:rsid w:val="00D24159"/>
    <w:rsid w:val="00D241A9"/>
    <w:rsid w:val="00D246A7"/>
    <w:rsid w:val="00D248DF"/>
    <w:rsid w:val="00D24A3F"/>
    <w:rsid w:val="00D24AFE"/>
    <w:rsid w:val="00D24BCC"/>
    <w:rsid w:val="00D24E1B"/>
    <w:rsid w:val="00D24E49"/>
    <w:rsid w:val="00D251D1"/>
    <w:rsid w:val="00D251E3"/>
    <w:rsid w:val="00D25385"/>
    <w:rsid w:val="00D253DE"/>
    <w:rsid w:val="00D25448"/>
    <w:rsid w:val="00D2561F"/>
    <w:rsid w:val="00D25779"/>
    <w:rsid w:val="00D25785"/>
    <w:rsid w:val="00D25A22"/>
    <w:rsid w:val="00D25B85"/>
    <w:rsid w:val="00D25C2F"/>
    <w:rsid w:val="00D25C58"/>
    <w:rsid w:val="00D25E65"/>
    <w:rsid w:val="00D25F53"/>
    <w:rsid w:val="00D25FDB"/>
    <w:rsid w:val="00D260A6"/>
    <w:rsid w:val="00D260D3"/>
    <w:rsid w:val="00D264C3"/>
    <w:rsid w:val="00D2651B"/>
    <w:rsid w:val="00D2654A"/>
    <w:rsid w:val="00D265AE"/>
    <w:rsid w:val="00D266D5"/>
    <w:rsid w:val="00D266EE"/>
    <w:rsid w:val="00D268B4"/>
    <w:rsid w:val="00D269D8"/>
    <w:rsid w:val="00D269F3"/>
    <w:rsid w:val="00D26A13"/>
    <w:rsid w:val="00D26A9A"/>
    <w:rsid w:val="00D26B85"/>
    <w:rsid w:val="00D26CA1"/>
    <w:rsid w:val="00D26D84"/>
    <w:rsid w:val="00D26E07"/>
    <w:rsid w:val="00D26F04"/>
    <w:rsid w:val="00D26F73"/>
    <w:rsid w:val="00D26FF3"/>
    <w:rsid w:val="00D270CC"/>
    <w:rsid w:val="00D27759"/>
    <w:rsid w:val="00D27992"/>
    <w:rsid w:val="00D27D10"/>
    <w:rsid w:val="00D30052"/>
    <w:rsid w:val="00D306C5"/>
    <w:rsid w:val="00D3094F"/>
    <w:rsid w:val="00D30A88"/>
    <w:rsid w:val="00D30C96"/>
    <w:rsid w:val="00D30E4F"/>
    <w:rsid w:val="00D30E7C"/>
    <w:rsid w:val="00D30E80"/>
    <w:rsid w:val="00D31159"/>
    <w:rsid w:val="00D312E2"/>
    <w:rsid w:val="00D31429"/>
    <w:rsid w:val="00D3165E"/>
    <w:rsid w:val="00D316B3"/>
    <w:rsid w:val="00D31B34"/>
    <w:rsid w:val="00D31BF8"/>
    <w:rsid w:val="00D31D24"/>
    <w:rsid w:val="00D31D7D"/>
    <w:rsid w:val="00D31E8E"/>
    <w:rsid w:val="00D31FB2"/>
    <w:rsid w:val="00D3222D"/>
    <w:rsid w:val="00D32260"/>
    <w:rsid w:val="00D3235F"/>
    <w:rsid w:val="00D3247A"/>
    <w:rsid w:val="00D32619"/>
    <w:rsid w:val="00D3261C"/>
    <w:rsid w:val="00D3265D"/>
    <w:rsid w:val="00D3267D"/>
    <w:rsid w:val="00D328E4"/>
    <w:rsid w:val="00D32CB4"/>
    <w:rsid w:val="00D32DCC"/>
    <w:rsid w:val="00D32EA2"/>
    <w:rsid w:val="00D32ED9"/>
    <w:rsid w:val="00D32EDA"/>
    <w:rsid w:val="00D32F56"/>
    <w:rsid w:val="00D33479"/>
    <w:rsid w:val="00D33830"/>
    <w:rsid w:val="00D33B36"/>
    <w:rsid w:val="00D33C6A"/>
    <w:rsid w:val="00D33D7A"/>
    <w:rsid w:val="00D340A8"/>
    <w:rsid w:val="00D34121"/>
    <w:rsid w:val="00D34185"/>
    <w:rsid w:val="00D34415"/>
    <w:rsid w:val="00D34547"/>
    <w:rsid w:val="00D34667"/>
    <w:rsid w:val="00D348A8"/>
    <w:rsid w:val="00D34A94"/>
    <w:rsid w:val="00D34C60"/>
    <w:rsid w:val="00D34DB4"/>
    <w:rsid w:val="00D34E2E"/>
    <w:rsid w:val="00D34E37"/>
    <w:rsid w:val="00D34EA9"/>
    <w:rsid w:val="00D34EAC"/>
    <w:rsid w:val="00D34F2D"/>
    <w:rsid w:val="00D34F66"/>
    <w:rsid w:val="00D35404"/>
    <w:rsid w:val="00D35447"/>
    <w:rsid w:val="00D357F2"/>
    <w:rsid w:val="00D35D9E"/>
    <w:rsid w:val="00D35ED5"/>
    <w:rsid w:val="00D3600F"/>
    <w:rsid w:val="00D36280"/>
    <w:rsid w:val="00D3642B"/>
    <w:rsid w:val="00D36513"/>
    <w:rsid w:val="00D36730"/>
    <w:rsid w:val="00D36787"/>
    <w:rsid w:val="00D36939"/>
    <w:rsid w:val="00D36B2D"/>
    <w:rsid w:val="00D36BAE"/>
    <w:rsid w:val="00D36C05"/>
    <w:rsid w:val="00D36CCA"/>
    <w:rsid w:val="00D36D21"/>
    <w:rsid w:val="00D37026"/>
    <w:rsid w:val="00D3702C"/>
    <w:rsid w:val="00D3709F"/>
    <w:rsid w:val="00D37155"/>
    <w:rsid w:val="00D37163"/>
    <w:rsid w:val="00D3740C"/>
    <w:rsid w:val="00D378F8"/>
    <w:rsid w:val="00D37BB3"/>
    <w:rsid w:val="00D37E18"/>
    <w:rsid w:val="00D4022D"/>
    <w:rsid w:val="00D4039B"/>
    <w:rsid w:val="00D4041B"/>
    <w:rsid w:val="00D40502"/>
    <w:rsid w:val="00D405CD"/>
    <w:rsid w:val="00D40A19"/>
    <w:rsid w:val="00D40AC0"/>
    <w:rsid w:val="00D40ACF"/>
    <w:rsid w:val="00D40D9C"/>
    <w:rsid w:val="00D40E9B"/>
    <w:rsid w:val="00D4105A"/>
    <w:rsid w:val="00D4135E"/>
    <w:rsid w:val="00D41422"/>
    <w:rsid w:val="00D4156B"/>
    <w:rsid w:val="00D4164B"/>
    <w:rsid w:val="00D419D4"/>
    <w:rsid w:val="00D41BC7"/>
    <w:rsid w:val="00D41C74"/>
    <w:rsid w:val="00D41D86"/>
    <w:rsid w:val="00D41DAE"/>
    <w:rsid w:val="00D42291"/>
    <w:rsid w:val="00D42311"/>
    <w:rsid w:val="00D4243A"/>
    <w:rsid w:val="00D42474"/>
    <w:rsid w:val="00D424BD"/>
    <w:rsid w:val="00D4298B"/>
    <w:rsid w:val="00D429F5"/>
    <w:rsid w:val="00D42E4C"/>
    <w:rsid w:val="00D42F28"/>
    <w:rsid w:val="00D43062"/>
    <w:rsid w:val="00D4340A"/>
    <w:rsid w:val="00D434EE"/>
    <w:rsid w:val="00D435A2"/>
    <w:rsid w:val="00D43778"/>
    <w:rsid w:val="00D439F7"/>
    <w:rsid w:val="00D43A47"/>
    <w:rsid w:val="00D43FF7"/>
    <w:rsid w:val="00D440C5"/>
    <w:rsid w:val="00D440D1"/>
    <w:rsid w:val="00D441C3"/>
    <w:rsid w:val="00D44303"/>
    <w:rsid w:val="00D4433B"/>
    <w:rsid w:val="00D44360"/>
    <w:rsid w:val="00D44407"/>
    <w:rsid w:val="00D4465B"/>
    <w:rsid w:val="00D447C1"/>
    <w:rsid w:val="00D4481B"/>
    <w:rsid w:val="00D44860"/>
    <w:rsid w:val="00D44908"/>
    <w:rsid w:val="00D44B53"/>
    <w:rsid w:val="00D44B9A"/>
    <w:rsid w:val="00D44D40"/>
    <w:rsid w:val="00D450CD"/>
    <w:rsid w:val="00D452AA"/>
    <w:rsid w:val="00D4538B"/>
    <w:rsid w:val="00D4550B"/>
    <w:rsid w:val="00D456D9"/>
    <w:rsid w:val="00D4570F"/>
    <w:rsid w:val="00D457B1"/>
    <w:rsid w:val="00D4587F"/>
    <w:rsid w:val="00D45989"/>
    <w:rsid w:val="00D45B08"/>
    <w:rsid w:val="00D45B5B"/>
    <w:rsid w:val="00D45CC0"/>
    <w:rsid w:val="00D45D31"/>
    <w:rsid w:val="00D46046"/>
    <w:rsid w:val="00D46057"/>
    <w:rsid w:val="00D46326"/>
    <w:rsid w:val="00D46421"/>
    <w:rsid w:val="00D46674"/>
    <w:rsid w:val="00D466E0"/>
    <w:rsid w:val="00D466FA"/>
    <w:rsid w:val="00D468C3"/>
    <w:rsid w:val="00D46CC1"/>
    <w:rsid w:val="00D46D50"/>
    <w:rsid w:val="00D46F3B"/>
    <w:rsid w:val="00D472BC"/>
    <w:rsid w:val="00D472C9"/>
    <w:rsid w:val="00D47346"/>
    <w:rsid w:val="00D4744D"/>
    <w:rsid w:val="00D47538"/>
    <w:rsid w:val="00D4781B"/>
    <w:rsid w:val="00D47913"/>
    <w:rsid w:val="00D47A57"/>
    <w:rsid w:val="00D47AA9"/>
    <w:rsid w:val="00D47B6E"/>
    <w:rsid w:val="00D47E94"/>
    <w:rsid w:val="00D50047"/>
    <w:rsid w:val="00D504DD"/>
    <w:rsid w:val="00D50963"/>
    <w:rsid w:val="00D50B2F"/>
    <w:rsid w:val="00D5126C"/>
    <w:rsid w:val="00D512E5"/>
    <w:rsid w:val="00D514F5"/>
    <w:rsid w:val="00D5153B"/>
    <w:rsid w:val="00D515D4"/>
    <w:rsid w:val="00D518A2"/>
    <w:rsid w:val="00D51CC8"/>
    <w:rsid w:val="00D51CDB"/>
    <w:rsid w:val="00D51D64"/>
    <w:rsid w:val="00D51F02"/>
    <w:rsid w:val="00D51F24"/>
    <w:rsid w:val="00D51F7E"/>
    <w:rsid w:val="00D52130"/>
    <w:rsid w:val="00D525B4"/>
    <w:rsid w:val="00D527F0"/>
    <w:rsid w:val="00D5281A"/>
    <w:rsid w:val="00D52C30"/>
    <w:rsid w:val="00D52EBE"/>
    <w:rsid w:val="00D52F5B"/>
    <w:rsid w:val="00D53003"/>
    <w:rsid w:val="00D531D1"/>
    <w:rsid w:val="00D531ED"/>
    <w:rsid w:val="00D533B0"/>
    <w:rsid w:val="00D533FA"/>
    <w:rsid w:val="00D53721"/>
    <w:rsid w:val="00D537A1"/>
    <w:rsid w:val="00D5397C"/>
    <w:rsid w:val="00D53A77"/>
    <w:rsid w:val="00D53B4B"/>
    <w:rsid w:val="00D53ED5"/>
    <w:rsid w:val="00D540D4"/>
    <w:rsid w:val="00D543D2"/>
    <w:rsid w:val="00D54499"/>
    <w:rsid w:val="00D5456A"/>
    <w:rsid w:val="00D54673"/>
    <w:rsid w:val="00D54924"/>
    <w:rsid w:val="00D54E93"/>
    <w:rsid w:val="00D550E8"/>
    <w:rsid w:val="00D55284"/>
    <w:rsid w:val="00D552B8"/>
    <w:rsid w:val="00D55438"/>
    <w:rsid w:val="00D55578"/>
    <w:rsid w:val="00D556DE"/>
    <w:rsid w:val="00D557CA"/>
    <w:rsid w:val="00D559C8"/>
    <w:rsid w:val="00D55A7B"/>
    <w:rsid w:val="00D55B84"/>
    <w:rsid w:val="00D55EB3"/>
    <w:rsid w:val="00D561BC"/>
    <w:rsid w:val="00D561CC"/>
    <w:rsid w:val="00D561EB"/>
    <w:rsid w:val="00D562DE"/>
    <w:rsid w:val="00D56486"/>
    <w:rsid w:val="00D56511"/>
    <w:rsid w:val="00D565B3"/>
    <w:rsid w:val="00D565E3"/>
    <w:rsid w:val="00D56995"/>
    <w:rsid w:val="00D56C58"/>
    <w:rsid w:val="00D56EC7"/>
    <w:rsid w:val="00D56F2B"/>
    <w:rsid w:val="00D56F61"/>
    <w:rsid w:val="00D571C5"/>
    <w:rsid w:val="00D571D2"/>
    <w:rsid w:val="00D576F7"/>
    <w:rsid w:val="00D5796F"/>
    <w:rsid w:val="00D57BE2"/>
    <w:rsid w:val="00D57C59"/>
    <w:rsid w:val="00D57C70"/>
    <w:rsid w:val="00D57C81"/>
    <w:rsid w:val="00D57EFE"/>
    <w:rsid w:val="00D6040D"/>
    <w:rsid w:val="00D60430"/>
    <w:rsid w:val="00D605BF"/>
    <w:rsid w:val="00D607A6"/>
    <w:rsid w:val="00D608EA"/>
    <w:rsid w:val="00D60BB7"/>
    <w:rsid w:val="00D60F14"/>
    <w:rsid w:val="00D610D4"/>
    <w:rsid w:val="00D6168B"/>
    <w:rsid w:val="00D61700"/>
    <w:rsid w:val="00D61882"/>
    <w:rsid w:val="00D61A69"/>
    <w:rsid w:val="00D61AC9"/>
    <w:rsid w:val="00D61B99"/>
    <w:rsid w:val="00D61C50"/>
    <w:rsid w:val="00D61EF8"/>
    <w:rsid w:val="00D61F0C"/>
    <w:rsid w:val="00D61FB2"/>
    <w:rsid w:val="00D6218B"/>
    <w:rsid w:val="00D6248B"/>
    <w:rsid w:val="00D62861"/>
    <w:rsid w:val="00D62C39"/>
    <w:rsid w:val="00D62EBB"/>
    <w:rsid w:val="00D631AC"/>
    <w:rsid w:val="00D63211"/>
    <w:rsid w:val="00D6321D"/>
    <w:rsid w:val="00D6324E"/>
    <w:rsid w:val="00D637D2"/>
    <w:rsid w:val="00D63904"/>
    <w:rsid w:val="00D63A43"/>
    <w:rsid w:val="00D63A63"/>
    <w:rsid w:val="00D63BEC"/>
    <w:rsid w:val="00D63C10"/>
    <w:rsid w:val="00D63C54"/>
    <w:rsid w:val="00D63DFD"/>
    <w:rsid w:val="00D63E63"/>
    <w:rsid w:val="00D64209"/>
    <w:rsid w:val="00D64576"/>
    <w:rsid w:val="00D64683"/>
    <w:rsid w:val="00D64B80"/>
    <w:rsid w:val="00D64CB6"/>
    <w:rsid w:val="00D6507E"/>
    <w:rsid w:val="00D6516D"/>
    <w:rsid w:val="00D651E6"/>
    <w:rsid w:val="00D65350"/>
    <w:rsid w:val="00D654DB"/>
    <w:rsid w:val="00D65514"/>
    <w:rsid w:val="00D656C0"/>
    <w:rsid w:val="00D65779"/>
    <w:rsid w:val="00D658A6"/>
    <w:rsid w:val="00D658E9"/>
    <w:rsid w:val="00D658F3"/>
    <w:rsid w:val="00D659D6"/>
    <w:rsid w:val="00D65A5C"/>
    <w:rsid w:val="00D65E69"/>
    <w:rsid w:val="00D65F39"/>
    <w:rsid w:val="00D661E7"/>
    <w:rsid w:val="00D66322"/>
    <w:rsid w:val="00D6658F"/>
    <w:rsid w:val="00D66694"/>
    <w:rsid w:val="00D667BF"/>
    <w:rsid w:val="00D667DA"/>
    <w:rsid w:val="00D66886"/>
    <w:rsid w:val="00D66AC4"/>
    <w:rsid w:val="00D66D20"/>
    <w:rsid w:val="00D670CB"/>
    <w:rsid w:val="00D6718E"/>
    <w:rsid w:val="00D671A3"/>
    <w:rsid w:val="00D6735C"/>
    <w:rsid w:val="00D67435"/>
    <w:rsid w:val="00D6746B"/>
    <w:rsid w:val="00D6764A"/>
    <w:rsid w:val="00D67729"/>
    <w:rsid w:val="00D6798D"/>
    <w:rsid w:val="00D679FE"/>
    <w:rsid w:val="00D67E04"/>
    <w:rsid w:val="00D67FA0"/>
    <w:rsid w:val="00D701C8"/>
    <w:rsid w:val="00D70311"/>
    <w:rsid w:val="00D7070A"/>
    <w:rsid w:val="00D70809"/>
    <w:rsid w:val="00D70B51"/>
    <w:rsid w:val="00D70BF0"/>
    <w:rsid w:val="00D70C61"/>
    <w:rsid w:val="00D70CAA"/>
    <w:rsid w:val="00D70CFB"/>
    <w:rsid w:val="00D70DFF"/>
    <w:rsid w:val="00D70FE1"/>
    <w:rsid w:val="00D71149"/>
    <w:rsid w:val="00D712DE"/>
    <w:rsid w:val="00D7130C"/>
    <w:rsid w:val="00D713B0"/>
    <w:rsid w:val="00D71572"/>
    <w:rsid w:val="00D7188A"/>
    <w:rsid w:val="00D718B9"/>
    <w:rsid w:val="00D71AF3"/>
    <w:rsid w:val="00D71D2D"/>
    <w:rsid w:val="00D71FEC"/>
    <w:rsid w:val="00D72140"/>
    <w:rsid w:val="00D721D5"/>
    <w:rsid w:val="00D72211"/>
    <w:rsid w:val="00D7227F"/>
    <w:rsid w:val="00D7249F"/>
    <w:rsid w:val="00D72595"/>
    <w:rsid w:val="00D726AA"/>
    <w:rsid w:val="00D72A3E"/>
    <w:rsid w:val="00D72CEE"/>
    <w:rsid w:val="00D72E7A"/>
    <w:rsid w:val="00D72EC9"/>
    <w:rsid w:val="00D72ECB"/>
    <w:rsid w:val="00D73533"/>
    <w:rsid w:val="00D73751"/>
    <w:rsid w:val="00D739B9"/>
    <w:rsid w:val="00D73A67"/>
    <w:rsid w:val="00D73AA2"/>
    <w:rsid w:val="00D73AEF"/>
    <w:rsid w:val="00D73AF3"/>
    <w:rsid w:val="00D73B3E"/>
    <w:rsid w:val="00D73D21"/>
    <w:rsid w:val="00D73DB0"/>
    <w:rsid w:val="00D74039"/>
    <w:rsid w:val="00D740DD"/>
    <w:rsid w:val="00D743AE"/>
    <w:rsid w:val="00D74426"/>
    <w:rsid w:val="00D74773"/>
    <w:rsid w:val="00D748C5"/>
    <w:rsid w:val="00D74C6E"/>
    <w:rsid w:val="00D74D9D"/>
    <w:rsid w:val="00D74E89"/>
    <w:rsid w:val="00D74EFE"/>
    <w:rsid w:val="00D74F06"/>
    <w:rsid w:val="00D75215"/>
    <w:rsid w:val="00D7565A"/>
    <w:rsid w:val="00D7565D"/>
    <w:rsid w:val="00D756B4"/>
    <w:rsid w:val="00D756F0"/>
    <w:rsid w:val="00D756FE"/>
    <w:rsid w:val="00D757C5"/>
    <w:rsid w:val="00D7597A"/>
    <w:rsid w:val="00D75BB8"/>
    <w:rsid w:val="00D761DD"/>
    <w:rsid w:val="00D76415"/>
    <w:rsid w:val="00D765C3"/>
    <w:rsid w:val="00D76894"/>
    <w:rsid w:val="00D768BF"/>
    <w:rsid w:val="00D76959"/>
    <w:rsid w:val="00D76AB1"/>
    <w:rsid w:val="00D76B29"/>
    <w:rsid w:val="00D76B36"/>
    <w:rsid w:val="00D76C65"/>
    <w:rsid w:val="00D77201"/>
    <w:rsid w:val="00D778CF"/>
    <w:rsid w:val="00D77B8A"/>
    <w:rsid w:val="00D77C23"/>
    <w:rsid w:val="00D77CD0"/>
    <w:rsid w:val="00D77D4D"/>
    <w:rsid w:val="00D77E03"/>
    <w:rsid w:val="00D77EF4"/>
    <w:rsid w:val="00D80039"/>
    <w:rsid w:val="00D802D4"/>
    <w:rsid w:val="00D80397"/>
    <w:rsid w:val="00D80799"/>
    <w:rsid w:val="00D8096B"/>
    <w:rsid w:val="00D80A63"/>
    <w:rsid w:val="00D80AF7"/>
    <w:rsid w:val="00D80B3B"/>
    <w:rsid w:val="00D81041"/>
    <w:rsid w:val="00D81157"/>
    <w:rsid w:val="00D812C2"/>
    <w:rsid w:val="00D8169F"/>
    <w:rsid w:val="00D818D0"/>
    <w:rsid w:val="00D81B2D"/>
    <w:rsid w:val="00D81C6E"/>
    <w:rsid w:val="00D81CEB"/>
    <w:rsid w:val="00D81EEE"/>
    <w:rsid w:val="00D822C7"/>
    <w:rsid w:val="00D8281C"/>
    <w:rsid w:val="00D82829"/>
    <w:rsid w:val="00D82996"/>
    <w:rsid w:val="00D829AC"/>
    <w:rsid w:val="00D82A43"/>
    <w:rsid w:val="00D82AE5"/>
    <w:rsid w:val="00D82C1C"/>
    <w:rsid w:val="00D82D2D"/>
    <w:rsid w:val="00D82DC6"/>
    <w:rsid w:val="00D82ECB"/>
    <w:rsid w:val="00D82F8A"/>
    <w:rsid w:val="00D830D5"/>
    <w:rsid w:val="00D8336B"/>
    <w:rsid w:val="00D839F0"/>
    <w:rsid w:val="00D839F3"/>
    <w:rsid w:val="00D83A30"/>
    <w:rsid w:val="00D83B69"/>
    <w:rsid w:val="00D84022"/>
    <w:rsid w:val="00D84038"/>
    <w:rsid w:val="00D840D1"/>
    <w:rsid w:val="00D841D0"/>
    <w:rsid w:val="00D8421C"/>
    <w:rsid w:val="00D8456C"/>
    <w:rsid w:val="00D84BE8"/>
    <w:rsid w:val="00D84C6C"/>
    <w:rsid w:val="00D85010"/>
    <w:rsid w:val="00D8517D"/>
    <w:rsid w:val="00D852AD"/>
    <w:rsid w:val="00D85317"/>
    <w:rsid w:val="00D85325"/>
    <w:rsid w:val="00D85473"/>
    <w:rsid w:val="00D854E3"/>
    <w:rsid w:val="00D85507"/>
    <w:rsid w:val="00D8552C"/>
    <w:rsid w:val="00D85776"/>
    <w:rsid w:val="00D8583B"/>
    <w:rsid w:val="00D859A4"/>
    <w:rsid w:val="00D85AA8"/>
    <w:rsid w:val="00D85B0E"/>
    <w:rsid w:val="00D85EA3"/>
    <w:rsid w:val="00D85ED4"/>
    <w:rsid w:val="00D85F6B"/>
    <w:rsid w:val="00D86764"/>
    <w:rsid w:val="00D86818"/>
    <w:rsid w:val="00D86A69"/>
    <w:rsid w:val="00D86FD1"/>
    <w:rsid w:val="00D86FE7"/>
    <w:rsid w:val="00D873D2"/>
    <w:rsid w:val="00D87519"/>
    <w:rsid w:val="00D87599"/>
    <w:rsid w:val="00D8771A"/>
    <w:rsid w:val="00D87A9E"/>
    <w:rsid w:val="00D87B43"/>
    <w:rsid w:val="00D9002F"/>
    <w:rsid w:val="00D90094"/>
    <w:rsid w:val="00D901D4"/>
    <w:rsid w:val="00D902AF"/>
    <w:rsid w:val="00D90322"/>
    <w:rsid w:val="00D90B21"/>
    <w:rsid w:val="00D90CE4"/>
    <w:rsid w:val="00D90CF2"/>
    <w:rsid w:val="00D90D80"/>
    <w:rsid w:val="00D90F36"/>
    <w:rsid w:val="00D9101F"/>
    <w:rsid w:val="00D91047"/>
    <w:rsid w:val="00D911AA"/>
    <w:rsid w:val="00D9123A"/>
    <w:rsid w:val="00D91476"/>
    <w:rsid w:val="00D914AD"/>
    <w:rsid w:val="00D91535"/>
    <w:rsid w:val="00D917FA"/>
    <w:rsid w:val="00D91AAC"/>
    <w:rsid w:val="00D91B78"/>
    <w:rsid w:val="00D92089"/>
    <w:rsid w:val="00D921B3"/>
    <w:rsid w:val="00D922E8"/>
    <w:rsid w:val="00D92328"/>
    <w:rsid w:val="00D92384"/>
    <w:rsid w:val="00D92A0E"/>
    <w:rsid w:val="00D92A76"/>
    <w:rsid w:val="00D92C3C"/>
    <w:rsid w:val="00D92CBB"/>
    <w:rsid w:val="00D9302D"/>
    <w:rsid w:val="00D93073"/>
    <w:rsid w:val="00D93189"/>
    <w:rsid w:val="00D93456"/>
    <w:rsid w:val="00D934B9"/>
    <w:rsid w:val="00D935E4"/>
    <w:rsid w:val="00D9364F"/>
    <w:rsid w:val="00D937D6"/>
    <w:rsid w:val="00D93AF7"/>
    <w:rsid w:val="00D93D0E"/>
    <w:rsid w:val="00D940C5"/>
    <w:rsid w:val="00D94100"/>
    <w:rsid w:val="00D9411B"/>
    <w:rsid w:val="00D945C6"/>
    <w:rsid w:val="00D947F2"/>
    <w:rsid w:val="00D949F8"/>
    <w:rsid w:val="00D94BCC"/>
    <w:rsid w:val="00D94C52"/>
    <w:rsid w:val="00D94CF2"/>
    <w:rsid w:val="00D94D50"/>
    <w:rsid w:val="00D94DC8"/>
    <w:rsid w:val="00D951B7"/>
    <w:rsid w:val="00D954C4"/>
    <w:rsid w:val="00D95932"/>
    <w:rsid w:val="00D95A27"/>
    <w:rsid w:val="00D95B36"/>
    <w:rsid w:val="00D95C78"/>
    <w:rsid w:val="00D95D82"/>
    <w:rsid w:val="00D95E11"/>
    <w:rsid w:val="00D96319"/>
    <w:rsid w:val="00D9633A"/>
    <w:rsid w:val="00D963D8"/>
    <w:rsid w:val="00D96909"/>
    <w:rsid w:val="00D96B42"/>
    <w:rsid w:val="00D96C4C"/>
    <w:rsid w:val="00D96E03"/>
    <w:rsid w:val="00D96EC4"/>
    <w:rsid w:val="00D96FDC"/>
    <w:rsid w:val="00D97060"/>
    <w:rsid w:val="00D97132"/>
    <w:rsid w:val="00D9732E"/>
    <w:rsid w:val="00D97370"/>
    <w:rsid w:val="00D97400"/>
    <w:rsid w:val="00D9741C"/>
    <w:rsid w:val="00D974D0"/>
    <w:rsid w:val="00D97599"/>
    <w:rsid w:val="00D975F6"/>
    <w:rsid w:val="00D97B16"/>
    <w:rsid w:val="00D97B79"/>
    <w:rsid w:val="00D97D47"/>
    <w:rsid w:val="00DA01FB"/>
    <w:rsid w:val="00DA0506"/>
    <w:rsid w:val="00DA0643"/>
    <w:rsid w:val="00DA073F"/>
    <w:rsid w:val="00DA0769"/>
    <w:rsid w:val="00DA090B"/>
    <w:rsid w:val="00DA0940"/>
    <w:rsid w:val="00DA0B62"/>
    <w:rsid w:val="00DA0C66"/>
    <w:rsid w:val="00DA0CD2"/>
    <w:rsid w:val="00DA0CE8"/>
    <w:rsid w:val="00DA0CF9"/>
    <w:rsid w:val="00DA0DDB"/>
    <w:rsid w:val="00DA0EC3"/>
    <w:rsid w:val="00DA0FE8"/>
    <w:rsid w:val="00DA1432"/>
    <w:rsid w:val="00DA1712"/>
    <w:rsid w:val="00DA1886"/>
    <w:rsid w:val="00DA18DC"/>
    <w:rsid w:val="00DA196C"/>
    <w:rsid w:val="00DA1C88"/>
    <w:rsid w:val="00DA1F3E"/>
    <w:rsid w:val="00DA1FE0"/>
    <w:rsid w:val="00DA263C"/>
    <w:rsid w:val="00DA2644"/>
    <w:rsid w:val="00DA28F0"/>
    <w:rsid w:val="00DA313C"/>
    <w:rsid w:val="00DA331C"/>
    <w:rsid w:val="00DA3534"/>
    <w:rsid w:val="00DA3837"/>
    <w:rsid w:val="00DA3A21"/>
    <w:rsid w:val="00DA3AC5"/>
    <w:rsid w:val="00DA3D1E"/>
    <w:rsid w:val="00DA4178"/>
    <w:rsid w:val="00DA418E"/>
    <w:rsid w:val="00DA4280"/>
    <w:rsid w:val="00DA438D"/>
    <w:rsid w:val="00DA4580"/>
    <w:rsid w:val="00DA4897"/>
    <w:rsid w:val="00DA499C"/>
    <w:rsid w:val="00DA4AA5"/>
    <w:rsid w:val="00DA4D47"/>
    <w:rsid w:val="00DA4D77"/>
    <w:rsid w:val="00DA4DCC"/>
    <w:rsid w:val="00DA4E8B"/>
    <w:rsid w:val="00DA5004"/>
    <w:rsid w:val="00DA52F5"/>
    <w:rsid w:val="00DA5411"/>
    <w:rsid w:val="00DA5512"/>
    <w:rsid w:val="00DA558C"/>
    <w:rsid w:val="00DA55F4"/>
    <w:rsid w:val="00DA56B4"/>
    <w:rsid w:val="00DA56C8"/>
    <w:rsid w:val="00DA595E"/>
    <w:rsid w:val="00DA5A2C"/>
    <w:rsid w:val="00DA5AEE"/>
    <w:rsid w:val="00DA5C72"/>
    <w:rsid w:val="00DA5E3D"/>
    <w:rsid w:val="00DA5E6B"/>
    <w:rsid w:val="00DA621C"/>
    <w:rsid w:val="00DA6729"/>
    <w:rsid w:val="00DA69C7"/>
    <w:rsid w:val="00DA6B77"/>
    <w:rsid w:val="00DA6DA2"/>
    <w:rsid w:val="00DA71B8"/>
    <w:rsid w:val="00DA7369"/>
    <w:rsid w:val="00DA7764"/>
    <w:rsid w:val="00DA7C4F"/>
    <w:rsid w:val="00DA7E5D"/>
    <w:rsid w:val="00DA7EBE"/>
    <w:rsid w:val="00DB02E0"/>
    <w:rsid w:val="00DB03A0"/>
    <w:rsid w:val="00DB03AB"/>
    <w:rsid w:val="00DB05B7"/>
    <w:rsid w:val="00DB0724"/>
    <w:rsid w:val="00DB0747"/>
    <w:rsid w:val="00DB0992"/>
    <w:rsid w:val="00DB09E4"/>
    <w:rsid w:val="00DB0B70"/>
    <w:rsid w:val="00DB0C40"/>
    <w:rsid w:val="00DB0E41"/>
    <w:rsid w:val="00DB0E96"/>
    <w:rsid w:val="00DB0F08"/>
    <w:rsid w:val="00DB0F61"/>
    <w:rsid w:val="00DB101E"/>
    <w:rsid w:val="00DB113E"/>
    <w:rsid w:val="00DB1262"/>
    <w:rsid w:val="00DB1434"/>
    <w:rsid w:val="00DB1540"/>
    <w:rsid w:val="00DB1835"/>
    <w:rsid w:val="00DB18C9"/>
    <w:rsid w:val="00DB1A8D"/>
    <w:rsid w:val="00DB1B52"/>
    <w:rsid w:val="00DB1CEC"/>
    <w:rsid w:val="00DB1D4A"/>
    <w:rsid w:val="00DB1E8C"/>
    <w:rsid w:val="00DB1EE6"/>
    <w:rsid w:val="00DB1EFD"/>
    <w:rsid w:val="00DB209A"/>
    <w:rsid w:val="00DB2221"/>
    <w:rsid w:val="00DB2260"/>
    <w:rsid w:val="00DB237A"/>
    <w:rsid w:val="00DB2436"/>
    <w:rsid w:val="00DB2511"/>
    <w:rsid w:val="00DB27E2"/>
    <w:rsid w:val="00DB2A39"/>
    <w:rsid w:val="00DB2A9A"/>
    <w:rsid w:val="00DB2B08"/>
    <w:rsid w:val="00DB2B7D"/>
    <w:rsid w:val="00DB2CBA"/>
    <w:rsid w:val="00DB2DDF"/>
    <w:rsid w:val="00DB2E61"/>
    <w:rsid w:val="00DB2F0E"/>
    <w:rsid w:val="00DB31EC"/>
    <w:rsid w:val="00DB33B8"/>
    <w:rsid w:val="00DB33FE"/>
    <w:rsid w:val="00DB35E5"/>
    <w:rsid w:val="00DB3884"/>
    <w:rsid w:val="00DB38DD"/>
    <w:rsid w:val="00DB395E"/>
    <w:rsid w:val="00DB3A19"/>
    <w:rsid w:val="00DB3BA5"/>
    <w:rsid w:val="00DB3BED"/>
    <w:rsid w:val="00DB3C12"/>
    <w:rsid w:val="00DB3C8A"/>
    <w:rsid w:val="00DB3D51"/>
    <w:rsid w:val="00DB3E46"/>
    <w:rsid w:val="00DB3E71"/>
    <w:rsid w:val="00DB3E74"/>
    <w:rsid w:val="00DB4055"/>
    <w:rsid w:val="00DB40F0"/>
    <w:rsid w:val="00DB430D"/>
    <w:rsid w:val="00DB4757"/>
    <w:rsid w:val="00DB4909"/>
    <w:rsid w:val="00DB4A62"/>
    <w:rsid w:val="00DB4B38"/>
    <w:rsid w:val="00DB4BAF"/>
    <w:rsid w:val="00DB4DCC"/>
    <w:rsid w:val="00DB4E29"/>
    <w:rsid w:val="00DB5421"/>
    <w:rsid w:val="00DB5424"/>
    <w:rsid w:val="00DB5622"/>
    <w:rsid w:val="00DB5772"/>
    <w:rsid w:val="00DB577A"/>
    <w:rsid w:val="00DB5FD9"/>
    <w:rsid w:val="00DB660A"/>
    <w:rsid w:val="00DB6959"/>
    <w:rsid w:val="00DB6A21"/>
    <w:rsid w:val="00DB6A2D"/>
    <w:rsid w:val="00DB6CA9"/>
    <w:rsid w:val="00DB6F6B"/>
    <w:rsid w:val="00DB6FA6"/>
    <w:rsid w:val="00DB6FD6"/>
    <w:rsid w:val="00DB7683"/>
    <w:rsid w:val="00DB7D3E"/>
    <w:rsid w:val="00DB7E6B"/>
    <w:rsid w:val="00DC0713"/>
    <w:rsid w:val="00DC098E"/>
    <w:rsid w:val="00DC0D63"/>
    <w:rsid w:val="00DC0E09"/>
    <w:rsid w:val="00DC1113"/>
    <w:rsid w:val="00DC1130"/>
    <w:rsid w:val="00DC1495"/>
    <w:rsid w:val="00DC15A5"/>
    <w:rsid w:val="00DC15B8"/>
    <w:rsid w:val="00DC1C49"/>
    <w:rsid w:val="00DC1C6A"/>
    <w:rsid w:val="00DC1C97"/>
    <w:rsid w:val="00DC1EA1"/>
    <w:rsid w:val="00DC21C3"/>
    <w:rsid w:val="00DC22A0"/>
    <w:rsid w:val="00DC23A8"/>
    <w:rsid w:val="00DC25FD"/>
    <w:rsid w:val="00DC2631"/>
    <w:rsid w:val="00DC2748"/>
    <w:rsid w:val="00DC2850"/>
    <w:rsid w:val="00DC29D9"/>
    <w:rsid w:val="00DC2A0C"/>
    <w:rsid w:val="00DC2A95"/>
    <w:rsid w:val="00DC2BEC"/>
    <w:rsid w:val="00DC2D12"/>
    <w:rsid w:val="00DC2DCA"/>
    <w:rsid w:val="00DC2DFF"/>
    <w:rsid w:val="00DC2E19"/>
    <w:rsid w:val="00DC2E44"/>
    <w:rsid w:val="00DC2EA5"/>
    <w:rsid w:val="00DC2ED5"/>
    <w:rsid w:val="00DC2F9A"/>
    <w:rsid w:val="00DC3109"/>
    <w:rsid w:val="00DC31A5"/>
    <w:rsid w:val="00DC3242"/>
    <w:rsid w:val="00DC3259"/>
    <w:rsid w:val="00DC3293"/>
    <w:rsid w:val="00DC33D2"/>
    <w:rsid w:val="00DC34E1"/>
    <w:rsid w:val="00DC3522"/>
    <w:rsid w:val="00DC356B"/>
    <w:rsid w:val="00DC3579"/>
    <w:rsid w:val="00DC39E2"/>
    <w:rsid w:val="00DC3A59"/>
    <w:rsid w:val="00DC3A62"/>
    <w:rsid w:val="00DC3AFD"/>
    <w:rsid w:val="00DC44B7"/>
    <w:rsid w:val="00DC44E9"/>
    <w:rsid w:val="00DC450C"/>
    <w:rsid w:val="00DC4548"/>
    <w:rsid w:val="00DC460F"/>
    <w:rsid w:val="00DC4626"/>
    <w:rsid w:val="00DC4887"/>
    <w:rsid w:val="00DC4913"/>
    <w:rsid w:val="00DC498E"/>
    <w:rsid w:val="00DC49AB"/>
    <w:rsid w:val="00DC49B2"/>
    <w:rsid w:val="00DC4A60"/>
    <w:rsid w:val="00DC4AFC"/>
    <w:rsid w:val="00DC4B59"/>
    <w:rsid w:val="00DC4C2C"/>
    <w:rsid w:val="00DC4DDC"/>
    <w:rsid w:val="00DC5019"/>
    <w:rsid w:val="00DC51BF"/>
    <w:rsid w:val="00DC52FE"/>
    <w:rsid w:val="00DC5369"/>
    <w:rsid w:val="00DC54D8"/>
    <w:rsid w:val="00DC551B"/>
    <w:rsid w:val="00DC55A9"/>
    <w:rsid w:val="00DC5691"/>
    <w:rsid w:val="00DC5891"/>
    <w:rsid w:val="00DC58D5"/>
    <w:rsid w:val="00DC59C8"/>
    <w:rsid w:val="00DC5AE9"/>
    <w:rsid w:val="00DC5D40"/>
    <w:rsid w:val="00DC5F2F"/>
    <w:rsid w:val="00DC5FD9"/>
    <w:rsid w:val="00DC610D"/>
    <w:rsid w:val="00DC626C"/>
    <w:rsid w:val="00DC65BB"/>
    <w:rsid w:val="00DC672A"/>
    <w:rsid w:val="00DC67EF"/>
    <w:rsid w:val="00DC6B01"/>
    <w:rsid w:val="00DC6BA8"/>
    <w:rsid w:val="00DC6C85"/>
    <w:rsid w:val="00DC6E0D"/>
    <w:rsid w:val="00DC70A7"/>
    <w:rsid w:val="00DC7111"/>
    <w:rsid w:val="00DC72CD"/>
    <w:rsid w:val="00DC7B0F"/>
    <w:rsid w:val="00DC7B11"/>
    <w:rsid w:val="00DC7D61"/>
    <w:rsid w:val="00DD003F"/>
    <w:rsid w:val="00DD033D"/>
    <w:rsid w:val="00DD048D"/>
    <w:rsid w:val="00DD04C5"/>
    <w:rsid w:val="00DD05A6"/>
    <w:rsid w:val="00DD05E2"/>
    <w:rsid w:val="00DD06C6"/>
    <w:rsid w:val="00DD06DC"/>
    <w:rsid w:val="00DD0750"/>
    <w:rsid w:val="00DD09E0"/>
    <w:rsid w:val="00DD0CE7"/>
    <w:rsid w:val="00DD0F55"/>
    <w:rsid w:val="00DD1016"/>
    <w:rsid w:val="00DD1204"/>
    <w:rsid w:val="00DD1339"/>
    <w:rsid w:val="00DD13A6"/>
    <w:rsid w:val="00DD159E"/>
    <w:rsid w:val="00DD15B6"/>
    <w:rsid w:val="00DD16DA"/>
    <w:rsid w:val="00DD184D"/>
    <w:rsid w:val="00DD19A5"/>
    <w:rsid w:val="00DD1BEF"/>
    <w:rsid w:val="00DD1D1E"/>
    <w:rsid w:val="00DD1E57"/>
    <w:rsid w:val="00DD1F2E"/>
    <w:rsid w:val="00DD1F5A"/>
    <w:rsid w:val="00DD2114"/>
    <w:rsid w:val="00DD24E2"/>
    <w:rsid w:val="00DD27A6"/>
    <w:rsid w:val="00DD287D"/>
    <w:rsid w:val="00DD28DD"/>
    <w:rsid w:val="00DD2CD1"/>
    <w:rsid w:val="00DD2D7A"/>
    <w:rsid w:val="00DD2FA7"/>
    <w:rsid w:val="00DD315B"/>
    <w:rsid w:val="00DD31C6"/>
    <w:rsid w:val="00DD32D4"/>
    <w:rsid w:val="00DD32F1"/>
    <w:rsid w:val="00DD3300"/>
    <w:rsid w:val="00DD3C99"/>
    <w:rsid w:val="00DD3D22"/>
    <w:rsid w:val="00DD3EA4"/>
    <w:rsid w:val="00DD3F25"/>
    <w:rsid w:val="00DD42AB"/>
    <w:rsid w:val="00DD43C3"/>
    <w:rsid w:val="00DD45CB"/>
    <w:rsid w:val="00DD460D"/>
    <w:rsid w:val="00DD478C"/>
    <w:rsid w:val="00DD4892"/>
    <w:rsid w:val="00DD4B6F"/>
    <w:rsid w:val="00DD4DBD"/>
    <w:rsid w:val="00DD5019"/>
    <w:rsid w:val="00DD5214"/>
    <w:rsid w:val="00DD5369"/>
    <w:rsid w:val="00DD571B"/>
    <w:rsid w:val="00DD59B7"/>
    <w:rsid w:val="00DD5ADC"/>
    <w:rsid w:val="00DD5B98"/>
    <w:rsid w:val="00DD5BDC"/>
    <w:rsid w:val="00DD5D18"/>
    <w:rsid w:val="00DD5DF7"/>
    <w:rsid w:val="00DD5F13"/>
    <w:rsid w:val="00DD604F"/>
    <w:rsid w:val="00DD6313"/>
    <w:rsid w:val="00DD6389"/>
    <w:rsid w:val="00DD64C0"/>
    <w:rsid w:val="00DD66BC"/>
    <w:rsid w:val="00DD6732"/>
    <w:rsid w:val="00DD68B9"/>
    <w:rsid w:val="00DD6918"/>
    <w:rsid w:val="00DD6BDC"/>
    <w:rsid w:val="00DD6BFE"/>
    <w:rsid w:val="00DD6DA8"/>
    <w:rsid w:val="00DD6DD5"/>
    <w:rsid w:val="00DD731E"/>
    <w:rsid w:val="00DD7607"/>
    <w:rsid w:val="00DD7668"/>
    <w:rsid w:val="00DD773E"/>
    <w:rsid w:val="00DD7847"/>
    <w:rsid w:val="00DD790F"/>
    <w:rsid w:val="00DD79A7"/>
    <w:rsid w:val="00DD7B6E"/>
    <w:rsid w:val="00DD7E87"/>
    <w:rsid w:val="00DD7EFA"/>
    <w:rsid w:val="00DE00E9"/>
    <w:rsid w:val="00DE038B"/>
    <w:rsid w:val="00DE05CB"/>
    <w:rsid w:val="00DE075D"/>
    <w:rsid w:val="00DE076E"/>
    <w:rsid w:val="00DE0D3B"/>
    <w:rsid w:val="00DE0DCD"/>
    <w:rsid w:val="00DE11B6"/>
    <w:rsid w:val="00DE139C"/>
    <w:rsid w:val="00DE13B3"/>
    <w:rsid w:val="00DE1440"/>
    <w:rsid w:val="00DE15AE"/>
    <w:rsid w:val="00DE18B9"/>
    <w:rsid w:val="00DE18C8"/>
    <w:rsid w:val="00DE196C"/>
    <w:rsid w:val="00DE1A2D"/>
    <w:rsid w:val="00DE1A53"/>
    <w:rsid w:val="00DE1ADB"/>
    <w:rsid w:val="00DE1B26"/>
    <w:rsid w:val="00DE1E20"/>
    <w:rsid w:val="00DE1E4C"/>
    <w:rsid w:val="00DE219B"/>
    <w:rsid w:val="00DE2207"/>
    <w:rsid w:val="00DE228A"/>
    <w:rsid w:val="00DE22EB"/>
    <w:rsid w:val="00DE2539"/>
    <w:rsid w:val="00DE297D"/>
    <w:rsid w:val="00DE2AF1"/>
    <w:rsid w:val="00DE2CB1"/>
    <w:rsid w:val="00DE2D26"/>
    <w:rsid w:val="00DE2E5D"/>
    <w:rsid w:val="00DE3013"/>
    <w:rsid w:val="00DE30DA"/>
    <w:rsid w:val="00DE3173"/>
    <w:rsid w:val="00DE321D"/>
    <w:rsid w:val="00DE3292"/>
    <w:rsid w:val="00DE3728"/>
    <w:rsid w:val="00DE39E4"/>
    <w:rsid w:val="00DE3A7D"/>
    <w:rsid w:val="00DE3BAB"/>
    <w:rsid w:val="00DE3BFA"/>
    <w:rsid w:val="00DE3DF1"/>
    <w:rsid w:val="00DE3E0A"/>
    <w:rsid w:val="00DE3F96"/>
    <w:rsid w:val="00DE4287"/>
    <w:rsid w:val="00DE437B"/>
    <w:rsid w:val="00DE4382"/>
    <w:rsid w:val="00DE4597"/>
    <w:rsid w:val="00DE4790"/>
    <w:rsid w:val="00DE47BC"/>
    <w:rsid w:val="00DE4849"/>
    <w:rsid w:val="00DE4957"/>
    <w:rsid w:val="00DE4B01"/>
    <w:rsid w:val="00DE4BE5"/>
    <w:rsid w:val="00DE4D58"/>
    <w:rsid w:val="00DE4DD3"/>
    <w:rsid w:val="00DE4E10"/>
    <w:rsid w:val="00DE50F7"/>
    <w:rsid w:val="00DE51B4"/>
    <w:rsid w:val="00DE5353"/>
    <w:rsid w:val="00DE540C"/>
    <w:rsid w:val="00DE54A0"/>
    <w:rsid w:val="00DE54C7"/>
    <w:rsid w:val="00DE5808"/>
    <w:rsid w:val="00DE5893"/>
    <w:rsid w:val="00DE5BFD"/>
    <w:rsid w:val="00DE5D44"/>
    <w:rsid w:val="00DE5F6B"/>
    <w:rsid w:val="00DE6055"/>
    <w:rsid w:val="00DE60CD"/>
    <w:rsid w:val="00DE6302"/>
    <w:rsid w:val="00DE63B2"/>
    <w:rsid w:val="00DE63E6"/>
    <w:rsid w:val="00DE6430"/>
    <w:rsid w:val="00DE6433"/>
    <w:rsid w:val="00DE64A4"/>
    <w:rsid w:val="00DE6605"/>
    <w:rsid w:val="00DE67D3"/>
    <w:rsid w:val="00DE68B8"/>
    <w:rsid w:val="00DE6998"/>
    <w:rsid w:val="00DE6CFA"/>
    <w:rsid w:val="00DE6D1F"/>
    <w:rsid w:val="00DE7139"/>
    <w:rsid w:val="00DE715A"/>
    <w:rsid w:val="00DE7228"/>
    <w:rsid w:val="00DE72FD"/>
    <w:rsid w:val="00DE74AE"/>
    <w:rsid w:val="00DE7501"/>
    <w:rsid w:val="00DE77EC"/>
    <w:rsid w:val="00DE7A19"/>
    <w:rsid w:val="00DE7BE2"/>
    <w:rsid w:val="00DE7CBD"/>
    <w:rsid w:val="00DE7EAB"/>
    <w:rsid w:val="00DF00B8"/>
    <w:rsid w:val="00DF013C"/>
    <w:rsid w:val="00DF0522"/>
    <w:rsid w:val="00DF0724"/>
    <w:rsid w:val="00DF0762"/>
    <w:rsid w:val="00DF076E"/>
    <w:rsid w:val="00DF0781"/>
    <w:rsid w:val="00DF084C"/>
    <w:rsid w:val="00DF08FE"/>
    <w:rsid w:val="00DF09C2"/>
    <w:rsid w:val="00DF0CFB"/>
    <w:rsid w:val="00DF0E52"/>
    <w:rsid w:val="00DF0F04"/>
    <w:rsid w:val="00DF1401"/>
    <w:rsid w:val="00DF1670"/>
    <w:rsid w:val="00DF1832"/>
    <w:rsid w:val="00DF1BD9"/>
    <w:rsid w:val="00DF1C0F"/>
    <w:rsid w:val="00DF1CFF"/>
    <w:rsid w:val="00DF1DE2"/>
    <w:rsid w:val="00DF20BF"/>
    <w:rsid w:val="00DF212F"/>
    <w:rsid w:val="00DF2159"/>
    <w:rsid w:val="00DF24E1"/>
    <w:rsid w:val="00DF2520"/>
    <w:rsid w:val="00DF257A"/>
    <w:rsid w:val="00DF286D"/>
    <w:rsid w:val="00DF2BFD"/>
    <w:rsid w:val="00DF2E10"/>
    <w:rsid w:val="00DF2E2E"/>
    <w:rsid w:val="00DF2E2F"/>
    <w:rsid w:val="00DF2E9D"/>
    <w:rsid w:val="00DF2FFF"/>
    <w:rsid w:val="00DF30AF"/>
    <w:rsid w:val="00DF3359"/>
    <w:rsid w:val="00DF33BA"/>
    <w:rsid w:val="00DF3480"/>
    <w:rsid w:val="00DF3488"/>
    <w:rsid w:val="00DF3861"/>
    <w:rsid w:val="00DF3E56"/>
    <w:rsid w:val="00DF4008"/>
    <w:rsid w:val="00DF4108"/>
    <w:rsid w:val="00DF45A2"/>
    <w:rsid w:val="00DF45AB"/>
    <w:rsid w:val="00DF47F4"/>
    <w:rsid w:val="00DF4A0E"/>
    <w:rsid w:val="00DF4E36"/>
    <w:rsid w:val="00DF5142"/>
    <w:rsid w:val="00DF514E"/>
    <w:rsid w:val="00DF533C"/>
    <w:rsid w:val="00DF55CB"/>
    <w:rsid w:val="00DF5721"/>
    <w:rsid w:val="00DF573E"/>
    <w:rsid w:val="00DF5970"/>
    <w:rsid w:val="00DF5A32"/>
    <w:rsid w:val="00DF5B6A"/>
    <w:rsid w:val="00DF5B9A"/>
    <w:rsid w:val="00DF5BCA"/>
    <w:rsid w:val="00DF5CB7"/>
    <w:rsid w:val="00DF5DEE"/>
    <w:rsid w:val="00DF5F46"/>
    <w:rsid w:val="00DF629B"/>
    <w:rsid w:val="00DF62E4"/>
    <w:rsid w:val="00DF6715"/>
    <w:rsid w:val="00DF676B"/>
    <w:rsid w:val="00DF67B5"/>
    <w:rsid w:val="00DF6A68"/>
    <w:rsid w:val="00DF6ACB"/>
    <w:rsid w:val="00DF6BBD"/>
    <w:rsid w:val="00DF6E48"/>
    <w:rsid w:val="00DF6E6B"/>
    <w:rsid w:val="00DF70A9"/>
    <w:rsid w:val="00DF71C3"/>
    <w:rsid w:val="00DF71F5"/>
    <w:rsid w:val="00DF727D"/>
    <w:rsid w:val="00DF72DB"/>
    <w:rsid w:val="00DF7433"/>
    <w:rsid w:val="00DF7701"/>
    <w:rsid w:val="00DF7752"/>
    <w:rsid w:val="00DF7B38"/>
    <w:rsid w:val="00DF7E74"/>
    <w:rsid w:val="00DF7FFC"/>
    <w:rsid w:val="00E000CD"/>
    <w:rsid w:val="00E00264"/>
    <w:rsid w:val="00E00388"/>
    <w:rsid w:val="00E00392"/>
    <w:rsid w:val="00E0041E"/>
    <w:rsid w:val="00E004FB"/>
    <w:rsid w:val="00E0059F"/>
    <w:rsid w:val="00E0065D"/>
    <w:rsid w:val="00E0068D"/>
    <w:rsid w:val="00E006DC"/>
    <w:rsid w:val="00E0089D"/>
    <w:rsid w:val="00E00E20"/>
    <w:rsid w:val="00E010B0"/>
    <w:rsid w:val="00E010C3"/>
    <w:rsid w:val="00E01123"/>
    <w:rsid w:val="00E0117A"/>
    <w:rsid w:val="00E01463"/>
    <w:rsid w:val="00E014A2"/>
    <w:rsid w:val="00E0156F"/>
    <w:rsid w:val="00E01634"/>
    <w:rsid w:val="00E01CA1"/>
    <w:rsid w:val="00E01E77"/>
    <w:rsid w:val="00E01EF8"/>
    <w:rsid w:val="00E01F79"/>
    <w:rsid w:val="00E01F7D"/>
    <w:rsid w:val="00E0201F"/>
    <w:rsid w:val="00E02108"/>
    <w:rsid w:val="00E0227D"/>
    <w:rsid w:val="00E02439"/>
    <w:rsid w:val="00E0243A"/>
    <w:rsid w:val="00E02459"/>
    <w:rsid w:val="00E027D8"/>
    <w:rsid w:val="00E0284D"/>
    <w:rsid w:val="00E02BC0"/>
    <w:rsid w:val="00E03539"/>
    <w:rsid w:val="00E03543"/>
    <w:rsid w:val="00E038FA"/>
    <w:rsid w:val="00E03A8C"/>
    <w:rsid w:val="00E03ABF"/>
    <w:rsid w:val="00E03D45"/>
    <w:rsid w:val="00E0432B"/>
    <w:rsid w:val="00E044E2"/>
    <w:rsid w:val="00E04541"/>
    <w:rsid w:val="00E0454A"/>
    <w:rsid w:val="00E04608"/>
    <w:rsid w:val="00E04639"/>
    <w:rsid w:val="00E047AD"/>
    <w:rsid w:val="00E048BB"/>
    <w:rsid w:val="00E04B62"/>
    <w:rsid w:val="00E04C4A"/>
    <w:rsid w:val="00E04CC5"/>
    <w:rsid w:val="00E05219"/>
    <w:rsid w:val="00E05626"/>
    <w:rsid w:val="00E05681"/>
    <w:rsid w:val="00E05741"/>
    <w:rsid w:val="00E05985"/>
    <w:rsid w:val="00E05A52"/>
    <w:rsid w:val="00E05D1F"/>
    <w:rsid w:val="00E062A3"/>
    <w:rsid w:val="00E062E9"/>
    <w:rsid w:val="00E064E4"/>
    <w:rsid w:val="00E06696"/>
    <w:rsid w:val="00E0675A"/>
    <w:rsid w:val="00E06BE0"/>
    <w:rsid w:val="00E06CA1"/>
    <w:rsid w:val="00E06E11"/>
    <w:rsid w:val="00E06E8A"/>
    <w:rsid w:val="00E07063"/>
    <w:rsid w:val="00E074A4"/>
    <w:rsid w:val="00E07686"/>
    <w:rsid w:val="00E07728"/>
    <w:rsid w:val="00E079E0"/>
    <w:rsid w:val="00E07AEE"/>
    <w:rsid w:val="00E07C4C"/>
    <w:rsid w:val="00E1002D"/>
    <w:rsid w:val="00E10053"/>
    <w:rsid w:val="00E100C3"/>
    <w:rsid w:val="00E1027D"/>
    <w:rsid w:val="00E10455"/>
    <w:rsid w:val="00E10998"/>
    <w:rsid w:val="00E10AD4"/>
    <w:rsid w:val="00E10C62"/>
    <w:rsid w:val="00E1151E"/>
    <w:rsid w:val="00E11662"/>
    <w:rsid w:val="00E119BA"/>
    <w:rsid w:val="00E11A39"/>
    <w:rsid w:val="00E11A5D"/>
    <w:rsid w:val="00E11A60"/>
    <w:rsid w:val="00E11AC8"/>
    <w:rsid w:val="00E11C5C"/>
    <w:rsid w:val="00E11CA5"/>
    <w:rsid w:val="00E11FD5"/>
    <w:rsid w:val="00E12131"/>
    <w:rsid w:val="00E123B7"/>
    <w:rsid w:val="00E124DC"/>
    <w:rsid w:val="00E12525"/>
    <w:rsid w:val="00E128A0"/>
    <w:rsid w:val="00E12CC1"/>
    <w:rsid w:val="00E12CD3"/>
    <w:rsid w:val="00E12D7B"/>
    <w:rsid w:val="00E12EB4"/>
    <w:rsid w:val="00E12FAE"/>
    <w:rsid w:val="00E12FAF"/>
    <w:rsid w:val="00E13290"/>
    <w:rsid w:val="00E1365C"/>
    <w:rsid w:val="00E1385C"/>
    <w:rsid w:val="00E13B58"/>
    <w:rsid w:val="00E13FA3"/>
    <w:rsid w:val="00E14077"/>
    <w:rsid w:val="00E14155"/>
    <w:rsid w:val="00E142D4"/>
    <w:rsid w:val="00E1432B"/>
    <w:rsid w:val="00E14423"/>
    <w:rsid w:val="00E14475"/>
    <w:rsid w:val="00E14837"/>
    <w:rsid w:val="00E1485F"/>
    <w:rsid w:val="00E149F5"/>
    <w:rsid w:val="00E14A8B"/>
    <w:rsid w:val="00E14C6E"/>
    <w:rsid w:val="00E14F3E"/>
    <w:rsid w:val="00E14FB8"/>
    <w:rsid w:val="00E1541B"/>
    <w:rsid w:val="00E15476"/>
    <w:rsid w:val="00E158F1"/>
    <w:rsid w:val="00E1590A"/>
    <w:rsid w:val="00E15935"/>
    <w:rsid w:val="00E15ADF"/>
    <w:rsid w:val="00E15B39"/>
    <w:rsid w:val="00E15F23"/>
    <w:rsid w:val="00E15F34"/>
    <w:rsid w:val="00E15FE7"/>
    <w:rsid w:val="00E1600E"/>
    <w:rsid w:val="00E16043"/>
    <w:rsid w:val="00E162C7"/>
    <w:rsid w:val="00E166C0"/>
    <w:rsid w:val="00E16829"/>
    <w:rsid w:val="00E16BCD"/>
    <w:rsid w:val="00E171DD"/>
    <w:rsid w:val="00E17235"/>
    <w:rsid w:val="00E1725C"/>
    <w:rsid w:val="00E1730B"/>
    <w:rsid w:val="00E17523"/>
    <w:rsid w:val="00E17627"/>
    <w:rsid w:val="00E17A3C"/>
    <w:rsid w:val="00E17AF1"/>
    <w:rsid w:val="00E17F6E"/>
    <w:rsid w:val="00E202EB"/>
    <w:rsid w:val="00E20542"/>
    <w:rsid w:val="00E2074B"/>
    <w:rsid w:val="00E209B3"/>
    <w:rsid w:val="00E20A0D"/>
    <w:rsid w:val="00E20BC6"/>
    <w:rsid w:val="00E20C42"/>
    <w:rsid w:val="00E20D3F"/>
    <w:rsid w:val="00E20D76"/>
    <w:rsid w:val="00E212A4"/>
    <w:rsid w:val="00E213F7"/>
    <w:rsid w:val="00E215B8"/>
    <w:rsid w:val="00E215F6"/>
    <w:rsid w:val="00E2161D"/>
    <w:rsid w:val="00E21721"/>
    <w:rsid w:val="00E21951"/>
    <w:rsid w:val="00E219F0"/>
    <w:rsid w:val="00E21F48"/>
    <w:rsid w:val="00E21F6F"/>
    <w:rsid w:val="00E221CC"/>
    <w:rsid w:val="00E221D2"/>
    <w:rsid w:val="00E22384"/>
    <w:rsid w:val="00E2246A"/>
    <w:rsid w:val="00E22537"/>
    <w:rsid w:val="00E22579"/>
    <w:rsid w:val="00E22A33"/>
    <w:rsid w:val="00E22CCD"/>
    <w:rsid w:val="00E230FB"/>
    <w:rsid w:val="00E233CA"/>
    <w:rsid w:val="00E23662"/>
    <w:rsid w:val="00E23BCF"/>
    <w:rsid w:val="00E23F29"/>
    <w:rsid w:val="00E240E3"/>
    <w:rsid w:val="00E242E3"/>
    <w:rsid w:val="00E2454D"/>
    <w:rsid w:val="00E2463C"/>
    <w:rsid w:val="00E247E2"/>
    <w:rsid w:val="00E24AD6"/>
    <w:rsid w:val="00E24C44"/>
    <w:rsid w:val="00E24D74"/>
    <w:rsid w:val="00E24E8F"/>
    <w:rsid w:val="00E24EC5"/>
    <w:rsid w:val="00E25050"/>
    <w:rsid w:val="00E25236"/>
    <w:rsid w:val="00E25379"/>
    <w:rsid w:val="00E25541"/>
    <w:rsid w:val="00E255E9"/>
    <w:rsid w:val="00E255F2"/>
    <w:rsid w:val="00E25738"/>
    <w:rsid w:val="00E257A7"/>
    <w:rsid w:val="00E2595E"/>
    <w:rsid w:val="00E25BAE"/>
    <w:rsid w:val="00E25C5A"/>
    <w:rsid w:val="00E25E2B"/>
    <w:rsid w:val="00E261D4"/>
    <w:rsid w:val="00E26247"/>
    <w:rsid w:val="00E2647F"/>
    <w:rsid w:val="00E264D5"/>
    <w:rsid w:val="00E268F4"/>
    <w:rsid w:val="00E26C20"/>
    <w:rsid w:val="00E26C9D"/>
    <w:rsid w:val="00E26DF8"/>
    <w:rsid w:val="00E26DFE"/>
    <w:rsid w:val="00E26E4F"/>
    <w:rsid w:val="00E271A1"/>
    <w:rsid w:val="00E279D8"/>
    <w:rsid w:val="00E27BB4"/>
    <w:rsid w:val="00E27F14"/>
    <w:rsid w:val="00E27F68"/>
    <w:rsid w:val="00E301F4"/>
    <w:rsid w:val="00E303BE"/>
    <w:rsid w:val="00E3048A"/>
    <w:rsid w:val="00E305F3"/>
    <w:rsid w:val="00E3060A"/>
    <w:rsid w:val="00E3065F"/>
    <w:rsid w:val="00E306D6"/>
    <w:rsid w:val="00E30723"/>
    <w:rsid w:val="00E307A3"/>
    <w:rsid w:val="00E30844"/>
    <w:rsid w:val="00E30890"/>
    <w:rsid w:val="00E3093D"/>
    <w:rsid w:val="00E30AA7"/>
    <w:rsid w:val="00E30AF2"/>
    <w:rsid w:val="00E30C62"/>
    <w:rsid w:val="00E30DE3"/>
    <w:rsid w:val="00E31107"/>
    <w:rsid w:val="00E31304"/>
    <w:rsid w:val="00E314D3"/>
    <w:rsid w:val="00E3155A"/>
    <w:rsid w:val="00E31626"/>
    <w:rsid w:val="00E31786"/>
    <w:rsid w:val="00E317BE"/>
    <w:rsid w:val="00E319E3"/>
    <w:rsid w:val="00E31D8B"/>
    <w:rsid w:val="00E31E06"/>
    <w:rsid w:val="00E32085"/>
    <w:rsid w:val="00E32091"/>
    <w:rsid w:val="00E320C6"/>
    <w:rsid w:val="00E320CA"/>
    <w:rsid w:val="00E3235D"/>
    <w:rsid w:val="00E325C3"/>
    <w:rsid w:val="00E329E2"/>
    <w:rsid w:val="00E32A1E"/>
    <w:rsid w:val="00E32C17"/>
    <w:rsid w:val="00E32C45"/>
    <w:rsid w:val="00E32CB8"/>
    <w:rsid w:val="00E32EC3"/>
    <w:rsid w:val="00E32F34"/>
    <w:rsid w:val="00E333F5"/>
    <w:rsid w:val="00E336D6"/>
    <w:rsid w:val="00E338C9"/>
    <w:rsid w:val="00E33C46"/>
    <w:rsid w:val="00E33CA3"/>
    <w:rsid w:val="00E33D0C"/>
    <w:rsid w:val="00E33E43"/>
    <w:rsid w:val="00E33E8A"/>
    <w:rsid w:val="00E33F4F"/>
    <w:rsid w:val="00E340F7"/>
    <w:rsid w:val="00E34168"/>
    <w:rsid w:val="00E3443A"/>
    <w:rsid w:val="00E3449E"/>
    <w:rsid w:val="00E34681"/>
    <w:rsid w:val="00E346DC"/>
    <w:rsid w:val="00E3480E"/>
    <w:rsid w:val="00E34955"/>
    <w:rsid w:val="00E34CDC"/>
    <w:rsid w:val="00E34DA9"/>
    <w:rsid w:val="00E34DC2"/>
    <w:rsid w:val="00E34F77"/>
    <w:rsid w:val="00E351C4"/>
    <w:rsid w:val="00E351E8"/>
    <w:rsid w:val="00E352B5"/>
    <w:rsid w:val="00E355C9"/>
    <w:rsid w:val="00E359C9"/>
    <w:rsid w:val="00E36150"/>
    <w:rsid w:val="00E36498"/>
    <w:rsid w:val="00E364F9"/>
    <w:rsid w:val="00E36525"/>
    <w:rsid w:val="00E36584"/>
    <w:rsid w:val="00E369BD"/>
    <w:rsid w:val="00E36C63"/>
    <w:rsid w:val="00E36CBF"/>
    <w:rsid w:val="00E36E15"/>
    <w:rsid w:val="00E36F32"/>
    <w:rsid w:val="00E36F9E"/>
    <w:rsid w:val="00E370DD"/>
    <w:rsid w:val="00E371BE"/>
    <w:rsid w:val="00E3738F"/>
    <w:rsid w:val="00E373D2"/>
    <w:rsid w:val="00E37532"/>
    <w:rsid w:val="00E3761B"/>
    <w:rsid w:val="00E37743"/>
    <w:rsid w:val="00E37818"/>
    <w:rsid w:val="00E378EA"/>
    <w:rsid w:val="00E37B02"/>
    <w:rsid w:val="00E37BDC"/>
    <w:rsid w:val="00E37D9E"/>
    <w:rsid w:val="00E37F83"/>
    <w:rsid w:val="00E401F9"/>
    <w:rsid w:val="00E402A8"/>
    <w:rsid w:val="00E40327"/>
    <w:rsid w:val="00E4041F"/>
    <w:rsid w:val="00E40509"/>
    <w:rsid w:val="00E40E11"/>
    <w:rsid w:val="00E40EA2"/>
    <w:rsid w:val="00E40F48"/>
    <w:rsid w:val="00E40FA1"/>
    <w:rsid w:val="00E410C4"/>
    <w:rsid w:val="00E4115D"/>
    <w:rsid w:val="00E41299"/>
    <w:rsid w:val="00E412A0"/>
    <w:rsid w:val="00E41315"/>
    <w:rsid w:val="00E413BD"/>
    <w:rsid w:val="00E417F5"/>
    <w:rsid w:val="00E4183B"/>
    <w:rsid w:val="00E41898"/>
    <w:rsid w:val="00E419EF"/>
    <w:rsid w:val="00E41A4B"/>
    <w:rsid w:val="00E41ACE"/>
    <w:rsid w:val="00E41B41"/>
    <w:rsid w:val="00E41D7E"/>
    <w:rsid w:val="00E41EB7"/>
    <w:rsid w:val="00E41FEA"/>
    <w:rsid w:val="00E421D2"/>
    <w:rsid w:val="00E4243B"/>
    <w:rsid w:val="00E424BE"/>
    <w:rsid w:val="00E4296A"/>
    <w:rsid w:val="00E42B4F"/>
    <w:rsid w:val="00E42B86"/>
    <w:rsid w:val="00E42EB8"/>
    <w:rsid w:val="00E42F41"/>
    <w:rsid w:val="00E43163"/>
    <w:rsid w:val="00E431C0"/>
    <w:rsid w:val="00E433ED"/>
    <w:rsid w:val="00E4379A"/>
    <w:rsid w:val="00E437B2"/>
    <w:rsid w:val="00E43A8C"/>
    <w:rsid w:val="00E43E80"/>
    <w:rsid w:val="00E4409B"/>
    <w:rsid w:val="00E44168"/>
    <w:rsid w:val="00E44242"/>
    <w:rsid w:val="00E44346"/>
    <w:rsid w:val="00E443F5"/>
    <w:rsid w:val="00E44586"/>
    <w:rsid w:val="00E445D2"/>
    <w:rsid w:val="00E446B4"/>
    <w:rsid w:val="00E44AF1"/>
    <w:rsid w:val="00E44CB1"/>
    <w:rsid w:val="00E44D54"/>
    <w:rsid w:val="00E44DB0"/>
    <w:rsid w:val="00E45019"/>
    <w:rsid w:val="00E45148"/>
    <w:rsid w:val="00E4531D"/>
    <w:rsid w:val="00E45363"/>
    <w:rsid w:val="00E45938"/>
    <w:rsid w:val="00E45E3D"/>
    <w:rsid w:val="00E45F73"/>
    <w:rsid w:val="00E45FB1"/>
    <w:rsid w:val="00E46184"/>
    <w:rsid w:val="00E46456"/>
    <w:rsid w:val="00E464BF"/>
    <w:rsid w:val="00E466A4"/>
    <w:rsid w:val="00E4688A"/>
    <w:rsid w:val="00E4699C"/>
    <w:rsid w:val="00E46B2F"/>
    <w:rsid w:val="00E46D64"/>
    <w:rsid w:val="00E46E9F"/>
    <w:rsid w:val="00E46F5C"/>
    <w:rsid w:val="00E476C5"/>
    <w:rsid w:val="00E4786C"/>
    <w:rsid w:val="00E478A6"/>
    <w:rsid w:val="00E47A66"/>
    <w:rsid w:val="00E47A8F"/>
    <w:rsid w:val="00E47B8B"/>
    <w:rsid w:val="00E5006A"/>
    <w:rsid w:val="00E5019D"/>
    <w:rsid w:val="00E50345"/>
    <w:rsid w:val="00E505C1"/>
    <w:rsid w:val="00E50D20"/>
    <w:rsid w:val="00E50E18"/>
    <w:rsid w:val="00E50E5C"/>
    <w:rsid w:val="00E5116B"/>
    <w:rsid w:val="00E513A9"/>
    <w:rsid w:val="00E514A4"/>
    <w:rsid w:val="00E51822"/>
    <w:rsid w:val="00E51AEB"/>
    <w:rsid w:val="00E51BE4"/>
    <w:rsid w:val="00E51F92"/>
    <w:rsid w:val="00E52124"/>
    <w:rsid w:val="00E522B3"/>
    <w:rsid w:val="00E523B2"/>
    <w:rsid w:val="00E52474"/>
    <w:rsid w:val="00E52A91"/>
    <w:rsid w:val="00E52D6D"/>
    <w:rsid w:val="00E52EBC"/>
    <w:rsid w:val="00E52F99"/>
    <w:rsid w:val="00E53223"/>
    <w:rsid w:val="00E53386"/>
    <w:rsid w:val="00E534A4"/>
    <w:rsid w:val="00E534FA"/>
    <w:rsid w:val="00E5350F"/>
    <w:rsid w:val="00E5375C"/>
    <w:rsid w:val="00E53875"/>
    <w:rsid w:val="00E539FD"/>
    <w:rsid w:val="00E53A17"/>
    <w:rsid w:val="00E53D3A"/>
    <w:rsid w:val="00E53E60"/>
    <w:rsid w:val="00E53EDD"/>
    <w:rsid w:val="00E544D8"/>
    <w:rsid w:val="00E5451F"/>
    <w:rsid w:val="00E54555"/>
    <w:rsid w:val="00E548CA"/>
    <w:rsid w:val="00E5492C"/>
    <w:rsid w:val="00E54B9B"/>
    <w:rsid w:val="00E54BB1"/>
    <w:rsid w:val="00E54BBD"/>
    <w:rsid w:val="00E551CF"/>
    <w:rsid w:val="00E5540C"/>
    <w:rsid w:val="00E55562"/>
    <w:rsid w:val="00E55620"/>
    <w:rsid w:val="00E556CA"/>
    <w:rsid w:val="00E55721"/>
    <w:rsid w:val="00E55A2D"/>
    <w:rsid w:val="00E55B01"/>
    <w:rsid w:val="00E55CF5"/>
    <w:rsid w:val="00E5611C"/>
    <w:rsid w:val="00E561BA"/>
    <w:rsid w:val="00E564E1"/>
    <w:rsid w:val="00E5670E"/>
    <w:rsid w:val="00E567B3"/>
    <w:rsid w:val="00E56B55"/>
    <w:rsid w:val="00E56D75"/>
    <w:rsid w:val="00E570C8"/>
    <w:rsid w:val="00E57161"/>
    <w:rsid w:val="00E57383"/>
    <w:rsid w:val="00E576B0"/>
    <w:rsid w:val="00E57715"/>
    <w:rsid w:val="00E57738"/>
    <w:rsid w:val="00E57B06"/>
    <w:rsid w:val="00E57CED"/>
    <w:rsid w:val="00E57D47"/>
    <w:rsid w:val="00E57EDC"/>
    <w:rsid w:val="00E57F62"/>
    <w:rsid w:val="00E60029"/>
    <w:rsid w:val="00E60065"/>
    <w:rsid w:val="00E6008B"/>
    <w:rsid w:val="00E600F9"/>
    <w:rsid w:val="00E60205"/>
    <w:rsid w:val="00E60599"/>
    <w:rsid w:val="00E608D0"/>
    <w:rsid w:val="00E60BBC"/>
    <w:rsid w:val="00E61193"/>
    <w:rsid w:val="00E6136B"/>
    <w:rsid w:val="00E61435"/>
    <w:rsid w:val="00E61452"/>
    <w:rsid w:val="00E614CE"/>
    <w:rsid w:val="00E61571"/>
    <w:rsid w:val="00E619FB"/>
    <w:rsid w:val="00E620B5"/>
    <w:rsid w:val="00E6215B"/>
    <w:rsid w:val="00E621AE"/>
    <w:rsid w:val="00E621B8"/>
    <w:rsid w:val="00E62208"/>
    <w:rsid w:val="00E626FD"/>
    <w:rsid w:val="00E62710"/>
    <w:rsid w:val="00E62B3B"/>
    <w:rsid w:val="00E62CE6"/>
    <w:rsid w:val="00E62D8D"/>
    <w:rsid w:val="00E62F63"/>
    <w:rsid w:val="00E63025"/>
    <w:rsid w:val="00E630CC"/>
    <w:rsid w:val="00E63300"/>
    <w:rsid w:val="00E6352F"/>
    <w:rsid w:val="00E635A7"/>
    <w:rsid w:val="00E635D1"/>
    <w:rsid w:val="00E63690"/>
    <w:rsid w:val="00E6381C"/>
    <w:rsid w:val="00E63A18"/>
    <w:rsid w:val="00E63C01"/>
    <w:rsid w:val="00E63C25"/>
    <w:rsid w:val="00E63CE3"/>
    <w:rsid w:val="00E63EE4"/>
    <w:rsid w:val="00E64065"/>
    <w:rsid w:val="00E640F3"/>
    <w:rsid w:val="00E642EF"/>
    <w:rsid w:val="00E6440D"/>
    <w:rsid w:val="00E64844"/>
    <w:rsid w:val="00E6489B"/>
    <w:rsid w:val="00E648A3"/>
    <w:rsid w:val="00E64AF2"/>
    <w:rsid w:val="00E64B6B"/>
    <w:rsid w:val="00E64C57"/>
    <w:rsid w:val="00E64DE3"/>
    <w:rsid w:val="00E64E07"/>
    <w:rsid w:val="00E65047"/>
    <w:rsid w:val="00E652D7"/>
    <w:rsid w:val="00E655B9"/>
    <w:rsid w:val="00E656AF"/>
    <w:rsid w:val="00E656F8"/>
    <w:rsid w:val="00E65A3B"/>
    <w:rsid w:val="00E664D6"/>
    <w:rsid w:val="00E665DA"/>
    <w:rsid w:val="00E66658"/>
    <w:rsid w:val="00E667EA"/>
    <w:rsid w:val="00E668B1"/>
    <w:rsid w:val="00E669FB"/>
    <w:rsid w:val="00E66A30"/>
    <w:rsid w:val="00E66BBD"/>
    <w:rsid w:val="00E66ECD"/>
    <w:rsid w:val="00E66F16"/>
    <w:rsid w:val="00E6707E"/>
    <w:rsid w:val="00E67193"/>
    <w:rsid w:val="00E67264"/>
    <w:rsid w:val="00E6746D"/>
    <w:rsid w:val="00E6746E"/>
    <w:rsid w:val="00E674D7"/>
    <w:rsid w:val="00E674F2"/>
    <w:rsid w:val="00E67573"/>
    <w:rsid w:val="00E675C5"/>
    <w:rsid w:val="00E67604"/>
    <w:rsid w:val="00E67A42"/>
    <w:rsid w:val="00E67B54"/>
    <w:rsid w:val="00E67B8D"/>
    <w:rsid w:val="00E67C24"/>
    <w:rsid w:val="00E67C4A"/>
    <w:rsid w:val="00E67EE4"/>
    <w:rsid w:val="00E70046"/>
    <w:rsid w:val="00E70077"/>
    <w:rsid w:val="00E70209"/>
    <w:rsid w:val="00E70275"/>
    <w:rsid w:val="00E70744"/>
    <w:rsid w:val="00E708B3"/>
    <w:rsid w:val="00E70B48"/>
    <w:rsid w:val="00E70B85"/>
    <w:rsid w:val="00E70D44"/>
    <w:rsid w:val="00E70FF0"/>
    <w:rsid w:val="00E710E7"/>
    <w:rsid w:val="00E713DF"/>
    <w:rsid w:val="00E71547"/>
    <w:rsid w:val="00E71686"/>
    <w:rsid w:val="00E71724"/>
    <w:rsid w:val="00E71880"/>
    <w:rsid w:val="00E71996"/>
    <w:rsid w:val="00E71B15"/>
    <w:rsid w:val="00E71BF6"/>
    <w:rsid w:val="00E71C86"/>
    <w:rsid w:val="00E71DF0"/>
    <w:rsid w:val="00E71F67"/>
    <w:rsid w:val="00E71FC8"/>
    <w:rsid w:val="00E722C9"/>
    <w:rsid w:val="00E723CD"/>
    <w:rsid w:val="00E724AE"/>
    <w:rsid w:val="00E72625"/>
    <w:rsid w:val="00E726F6"/>
    <w:rsid w:val="00E729B3"/>
    <w:rsid w:val="00E72B1C"/>
    <w:rsid w:val="00E72B92"/>
    <w:rsid w:val="00E72DF6"/>
    <w:rsid w:val="00E731F3"/>
    <w:rsid w:val="00E73344"/>
    <w:rsid w:val="00E735AE"/>
    <w:rsid w:val="00E739A2"/>
    <w:rsid w:val="00E73A32"/>
    <w:rsid w:val="00E73C47"/>
    <w:rsid w:val="00E73F38"/>
    <w:rsid w:val="00E74044"/>
    <w:rsid w:val="00E745E2"/>
    <w:rsid w:val="00E747DB"/>
    <w:rsid w:val="00E74A3A"/>
    <w:rsid w:val="00E74A94"/>
    <w:rsid w:val="00E74E33"/>
    <w:rsid w:val="00E75092"/>
    <w:rsid w:val="00E750C6"/>
    <w:rsid w:val="00E754CD"/>
    <w:rsid w:val="00E75799"/>
    <w:rsid w:val="00E757D1"/>
    <w:rsid w:val="00E759B9"/>
    <w:rsid w:val="00E75ADB"/>
    <w:rsid w:val="00E75D2F"/>
    <w:rsid w:val="00E75EEC"/>
    <w:rsid w:val="00E75F4E"/>
    <w:rsid w:val="00E7601A"/>
    <w:rsid w:val="00E76284"/>
    <w:rsid w:val="00E7628C"/>
    <w:rsid w:val="00E76547"/>
    <w:rsid w:val="00E768EB"/>
    <w:rsid w:val="00E76C27"/>
    <w:rsid w:val="00E76CB3"/>
    <w:rsid w:val="00E76E84"/>
    <w:rsid w:val="00E76F03"/>
    <w:rsid w:val="00E77231"/>
    <w:rsid w:val="00E7770E"/>
    <w:rsid w:val="00E779A9"/>
    <w:rsid w:val="00E77A8E"/>
    <w:rsid w:val="00E77B13"/>
    <w:rsid w:val="00E77BF6"/>
    <w:rsid w:val="00E77DAC"/>
    <w:rsid w:val="00E77EC7"/>
    <w:rsid w:val="00E80028"/>
    <w:rsid w:val="00E80169"/>
    <w:rsid w:val="00E80270"/>
    <w:rsid w:val="00E80331"/>
    <w:rsid w:val="00E80459"/>
    <w:rsid w:val="00E80512"/>
    <w:rsid w:val="00E805E2"/>
    <w:rsid w:val="00E806A9"/>
    <w:rsid w:val="00E80853"/>
    <w:rsid w:val="00E80996"/>
    <w:rsid w:val="00E809EF"/>
    <w:rsid w:val="00E80B82"/>
    <w:rsid w:val="00E80B89"/>
    <w:rsid w:val="00E811A6"/>
    <w:rsid w:val="00E812A2"/>
    <w:rsid w:val="00E812A5"/>
    <w:rsid w:val="00E8141E"/>
    <w:rsid w:val="00E817F6"/>
    <w:rsid w:val="00E81818"/>
    <w:rsid w:val="00E8187F"/>
    <w:rsid w:val="00E81967"/>
    <w:rsid w:val="00E81BAF"/>
    <w:rsid w:val="00E81D64"/>
    <w:rsid w:val="00E81E16"/>
    <w:rsid w:val="00E81FCE"/>
    <w:rsid w:val="00E820BE"/>
    <w:rsid w:val="00E8260B"/>
    <w:rsid w:val="00E82644"/>
    <w:rsid w:val="00E82AAE"/>
    <w:rsid w:val="00E82AE3"/>
    <w:rsid w:val="00E82B7B"/>
    <w:rsid w:val="00E82C48"/>
    <w:rsid w:val="00E82DEA"/>
    <w:rsid w:val="00E82F9D"/>
    <w:rsid w:val="00E83056"/>
    <w:rsid w:val="00E830B9"/>
    <w:rsid w:val="00E830DD"/>
    <w:rsid w:val="00E833A1"/>
    <w:rsid w:val="00E833FF"/>
    <w:rsid w:val="00E83406"/>
    <w:rsid w:val="00E837A5"/>
    <w:rsid w:val="00E8380A"/>
    <w:rsid w:val="00E83853"/>
    <w:rsid w:val="00E839C6"/>
    <w:rsid w:val="00E83D2C"/>
    <w:rsid w:val="00E83F2A"/>
    <w:rsid w:val="00E840CE"/>
    <w:rsid w:val="00E8443B"/>
    <w:rsid w:val="00E84AAA"/>
    <w:rsid w:val="00E84C71"/>
    <w:rsid w:val="00E84F7B"/>
    <w:rsid w:val="00E85090"/>
    <w:rsid w:val="00E85344"/>
    <w:rsid w:val="00E854B1"/>
    <w:rsid w:val="00E856AD"/>
    <w:rsid w:val="00E857AB"/>
    <w:rsid w:val="00E858AD"/>
    <w:rsid w:val="00E85A44"/>
    <w:rsid w:val="00E85B38"/>
    <w:rsid w:val="00E85B77"/>
    <w:rsid w:val="00E85BDB"/>
    <w:rsid w:val="00E85C1E"/>
    <w:rsid w:val="00E85CFA"/>
    <w:rsid w:val="00E85DB3"/>
    <w:rsid w:val="00E8609C"/>
    <w:rsid w:val="00E861C9"/>
    <w:rsid w:val="00E8624A"/>
    <w:rsid w:val="00E862A0"/>
    <w:rsid w:val="00E862F8"/>
    <w:rsid w:val="00E869B2"/>
    <w:rsid w:val="00E86AAA"/>
    <w:rsid w:val="00E86C64"/>
    <w:rsid w:val="00E86CC9"/>
    <w:rsid w:val="00E86E5D"/>
    <w:rsid w:val="00E86F38"/>
    <w:rsid w:val="00E8702C"/>
    <w:rsid w:val="00E87187"/>
    <w:rsid w:val="00E8734A"/>
    <w:rsid w:val="00E877C6"/>
    <w:rsid w:val="00E87814"/>
    <w:rsid w:val="00E87940"/>
    <w:rsid w:val="00E87B1E"/>
    <w:rsid w:val="00E87BC5"/>
    <w:rsid w:val="00E87EBD"/>
    <w:rsid w:val="00E902A6"/>
    <w:rsid w:val="00E90393"/>
    <w:rsid w:val="00E90B09"/>
    <w:rsid w:val="00E90C54"/>
    <w:rsid w:val="00E90F3F"/>
    <w:rsid w:val="00E913EA"/>
    <w:rsid w:val="00E913F1"/>
    <w:rsid w:val="00E91478"/>
    <w:rsid w:val="00E916BD"/>
    <w:rsid w:val="00E9179C"/>
    <w:rsid w:val="00E91CFF"/>
    <w:rsid w:val="00E91E95"/>
    <w:rsid w:val="00E91FC2"/>
    <w:rsid w:val="00E9206C"/>
    <w:rsid w:val="00E92444"/>
    <w:rsid w:val="00E924F9"/>
    <w:rsid w:val="00E926F3"/>
    <w:rsid w:val="00E92768"/>
    <w:rsid w:val="00E928A8"/>
    <w:rsid w:val="00E928F0"/>
    <w:rsid w:val="00E92B1E"/>
    <w:rsid w:val="00E92C36"/>
    <w:rsid w:val="00E9306F"/>
    <w:rsid w:val="00E930A1"/>
    <w:rsid w:val="00E93264"/>
    <w:rsid w:val="00E9327B"/>
    <w:rsid w:val="00E933DC"/>
    <w:rsid w:val="00E93548"/>
    <w:rsid w:val="00E93550"/>
    <w:rsid w:val="00E93A29"/>
    <w:rsid w:val="00E93C6F"/>
    <w:rsid w:val="00E93D67"/>
    <w:rsid w:val="00E94165"/>
    <w:rsid w:val="00E94179"/>
    <w:rsid w:val="00E943BC"/>
    <w:rsid w:val="00E9441B"/>
    <w:rsid w:val="00E948D9"/>
    <w:rsid w:val="00E949F5"/>
    <w:rsid w:val="00E94A4D"/>
    <w:rsid w:val="00E94A7D"/>
    <w:rsid w:val="00E94ABD"/>
    <w:rsid w:val="00E94ACB"/>
    <w:rsid w:val="00E94C67"/>
    <w:rsid w:val="00E94DFD"/>
    <w:rsid w:val="00E94E81"/>
    <w:rsid w:val="00E94FCF"/>
    <w:rsid w:val="00E94FD6"/>
    <w:rsid w:val="00E95069"/>
    <w:rsid w:val="00E952B9"/>
    <w:rsid w:val="00E9538A"/>
    <w:rsid w:val="00E95449"/>
    <w:rsid w:val="00E95728"/>
    <w:rsid w:val="00E95B13"/>
    <w:rsid w:val="00E95B4D"/>
    <w:rsid w:val="00E95B5E"/>
    <w:rsid w:val="00E95B5F"/>
    <w:rsid w:val="00E95BE8"/>
    <w:rsid w:val="00E95C18"/>
    <w:rsid w:val="00E95CEF"/>
    <w:rsid w:val="00E95D2A"/>
    <w:rsid w:val="00E95F68"/>
    <w:rsid w:val="00E96097"/>
    <w:rsid w:val="00E960D8"/>
    <w:rsid w:val="00E96225"/>
    <w:rsid w:val="00E9627F"/>
    <w:rsid w:val="00E965EF"/>
    <w:rsid w:val="00E965FE"/>
    <w:rsid w:val="00E966FE"/>
    <w:rsid w:val="00E96762"/>
    <w:rsid w:val="00E9680D"/>
    <w:rsid w:val="00E96AD9"/>
    <w:rsid w:val="00E96ED3"/>
    <w:rsid w:val="00E970A8"/>
    <w:rsid w:val="00E9711A"/>
    <w:rsid w:val="00E9719D"/>
    <w:rsid w:val="00E97265"/>
    <w:rsid w:val="00E975BC"/>
    <w:rsid w:val="00E9798E"/>
    <w:rsid w:val="00E97D48"/>
    <w:rsid w:val="00E97E38"/>
    <w:rsid w:val="00EA0336"/>
    <w:rsid w:val="00EA0545"/>
    <w:rsid w:val="00EA061B"/>
    <w:rsid w:val="00EA06A8"/>
    <w:rsid w:val="00EA079D"/>
    <w:rsid w:val="00EA07FD"/>
    <w:rsid w:val="00EA082F"/>
    <w:rsid w:val="00EA088D"/>
    <w:rsid w:val="00EA0A1C"/>
    <w:rsid w:val="00EA0C5C"/>
    <w:rsid w:val="00EA0CB9"/>
    <w:rsid w:val="00EA0ECA"/>
    <w:rsid w:val="00EA0F4A"/>
    <w:rsid w:val="00EA11F1"/>
    <w:rsid w:val="00EA123D"/>
    <w:rsid w:val="00EA1391"/>
    <w:rsid w:val="00EA1830"/>
    <w:rsid w:val="00EA1855"/>
    <w:rsid w:val="00EA1896"/>
    <w:rsid w:val="00EA18F6"/>
    <w:rsid w:val="00EA1A0E"/>
    <w:rsid w:val="00EA1B8E"/>
    <w:rsid w:val="00EA1E92"/>
    <w:rsid w:val="00EA1F17"/>
    <w:rsid w:val="00EA2036"/>
    <w:rsid w:val="00EA219F"/>
    <w:rsid w:val="00EA236C"/>
    <w:rsid w:val="00EA2380"/>
    <w:rsid w:val="00EA280C"/>
    <w:rsid w:val="00EA29DA"/>
    <w:rsid w:val="00EA2E00"/>
    <w:rsid w:val="00EA32D1"/>
    <w:rsid w:val="00EA334A"/>
    <w:rsid w:val="00EA336E"/>
    <w:rsid w:val="00EA3387"/>
    <w:rsid w:val="00EA3466"/>
    <w:rsid w:val="00EA3B0C"/>
    <w:rsid w:val="00EA3BB0"/>
    <w:rsid w:val="00EA3CFF"/>
    <w:rsid w:val="00EA3DF2"/>
    <w:rsid w:val="00EA3FFC"/>
    <w:rsid w:val="00EA44E4"/>
    <w:rsid w:val="00EA458C"/>
    <w:rsid w:val="00EA4793"/>
    <w:rsid w:val="00EA4915"/>
    <w:rsid w:val="00EA4A53"/>
    <w:rsid w:val="00EA4BBE"/>
    <w:rsid w:val="00EA4D84"/>
    <w:rsid w:val="00EA4DE9"/>
    <w:rsid w:val="00EA4E04"/>
    <w:rsid w:val="00EA4E41"/>
    <w:rsid w:val="00EA4F64"/>
    <w:rsid w:val="00EA4F9F"/>
    <w:rsid w:val="00EA4FBA"/>
    <w:rsid w:val="00EA50DB"/>
    <w:rsid w:val="00EA51B3"/>
    <w:rsid w:val="00EA54B1"/>
    <w:rsid w:val="00EA57BF"/>
    <w:rsid w:val="00EA5849"/>
    <w:rsid w:val="00EA585F"/>
    <w:rsid w:val="00EA5972"/>
    <w:rsid w:val="00EA5BC2"/>
    <w:rsid w:val="00EA5EF8"/>
    <w:rsid w:val="00EA60AD"/>
    <w:rsid w:val="00EA63FC"/>
    <w:rsid w:val="00EA64DA"/>
    <w:rsid w:val="00EA6612"/>
    <w:rsid w:val="00EA6735"/>
    <w:rsid w:val="00EA6BA4"/>
    <w:rsid w:val="00EA6C98"/>
    <w:rsid w:val="00EA6E2D"/>
    <w:rsid w:val="00EA6FC1"/>
    <w:rsid w:val="00EA7420"/>
    <w:rsid w:val="00EA7476"/>
    <w:rsid w:val="00EA752F"/>
    <w:rsid w:val="00EA7547"/>
    <w:rsid w:val="00EA7617"/>
    <w:rsid w:val="00EA7847"/>
    <w:rsid w:val="00EA788C"/>
    <w:rsid w:val="00EA7AD1"/>
    <w:rsid w:val="00EA7BFE"/>
    <w:rsid w:val="00EA7D68"/>
    <w:rsid w:val="00EA7DA1"/>
    <w:rsid w:val="00EB0505"/>
    <w:rsid w:val="00EB0522"/>
    <w:rsid w:val="00EB05EC"/>
    <w:rsid w:val="00EB06D3"/>
    <w:rsid w:val="00EB09EB"/>
    <w:rsid w:val="00EB0A50"/>
    <w:rsid w:val="00EB0AD7"/>
    <w:rsid w:val="00EB0CB3"/>
    <w:rsid w:val="00EB0E60"/>
    <w:rsid w:val="00EB0FCB"/>
    <w:rsid w:val="00EB10D9"/>
    <w:rsid w:val="00EB1103"/>
    <w:rsid w:val="00EB150F"/>
    <w:rsid w:val="00EB1880"/>
    <w:rsid w:val="00EB19F8"/>
    <w:rsid w:val="00EB1C73"/>
    <w:rsid w:val="00EB1E42"/>
    <w:rsid w:val="00EB1FDD"/>
    <w:rsid w:val="00EB206E"/>
    <w:rsid w:val="00EB20FB"/>
    <w:rsid w:val="00EB229D"/>
    <w:rsid w:val="00EB23E8"/>
    <w:rsid w:val="00EB23FD"/>
    <w:rsid w:val="00EB2417"/>
    <w:rsid w:val="00EB24B8"/>
    <w:rsid w:val="00EB25F3"/>
    <w:rsid w:val="00EB274C"/>
    <w:rsid w:val="00EB29AC"/>
    <w:rsid w:val="00EB2A9D"/>
    <w:rsid w:val="00EB2D0D"/>
    <w:rsid w:val="00EB2D43"/>
    <w:rsid w:val="00EB2D97"/>
    <w:rsid w:val="00EB2E15"/>
    <w:rsid w:val="00EB3127"/>
    <w:rsid w:val="00EB368B"/>
    <w:rsid w:val="00EB3832"/>
    <w:rsid w:val="00EB3919"/>
    <w:rsid w:val="00EB3A47"/>
    <w:rsid w:val="00EB3AEA"/>
    <w:rsid w:val="00EB3D64"/>
    <w:rsid w:val="00EB3D99"/>
    <w:rsid w:val="00EB3F57"/>
    <w:rsid w:val="00EB410B"/>
    <w:rsid w:val="00EB4174"/>
    <w:rsid w:val="00EB419E"/>
    <w:rsid w:val="00EB41C3"/>
    <w:rsid w:val="00EB41FC"/>
    <w:rsid w:val="00EB42AF"/>
    <w:rsid w:val="00EB438E"/>
    <w:rsid w:val="00EB458B"/>
    <w:rsid w:val="00EB46DE"/>
    <w:rsid w:val="00EB485A"/>
    <w:rsid w:val="00EB4ACF"/>
    <w:rsid w:val="00EB4C0D"/>
    <w:rsid w:val="00EB4D60"/>
    <w:rsid w:val="00EB4DE5"/>
    <w:rsid w:val="00EB4E0F"/>
    <w:rsid w:val="00EB5313"/>
    <w:rsid w:val="00EB5505"/>
    <w:rsid w:val="00EB5540"/>
    <w:rsid w:val="00EB56E1"/>
    <w:rsid w:val="00EB5825"/>
    <w:rsid w:val="00EB587B"/>
    <w:rsid w:val="00EB58DE"/>
    <w:rsid w:val="00EB596E"/>
    <w:rsid w:val="00EB5999"/>
    <w:rsid w:val="00EB5A90"/>
    <w:rsid w:val="00EB5BE3"/>
    <w:rsid w:val="00EB5CF5"/>
    <w:rsid w:val="00EB6077"/>
    <w:rsid w:val="00EB6197"/>
    <w:rsid w:val="00EB61A6"/>
    <w:rsid w:val="00EB61C2"/>
    <w:rsid w:val="00EB623A"/>
    <w:rsid w:val="00EB62BE"/>
    <w:rsid w:val="00EB644F"/>
    <w:rsid w:val="00EB6915"/>
    <w:rsid w:val="00EB6B0C"/>
    <w:rsid w:val="00EB6B92"/>
    <w:rsid w:val="00EB6C24"/>
    <w:rsid w:val="00EB6D38"/>
    <w:rsid w:val="00EB6D5E"/>
    <w:rsid w:val="00EB6EB4"/>
    <w:rsid w:val="00EB6EC3"/>
    <w:rsid w:val="00EB6EF1"/>
    <w:rsid w:val="00EB70D0"/>
    <w:rsid w:val="00EB70E6"/>
    <w:rsid w:val="00EB71C5"/>
    <w:rsid w:val="00EB7359"/>
    <w:rsid w:val="00EB75E3"/>
    <w:rsid w:val="00EB763D"/>
    <w:rsid w:val="00EB7682"/>
    <w:rsid w:val="00EB76FF"/>
    <w:rsid w:val="00EB7BDC"/>
    <w:rsid w:val="00EB7C1E"/>
    <w:rsid w:val="00EB7CB8"/>
    <w:rsid w:val="00EB7DE5"/>
    <w:rsid w:val="00EB7DE6"/>
    <w:rsid w:val="00EB7F0E"/>
    <w:rsid w:val="00EC0001"/>
    <w:rsid w:val="00EC0142"/>
    <w:rsid w:val="00EC01B3"/>
    <w:rsid w:val="00EC098C"/>
    <w:rsid w:val="00EC0AE8"/>
    <w:rsid w:val="00EC0BA2"/>
    <w:rsid w:val="00EC0C7B"/>
    <w:rsid w:val="00EC0D84"/>
    <w:rsid w:val="00EC0F29"/>
    <w:rsid w:val="00EC10E2"/>
    <w:rsid w:val="00EC126A"/>
    <w:rsid w:val="00EC1328"/>
    <w:rsid w:val="00EC1440"/>
    <w:rsid w:val="00EC180C"/>
    <w:rsid w:val="00EC1866"/>
    <w:rsid w:val="00EC1CAD"/>
    <w:rsid w:val="00EC1EC9"/>
    <w:rsid w:val="00EC2190"/>
    <w:rsid w:val="00EC21F2"/>
    <w:rsid w:val="00EC22D6"/>
    <w:rsid w:val="00EC22F6"/>
    <w:rsid w:val="00EC2329"/>
    <w:rsid w:val="00EC2531"/>
    <w:rsid w:val="00EC26C4"/>
    <w:rsid w:val="00EC2AC3"/>
    <w:rsid w:val="00EC2E59"/>
    <w:rsid w:val="00EC3072"/>
    <w:rsid w:val="00EC3154"/>
    <w:rsid w:val="00EC32B4"/>
    <w:rsid w:val="00EC366E"/>
    <w:rsid w:val="00EC3755"/>
    <w:rsid w:val="00EC37FF"/>
    <w:rsid w:val="00EC3953"/>
    <w:rsid w:val="00EC3BB2"/>
    <w:rsid w:val="00EC3DA8"/>
    <w:rsid w:val="00EC3DAD"/>
    <w:rsid w:val="00EC3F1B"/>
    <w:rsid w:val="00EC3F25"/>
    <w:rsid w:val="00EC3FA4"/>
    <w:rsid w:val="00EC3FD4"/>
    <w:rsid w:val="00EC41A8"/>
    <w:rsid w:val="00EC43EB"/>
    <w:rsid w:val="00EC444A"/>
    <w:rsid w:val="00EC47BD"/>
    <w:rsid w:val="00EC47DD"/>
    <w:rsid w:val="00EC4A83"/>
    <w:rsid w:val="00EC4B2E"/>
    <w:rsid w:val="00EC4D0F"/>
    <w:rsid w:val="00EC4E04"/>
    <w:rsid w:val="00EC4F30"/>
    <w:rsid w:val="00EC5042"/>
    <w:rsid w:val="00EC52CE"/>
    <w:rsid w:val="00EC530F"/>
    <w:rsid w:val="00EC5AB6"/>
    <w:rsid w:val="00EC5B80"/>
    <w:rsid w:val="00EC5D8A"/>
    <w:rsid w:val="00EC5DEA"/>
    <w:rsid w:val="00EC5E5B"/>
    <w:rsid w:val="00EC605B"/>
    <w:rsid w:val="00EC6309"/>
    <w:rsid w:val="00EC637D"/>
    <w:rsid w:val="00EC6616"/>
    <w:rsid w:val="00EC66D7"/>
    <w:rsid w:val="00EC67B5"/>
    <w:rsid w:val="00EC6909"/>
    <w:rsid w:val="00EC691C"/>
    <w:rsid w:val="00EC692B"/>
    <w:rsid w:val="00EC69C6"/>
    <w:rsid w:val="00EC6ADD"/>
    <w:rsid w:val="00EC6AF8"/>
    <w:rsid w:val="00EC6BEC"/>
    <w:rsid w:val="00EC6C39"/>
    <w:rsid w:val="00EC6C70"/>
    <w:rsid w:val="00EC6D6A"/>
    <w:rsid w:val="00EC7111"/>
    <w:rsid w:val="00EC727A"/>
    <w:rsid w:val="00EC7495"/>
    <w:rsid w:val="00EC7505"/>
    <w:rsid w:val="00EC7720"/>
    <w:rsid w:val="00EC7786"/>
    <w:rsid w:val="00EC79BA"/>
    <w:rsid w:val="00EC7BFB"/>
    <w:rsid w:val="00EC7E48"/>
    <w:rsid w:val="00EC7E71"/>
    <w:rsid w:val="00EC7FE6"/>
    <w:rsid w:val="00ED038B"/>
    <w:rsid w:val="00ED06BB"/>
    <w:rsid w:val="00ED06E1"/>
    <w:rsid w:val="00ED090C"/>
    <w:rsid w:val="00ED09FE"/>
    <w:rsid w:val="00ED0B16"/>
    <w:rsid w:val="00ED0EA9"/>
    <w:rsid w:val="00ED10F0"/>
    <w:rsid w:val="00ED160E"/>
    <w:rsid w:val="00ED191B"/>
    <w:rsid w:val="00ED19D8"/>
    <w:rsid w:val="00ED1A48"/>
    <w:rsid w:val="00ED1A54"/>
    <w:rsid w:val="00ED1B57"/>
    <w:rsid w:val="00ED1C15"/>
    <w:rsid w:val="00ED213D"/>
    <w:rsid w:val="00ED220B"/>
    <w:rsid w:val="00ED249B"/>
    <w:rsid w:val="00ED24AB"/>
    <w:rsid w:val="00ED251E"/>
    <w:rsid w:val="00ED29E7"/>
    <w:rsid w:val="00ED2A9C"/>
    <w:rsid w:val="00ED2E45"/>
    <w:rsid w:val="00ED3193"/>
    <w:rsid w:val="00ED333E"/>
    <w:rsid w:val="00ED355D"/>
    <w:rsid w:val="00ED37FC"/>
    <w:rsid w:val="00ED3837"/>
    <w:rsid w:val="00ED3FD2"/>
    <w:rsid w:val="00ED4027"/>
    <w:rsid w:val="00ED4192"/>
    <w:rsid w:val="00ED4239"/>
    <w:rsid w:val="00ED42FC"/>
    <w:rsid w:val="00ED45D6"/>
    <w:rsid w:val="00ED45FA"/>
    <w:rsid w:val="00ED4649"/>
    <w:rsid w:val="00ED46C4"/>
    <w:rsid w:val="00ED47B8"/>
    <w:rsid w:val="00ED49AB"/>
    <w:rsid w:val="00ED49F3"/>
    <w:rsid w:val="00ED4AEE"/>
    <w:rsid w:val="00ED4B3D"/>
    <w:rsid w:val="00ED4C93"/>
    <w:rsid w:val="00ED4E7B"/>
    <w:rsid w:val="00ED4FC9"/>
    <w:rsid w:val="00ED50CF"/>
    <w:rsid w:val="00ED54D9"/>
    <w:rsid w:val="00ED5855"/>
    <w:rsid w:val="00ED5A99"/>
    <w:rsid w:val="00ED5D55"/>
    <w:rsid w:val="00ED5FAE"/>
    <w:rsid w:val="00ED602E"/>
    <w:rsid w:val="00ED61FD"/>
    <w:rsid w:val="00ED6419"/>
    <w:rsid w:val="00ED6551"/>
    <w:rsid w:val="00ED6646"/>
    <w:rsid w:val="00ED6698"/>
    <w:rsid w:val="00ED6699"/>
    <w:rsid w:val="00ED672B"/>
    <w:rsid w:val="00ED6849"/>
    <w:rsid w:val="00ED6868"/>
    <w:rsid w:val="00ED6897"/>
    <w:rsid w:val="00ED6F13"/>
    <w:rsid w:val="00ED7221"/>
    <w:rsid w:val="00ED7307"/>
    <w:rsid w:val="00ED734F"/>
    <w:rsid w:val="00ED73CD"/>
    <w:rsid w:val="00ED773E"/>
    <w:rsid w:val="00ED782C"/>
    <w:rsid w:val="00ED78ED"/>
    <w:rsid w:val="00ED7AD2"/>
    <w:rsid w:val="00ED7C68"/>
    <w:rsid w:val="00ED7D53"/>
    <w:rsid w:val="00ED7F0E"/>
    <w:rsid w:val="00ED7FAD"/>
    <w:rsid w:val="00EE075F"/>
    <w:rsid w:val="00EE078B"/>
    <w:rsid w:val="00EE0954"/>
    <w:rsid w:val="00EE0C15"/>
    <w:rsid w:val="00EE0C68"/>
    <w:rsid w:val="00EE11A6"/>
    <w:rsid w:val="00EE13CB"/>
    <w:rsid w:val="00EE1529"/>
    <w:rsid w:val="00EE1613"/>
    <w:rsid w:val="00EE177A"/>
    <w:rsid w:val="00EE1AFD"/>
    <w:rsid w:val="00EE1AFE"/>
    <w:rsid w:val="00EE1EC5"/>
    <w:rsid w:val="00EE203F"/>
    <w:rsid w:val="00EE20F7"/>
    <w:rsid w:val="00EE21CB"/>
    <w:rsid w:val="00EE228F"/>
    <w:rsid w:val="00EE231C"/>
    <w:rsid w:val="00EE26BF"/>
    <w:rsid w:val="00EE277C"/>
    <w:rsid w:val="00EE2820"/>
    <w:rsid w:val="00EE2C57"/>
    <w:rsid w:val="00EE2C73"/>
    <w:rsid w:val="00EE32E5"/>
    <w:rsid w:val="00EE33C9"/>
    <w:rsid w:val="00EE3527"/>
    <w:rsid w:val="00EE353D"/>
    <w:rsid w:val="00EE370E"/>
    <w:rsid w:val="00EE3A2A"/>
    <w:rsid w:val="00EE3A89"/>
    <w:rsid w:val="00EE3DE3"/>
    <w:rsid w:val="00EE3E35"/>
    <w:rsid w:val="00EE3FCA"/>
    <w:rsid w:val="00EE41DB"/>
    <w:rsid w:val="00EE4330"/>
    <w:rsid w:val="00EE4409"/>
    <w:rsid w:val="00EE4A46"/>
    <w:rsid w:val="00EE4A66"/>
    <w:rsid w:val="00EE4D1B"/>
    <w:rsid w:val="00EE4ECB"/>
    <w:rsid w:val="00EE5435"/>
    <w:rsid w:val="00EE5B40"/>
    <w:rsid w:val="00EE63AB"/>
    <w:rsid w:val="00EE676C"/>
    <w:rsid w:val="00EE6790"/>
    <w:rsid w:val="00EE684A"/>
    <w:rsid w:val="00EE6891"/>
    <w:rsid w:val="00EE6A4F"/>
    <w:rsid w:val="00EE6A8A"/>
    <w:rsid w:val="00EE6CCB"/>
    <w:rsid w:val="00EE6E66"/>
    <w:rsid w:val="00EE6EC2"/>
    <w:rsid w:val="00EE7180"/>
    <w:rsid w:val="00EE74CF"/>
    <w:rsid w:val="00EE764B"/>
    <w:rsid w:val="00EE770F"/>
    <w:rsid w:val="00EE779A"/>
    <w:rsid w:val="00EE7885"/>
    <w:rsid w:val="00EE7A62"/>
    <w:rsid w:val="00EE7E55"/>
    <w:rsid w:val="00EF0010"/>
    <w:rsid w:val="00EF0049"/>
    <w:rsid w:val="00EF04ED"/>
    <w:rsid w:val="00EF0604"/>
    <w:rsid w:val="00EF08C2"/>
    <w:rsid w:val="00EF099A"/>
    <w:rsid w:val="00EF0AAD"/>
    <w:rsid w:val="00EF0B23"/>
    <w:rsid w:val="00EF0B47"/>
    <w:rsid w:val="00EF1077"/>
    <w:rsid w:val="00EF1143"/>
    <w:rsid w:val="00EF11C2"/>
    <w:rsid w:val="00EF11C3"/>
    <w:rsid w:val="00EF12BF"/>
    <w:rsid w:val="00EF175B"/>
    <w:rsid w:val="00EF18DD"/>
    <w:rsid w:val="00EF1967"/>
    <w:rsid w:val="00EF196B"/>
    <w:rsid w:val="00EF1972"/>
    <w:rsid w:val="00EF19FA"/>
    <w:rsid w:val="00EF1A4B"/>
    <w:rsid w:val="00EF1AB4"/>
    <w:rsid w:val="00EF1AF8"/>
    <w:rsid w:val="00EF1C66"/>
    <w:rsid w:val="00EF1CF5"/>
    <w:rsid w:val="00EF1E10"/>
    <w:rsid w:val="00EF2351"/>
    <w:rsid w:val="00EF237B"/>
    <w:rsid w:val="00EF23A9"/>
    <w:rsid w:val="00EF261B"/>
    <w:rsid w:val="00EF2648"/>
    <w:rsid w:val="00EF26FA"/>
    <w:rsid w:val="00EF28FC"/>
    <w:rsid w:val="00EF296A"/>
    <w:rsid w:val="00EF2B7E"/>
    <w:rsid w:val="00EF2D3B"/>
    <w:rsid w:val="00EF3110"/>
    <w:rsid w:val="00EF3234"/>
    <w:rsid w:val="00EF3713"/>
    <w:rsid w:val="00EF3FB4"/>
    <w:rsid w:val="00EF40FA"/>
    <w:rsid w:val="00EF41E9"/>
    <w:rsid w:val="00EF4308"/>
    <w:rsid w:val="00EF4345"/>
    <w:rsid w:val="00EF44EE"/>
    <w:rsid w:val="00EF4A52"/>
    <w:rsid w:val="00EF4CF0"/>
    <w:rsid w:val="00EF4E1E"/>
    <w:rsid w:val="00EF5210"/>
    <w:rsid w:val="00EF5256"/>
    <w:rsid w:val="00EF5391"/>
    <w:rsid w:val="00EF554D"/>
    <w:rsid w:val="00EF5861"/>
    <w:rsid w:val="00EF58C6"/>
    <w:rsid w:val="00EF5B4A"/>
    <w:rsid w:val="00EF5D39"/>
    <w:rsid w:val="00EF5D6B"/>
    <w:rsid w:val="00EF5D94"/>
    <w:rsid w:val="00EF610E"/>
    <w:rsid w:val="00EF63D2"/>
    <w:rsid w:val="00EF6471"/>
    <w:rsid w:val="00EF6482"/>
    <w:rsid w:val="00EF64C5"/>
    <w:rsid w:val="00EF6658"/>
    <w:rsid w:val="00EF6713"/>
    <w:rsid w:val="00EF68C3"/>
    <w:rsid w:val="00EF68C6"/>
    <w:rsid w:val="00EF6968"/>
    <w:rsid w:val="00EF6BF3"/>
    <w:rsid w:val="00EF6C9F"/>
    <w:rsid w:val="00EF6D05"/>
    <w:rsid w:val="00EF7424"/>
    <w:rsid w:val="00EF75FE"/>
    <w:rsid w:val="00EF7600"/>
    <w:rsid w:val="00EF7647"/>
    <w:rsid w:val="00EF7670"/>
    <w:rsid w:val="00EF774C"/>
    <w:rsid w:val="00EF7794"/>
    <w:rsid w:val="00EF799C"/>
    <w:rsid w:val="00EF79A2"/>
    <w:rsid w:val="00EF7AAF"/>
    <w:rsid w:val="00EF7EE4"/>
    <w:rsid w:val="00F00055"/>
    <w:rsid w:val="00F0023D"/>
    <w:rsid w:val="00F0040C"/>
    <w:rsid w:val="00F0062D"/>
    <w:rsid w:val="00F00729"/>
    <w:rsid w:val="00F0072D"/>
    <w:rsid w:val="00F00758"/>
    <w:rsid w:val="00F00909"/>
    <w:rsid w:val="00F009F9"/>
    <w:rsid w:val="00F00B27"/>
    <w:rsid w:val="00F00B43"/>
    <w:rsid w:val="00F00EB8"/>
    <w:rsid w:val="00F00F69"/>
    <w:rsid w:val="00F01009"/>
    <w:rsid w:val="00F01461"/>
    <w:rsid w:val="00F016FD"/>
    <w:rsid w:val="00F0198D"/>
    <w:rsid w:val="00F019D2"/>
    <w:rsid w:val="00F01E3D"/>
    <w:rsid w:val="00F01EB2"/>
    <w:rsid w:val="00F01F2F"/>
    <w:rsid w:val="00F0202A"/>
    <w:rsid w:val="00F0213C"/>
    <w:rsid w:val="00F022B2"/>
    <w:rsid w:val="00F02458"/>
    <w:rsid w:val="00F025B6"/>
    <w:rsid w:val="00F0285F"/>
    <w:rsid w:val="00F02978"/>
    <w:rsid w:val="00F02A38"/>
    <w:rsid w:val="00F02C38"/>
    <w:rsid w:val="00F02DED"/>
    <w:rsid w:val="00F02FE7"/>
    <w:rsid w:val="00F030A9"/>
    <w:rsid w:val="00F03121"/>
    <w:rsid w:val="00F0316F"/>
    <w:rsid w:val="00F0336C"/>
    <w:rsid w:val="00F03454"/>
    <w:rsid w:val="00F03497"/>
    <w:rsid w:val="00F03577"/>
    <w:rsid w:val="00F035E0"/>
    <w:rsid w:val="00F039A4"/>
    <w:rsid w:val="00F039B6"/>
    <w:rsid w:val="00F03EB6"/>
    <w:rsid w:val="00F0450E"/>
    <w:rsid w:val="00F04569"/>
    <w:rsid w:val="00F048B9"/>
    <w:rsid w:val="00F048D7"/>
    <w:rsid w:val="00F048EC"/>
    <w:rsid w:val="00F04C2F"/>
    <w:rsid w:val="00F04C56"/>
    <w:rsid w:val="00F04D8D"/>
    <w:rsid w:val="00F04FFA"/>
    <w:rsid w:val="00F0509A"/>
    <w:rsid w:val="00F051B6"/>
    <w:rsid w:val="00F053F5"/>
    <w:rsid w:val="00F05412"/>
    <w:rsid w:val="00F05507"/>
    <w:rsid w:val="00F0566B"/>
    <w:rsid w:val="00F056B2"/>
    <w:rsid w:val="00F056D5"/>
    <w:rsid w:val="00F05A02"/>
    <w:rsid w:val="00F05C13"/>
    <w:rsid w:val="00F05D7D"/>
    <w:rsid w:val="00F05E67"/>
    <w:rsid w:val="00F05EE8"/>
    <w:rsid w:val="00F05F23"/>
    <w:rsid w:val="00F05FD2"/>
    <w:rsid w:val="00F06016"/>
    <w:rsid w:val="00F060C3"/>
    <w:rsid w:val="00F062D2"/>
    <w:rsid w:val="00F0653A"/>
    <w:rsid w:val="00F066D2"/>
    <w:rsid w:val="00F06892"/>
    <w:rsid w:val="00F068CF"/>
    <w:rsid w:val="00F068DC"/>
    <w:rsid w:val="00F06A6F"/>
    <w:rsid w:val="00F06BAF"/>
    <w:rsid w:val="00F06D7F"/>
    <w:rsid w:val="00F06DF7"/>
    <w:rsid w:val="00F06F92"/>
    <w:rsid w:val="00F0722D"/>
    <w:rsid w:val="00F07414"/>
    <w:rsid w:val="00F0752D"/>
    <w:rsid w:val="00F0753D"/>
    <w:rsid w:val="00F0793D"/>
    <w:rsid w:val="00F07C5A"/>
    <w:rsid w:val="00F07E91"/>
    <w:rsid w:val="00F07FB8"/>
    <w:rsid w:val="00F103B7"/>
    <w:rsid w:val="00F10456"/>
    <w:rsid w:val="00F1071B"/>
    <w:rsid w:val="00F10C69"/>
    <w:rsid w:val="00F10CB3"/>
    <w:rsid w:val="00F10DA1"/>
    <w:rsid w:val="00F10E47"/>
    <w:rsid w:val="00F10EFB"/>
    <w:rsid w:val="00F10F15"/>
    <w:rsid w:val="00F10F85"/>
    <w:rsid w:val="00F11043"/>
    <w:rsid w:val="00F112C3"/>
    <w:rsid w:val="00F1149E"/>
    <w:rsid w:val="00F11875"/>
    <w:rsid w:val="00F119AA"/>
    <w:rsid w:val="00F11AC1"/>
    <w:rsid w:val="00F11B43"/>
    <w:rsid w:val="00F11D63"/>
    <w:rsid w:val="00F11D99"/>
    <w:rsid w:val="00F120FD"/>
    <w:rsid w:val="00F1287C"/>
    <w:rsid w:val="00F12890"/>
    <w:rsid w:val="00F12ADF"/>
    <w:rsid w:val="00F12C07"/>
    <w:rsid w:val="00F12D83"/>
    <w:rsid w:val="00F12E98"/>
    <w:rsid w:val="00F12EF9"/>
    <w:rsid w:val="00F12FF0"/>
    <w:rsid w:val="00F13067"/>
    <w:rsid w:val="00F1337F"/>
    <w:rsid w:val="00F13A1A"/>
    <w:rsid w:val="00F13A4E"/>
    <w:rsid w:val="00F13AE7"/>
    <w:rsid w:val="00F13BBD"/>
    <w:rsid w:val="00F1449A"/>
    <w:rsid w:val="00F1468D"/>
    <w:rsid w:val="00F1480C"/>
    <w:rsid w:val="00F14875"/>
    <w:rsid w:val="00F14921"/>
    <w:rsid w:val="00F1498E"/>
    <w:rsid w:val="00F149BE"/>
    <w:rsid w:val="00F14AA1"/>
    <w:rsid w:val="00F14D59"/>
    <w:rsid w:val="00F14DD8"/>
    <w:rsid w:val="00F14F88"/>
    <w:rsid w:val="00F15216"/>
    <w:rsid w:val="00F15366"/>
    <w:rsid w:val="00F15420"/>
    <w:rsid w:val="00F1547E"/>
    <w:rsid w:val="00F154ED"/>
    <w:rsid w:val="00F1570C"/>
    <w:rsid w:val="00F15942"/>
    <w:rsid w:val="00F1594C"/>
    <w:rsid w:val="00F15A3F"/>
    <w:rsid w:val="00F15B3C"/>
    <w:rsid w:val="00F15C46"/>
    <w:rsid w:val="00F15D76"/>
    <w:rsid w:val="00F15DB7"/>
    <w:rsid w:val="00F15E00"/>
    <w:rsid w:val="00F15F89"/>
    <w:rsid w:val="00F1604A"/>
    <w:rsid w:val="00F163CE"/>
    <w:rsid w:val="00F1691C"/>
    <w:rsid w:val="00F16A5D"/>
    <w:rsid w:val="00F16A73"/>
    <w:rsid w:val="00F16AF1"/>
    <w:rsid w:val="00F16B3A"/>
    <w:rsid w:val="00F16C1A"/>
    <w:rsid w:val="00F16D93"/>
    <w:rsid w:val="00F16E26"/>
    <w:rsid w:val="00F16EA6"/>
    <w:rsid w:val="00F1733F"/>
    <w:rsid w:val="00F1737C"/>
    <w:rsid w:val="00F173B5"/>
    <w:rsid w:val="00F17490"/>
    <w:rsid w:val="00F1776B"/>
    <w:rsid w:val="00F177C8"/>
    <w:rsid w:val="00F17844"/>
    <w:rsid w:val="00F17B86"/>
    <w:rsid w:val="00F17D51"/>
    <w:rsid w:val="00F17DB1"/>
    <w:rsid w:val="00F17DB3"/>
    <w:rsid w:val="00F17FE6"/>
    <w:rsid w:val="00F20069"/>
    <w:rsid w:val="00F201D4"/>
    <w:rsid w:val="00F201D5"/>
    <w:rsid w:val="00F203BF"/>
    <w:rsid w:val="00F203F8"/>
    <w:rsid w:val="00F2047E"/>
    <w:rsid w:val="00F2078B"/>
    <w:rsid w:val="00F20991"/>
    <w:rsid w:val="00F20BB9"/>
    <w:rsid w:val="00F20D50"/>
    <w:rsid w:val="00F21158"/>
    <w:rsid w:val="00F211E6"/>
    <w:rsid w:val="00F21283"/>
    <w:rsid w:val="00F213F0"/>
    <w:rsid w:val="00F21456"/>
    <w:rsid w:val="00F2148D"/>
    <w:rsid w:val="00F215A4"/>
    <w:rsid w:val="00F21623"/>
    <w:rsid w:val="00F216D0"/>
    <w:rsid w:val="00F21A96"/>
    <w:rsid w:val="00F21AB6"/>
    <w:rsid w:val="00F21AD3"/>
    <w:rsid w:val="00F21C36"/>
    <w:rsid w:val="00F21C73"/>
    <w:rsid w:val="00F21F42"/>
    <w:rsid w:val="00F21FBE"/>
    <w:rsid w:val="00F2228D"/>
    <w:rsid w:val="00F225F9"/>
    <w:rsid w:val="00F2265C"/>
    <w:rsid w:val="00F2293D"/>
    <w:rsid w:val="00F22ACE"/>
    <w:rsid w:val="00F22C63"/>
    <w:rsid w:val="00F22C8E"/>
    <w:rsid w:val="00F22CC9"/>
    <w:rsid w:val="00F22CED"/>
    <w:rsid w:val="00F23204"/>
    <w:rsid w:val="00F2345C"/>
    <w:rsid w:val="00F23550"/>
    <w:rsid w:val="00F235CB"/>
    <w:rsid w:val="00F23F5D"/>
    <w:rsid w:val="00F24334"/>
    <w:rsid w:val="00F24428"/>
    <w:rsid w:val="00F24552"/>
    <w:rsid w:val="00F245A5"/>
    <w:rsid w:val="00F2464B"/>
    <w:rsid w:val="00F24760"/>
    <w:rsid w:val="00F247F9"/>
    <w:rsid w:val="00F2486E"/>
    <w:rsid w:val="00F24C63"/>
    <w:rsid w:val="00F24DF7"/>
    <w:rsid w:val="00F24F4F"/>
    <w:rsid w:val="00F252F5"/>
    <w:rsid w:val="00F2548F"/>
    <w:rsid w:val="00F25820"/>
    <w:rsid w:val="00F25838"/>
    <w:rsid w:val="00F25C50"/>
    <w:rsid w:val="00F26310"/>
    <w:rsid w:val="00F26578"/>
    <w:rsid w:val="00F26A5F"/>
    <w:rsid w:val="00F26A7E"/>
    <w:rsid w:val="00F26B59"/>
    <w:rsid w:val="00F26D21"/>
    <w:rsid w:val="00F26EB1"/>
    <w:rsid w:val="00F26F0C"/>
    <w:rsid w:val="00F26F74"/>
    <w:rsid w:val="00F271DA"/>
    <w:rsid w:val="00F274D2"/>
    <w:rsid w:val="00F275AC"/>
    <w:rsid w:val="00F275D8"/>
    <w:rsid w:val="00F2794D"/>
    <w:rsid w:val="00F27B56"/>
    <w:rsid w:val="00F27C06"/>
    <w:rsid w:val="00F27E34"/>
    <w:rsid w:val="00F27EBE"/>
    <w:rsid w:val="00F27FB1"/>
    <w:rsid w:val="00F30051"/>
    <w:rsid w:val="00F30106"/>
    <w:rsid w:val="00F30402"/>
    <w:rsid w:val="00F304C3"/>
    <w:rsid w:val="00F305C9"/>
    <w:rsid w:val="00F30713"/>
    <w:rsid w:val="00F30947"/>
    <w:rsid w:val="00F30AB1"/>
    <w:rsid w:val="00F30AB5"/>
    <w:rsid w:val="00F30ACD"/>
    <w:rsid w:val="00F310AE"/>
    <w:rsid w:val="00F31127"/>
    <w:rsid w:val="00F3112D"/>
    <w:rsid w:val="00F31222"/>
    <w:rsid w:val="00F31228"/>
    <w:rsid w:val="00F31261"/>
    <w:rsid w:val="00F31544"/>
    <w:rsid w:val="00F3180E"/>
    <w:rsid w:val="00F3186B"/>
    <w:rsid w:val="00F319C0"/>
    <w:rsid w:val="00F31BB7"/>
    <w:rsid w:val="00F31CC3"/>
    <w:rsid w:val="00F31D2F"/>
    <w:rsid w:val="00F31F5B"/>
    <w:rsid w:val="00F32027"/>
    <w:rsid w:val="00F325C0"/>
    <w:rsid w:val="00F3276D"/>
    <w:rsid w:val="00F3291E"/>
    <w:rsid w:val="00F32B38"/>
    <w:rsid w:val="00F33172"/>
    <w:rsid w:val="00F334C9"/>
    <w:rsid w:val="00F33545"/>
    <w:rsid w:val="00F336CB"/>
    <w:rsid w:val="00F33961"/>
    <w:rsid w:val="00F33AC8"/>
    <w:rsid w:val="00F33CD0"/>
    <w:rsid w:val="00F33DC5"/>
    <w:rsid w:val="00F341E9"/>
    <w:rsid w:val="00F342C6"/>
    <w:rsid w:val="00F34614"/>
    <w:rsid w:val="00F347D7"/>
    <w:rsid w:val="00F34872"/>
    <w:rsid w:val="00F348BA"/>
    <w:rsid w:val="00F348DA"/>
    <w:rsid w:val="00F3491B"/>
    <w:rsid w:val="00F349CD"/>
    <w:rsid w:val="00F34C6E"/>
    <w:rsid w:val="00F34CB4"/>
    <w:rsid w:val="00F34F5C"/>
    <w:rsid w:val="00F35577"/>
    <w:rsid w:val="00F356D7"/>
    <w:rsid w:val="00F356E4"/>
    <w:rsid w:val="00F35F84"/>
    <w:rsid w:val="00F36417"/>
    <w:rsid w:val="00F3647B"/>
    <w:rsid w:val="00F3648E"/>
    <w:rsid w:val="00F3661F"/>
    <w:rsid w:val="00F36994"/>
    <w:rsid w:val="00F36AD7"/>
    <w:rsid w:val="00F36B10"/>
    <w:rsid w:val="00F36B67"/>
    <w:rsid w:val="00F36EED"/>
    <w:rsid w:val="00F3705D"/>
    <w:rsid w:val="00F370B9"/>
    <w:rsid w:val="00F374C5"/>
    <w:rsid w:val="00F374D5"/>
    <w:rsid w:val="00F3754E"/>
    <w:rsid w:val="00F3775B"/>
    <w:rsid w:val="00F37A09"/>
    <w:rsid w:val="00F37BBC"/>
    <w:rsid w:val="00F37D5F"/>
    <w:rsid w:val="00F40219"/>
    <w:rsid w:val="00F40637"/>
    <w:rsid w:val="00F409E6"/>
    <w:rsid w:val="00F40C9F"/>
    <w:rsid w:val="00F40D47"/>
    <w:rsid w:val="00F40D91"/>
    <w:rsid w:val="00F40E20"/>
    <w:rsid w:val="00F40F6F"/>
    <w:rsid w:val="00F4120A"/>
    <w:rsid w:val="00F41276"/>
    <w:rsid w:val="00F412DC"/>
    <w:rsid w:val="00F41415"/>
    <w:rsid w:val="00F41516"/>
    <w:rsid w:val="00F41628"/>
    <w:rsid w:val="00F41660"/>
    <w:rsid w:val="00F416EE"/>
    <w:rsid w:val="00F418BC"/>
    <w:rsid w:val="00F41D86"/>
    <w:rsid w:val="00F41DEF"/>
    <w:rsid w:val="00F41EBB"/>
    <w:rsid w:val="00F4222C"/>
    <w:rsid w:val="00F42236"/>
    <w:rsid w:val="00F422BB"/>
    <w:rsid w:val="00F4265E"/>
    <w:rsid w:val="00F427AF"/>
    <w:rsid w:val="00F4283E"/>
    <w:rsid w:val="00F4284C"/>
    <w:rsid w:val="00F428BE"/>
    <w:rsid w:val="00F42C13"/>
    <w:rsid w:val="00F42C99"/>
    <w:rsid w:val="00F42F57"/>
    <w:rsid w:val="00F431E6"/>
    <w:rsid w:val="00F4324A"/>
    <w:rsid w:val="00F43342"/>
    <w:rsid w:val="00F434C8"/>
    <w:rsid w:val="00F435D3"/>
    <w:rsid w:val="00F435E9"/>
    <w:rsid w:val="00F43620"/>
    <w:rsid w:val="00F43925"/>
    <w:rsid w:val="00F43BEA"/>
    <w:rsid w:val="00F43CFD"/>
    <w:rsid w:val="00F43DEC"/>
    <w:rsid w:val="00F43FA0"/>
    <w:rsid w:val="00F440B8"/>
    <w:rsid w:val="00F44483"/>
    <w:rsid w:val="00F448E0"/>
    <w:rsid w:val="00F4492E"/>
    <w:rsid w:val="00F449BC"/>
    <w:rsid w:val="00F44A0F"/>
    <w:rsid w:val="00F44AD7"/>
    <w:rsid w:val="00F44C9F"/>
    <w:rsid w:val="00F44CB5"/>
    <w:rsid w:val="00F44EF3"/>
    <w:rsid w:val="00F45031"/>
    <w:rsid w:val="00F452F9"/>
    <w:rsid w:val="00F4590C"/>
    <w:rsid w:val="00F45A28"/>
    <w:rsid w:val="00F45A7D"/>
    <w:rsid w:val="00F45C95"/>
    <w:rsid w:val="00F45CB9"/>
    <w:rsid w:val="00F45E77"/>
    <w:rsid w:val="00F45F46"/>
    <w:rsid w:val="00F46365"/>
    <w:rsid w:val="00F46678"/>
    <w:rsid w:val="00F4692D"/>
    <w:rsid w:val="00F46A4D"/>
    <w:rsid w:val="00F46C4B"/>
    <w:rsid w:val="00F46DDB"/>
    <w:rsid w:val="00F46DED"/>
    <w:rsid w:val="00F46EAE"/>
    <w:rsid w:val="00F46EBA"/>
    <w:rsid w:val="00F46EF5"/>
    <w:rsid w:val="00F46FA9"/>
    <w:rsid w:val="00F46FEE"/>
    <w:rsid w:val="00F4702E"/>
    <w:rsid w:val="00F4723A"/>
    <w:rsid w:val="00F473C4"/>
    <w:rsid w:val="00F47566"/>
    <w:rsid w:val="00F47771"/>
    <w:rsid w:val="00F47C33"/>
    <w:rsid w:val="00F47D7F"/>
    <w:rsid w:val="00F47E16"/>
    <w:rsid w:val="00F500F9"/>
    <w:rsid w:val="00F50130"/>
    <w:rsid w:val="00F504E2"/>
    <w:rsid w:val="00F50595"/>
    <w:rsid w:val="00F506A9"/>
    <w:rsid w:val="00F5090C"/>
    <w:rsid w:val="00F50B09"/>
    <w:rsid w:val="00F50BF8"/>
    <w:rsid w:val="00F50C09"/>
    <w:rsid w:val="00F51242"/>
    <w:rsid w:val="00F51453"/>
    <w:rsid w:val="00F51749"/>
    <w:rsid w:val="00F51820"/>
    <w:rsid w:val="00F518A5"/>
    <w:rsid w:val="00F519A1"/>
    <w:rsid w:val="00F51AEF"/>
    <w:rsid w:val="00F51FA4"/>
    <w:rsid w:val="00F520B5"/>
    <w:rsid w:val="00F522A2"/>
    <w:rsid w:val="00F52610"/>
    <w:rsid w:val="00F52670"/>
    <w:rsid w:val="00F528C7"/>
    <w:rsid w:val="00F529B0"/>
    <w:rsid w:val="00F52A5C"/>
    <w:rsid w:val="00F52BD7"/>
    <w:rsid w:val="00F52BE1"/>
    <w:rsid w:val="00F53082"/>
    <w:rsid w:val="00F534C2"/>
    <w:rsid w:val="00F5376F"/>
    <w:rsid w:val="00F538C7"/>
    <w:rsid w:val="00F539BF"/>
    <w:rsid w:val="00F53B52"/>
    <w:rsid w:val="00F53D4A"/>
    <w:rsid w:val="00F53FD9"/>
    <w:rsid w:val="00F541B7"/>
    <w:rsid w:val="00F5445C"/>
    <w:rsid w:val="00F544E1"/>
    <w:rsid w:val="00F54702"/>
    <w:rsid w:val="00F548BE"/>
    <w:rsid w:val="00F54954"/>
    <w:rsid w:val="00F54BD0"/>
    <w:rsid w:val="00F54BE0"/>
    <w:rsid w:val="00F54D7F"/>
    <w:rsid w:val="00F54D9B"/>
    <w:rsid w:val="00F54DDE"/>
    <w:rsid w:val="00F54DEA"/>
    <w:rsid w:val="00F55175"/>
    <w:rsid w:val="00F55230"/>
    <w:rsid w:val="00F55279"/>
    <w:rsid w:val="00F552D9"/>
    <w:rsid w:val="00F556E3"/>
    <w:rsid w:val="00F55738"/>
    <w:rsid w:val="00F558A6"/>
    <w:rsid w:val="00F55FF9"/>
    <w:rsid w:val="00F5611F"/>
    <w:rsid w:val="00F561F5"/>
    <w:rsid w:val="00F562BC"/>
    <w:rsid w:val="00F564C2"/>
    <w:rsid w:val="00F5667F"/>
    <w:rsid w:val="00F567C1"/>
    <w:rsid w:val="00F569F1"/>
    <w:rsid w:val="00F56B15"/>
    <w:rsid w:val="00F570D4"/>
    <w:rsid w:val="00F5738D"/>
    <w:rsid w:val="00F5743D"/>
    <w:rsid w:val="00F57455"/>
    <w:rsid w:val="00F575ED"/>
    <w:rsid w:val="00F57611"/>
    <w:rsid w:val="00F576A1"/>
    <w:rsid w:val="00F576E6"/>
    <w:rsid w:val="00F5776F"/>
    <w:rsid w:val="00F57A56"/>
    <w:rsid w:val="00F57A62"/>
    <w:rsid w:val="00F57C73"/>
    <w:rsid w:val="00F57D1D"/>
    <w:rsid w:val="00F57F5B"/>
    <w:rsid w:val="00F60055"/>
    <w:rsid w:val="00F602C4"/>
    <w:rsid w:val="00F6032A"/>
    <w:rsid w:val="00F60489"/>
    <w:rsid w:val="00F60620"/>
    <w:rsid w:val="00F60B9B"/>
    <w:rsid w:val="00F60EC7"/>
    <w:rsid w:val="00F60FE4"/>
    <w:rsid w:val="00F6105C"/>
    <w:rsid w:val="00F61117"/>
    <w:rsid w:val="00F611BA"/>
    <w:rsid w:val="00F615A1"/>
    <w:rsid w:val="00F615DF"/>
    <w:rsid w:val="00F61615"/>
    <w:rsid w:val="00F616D5"/>
    <w:rsid w:val="00F61733"/>
    <w:rsid w:val="00F61B21"/>
    <w:rsid w:val="00F61C95"/>
    <w:rsid w:val="00F61D61"/>
    <w:rsid w:val="00F61E31"/>
    <w:rsid w:val="00F62272"/>
    <w:rsid w:val="00F626BE"/>
    <w:rsid w:val="00F629AA"/>
    <w:rsid w:val="00F629EE"/>
    <w:rsid w:val="00F62B2D"/>
    <w:rsid w:val="00F62FFA"/>
    <w:rsid w:val="00F63385"/>
    <w:rsid w:val="00F63442"/>
    <w:rsid w:val="00F63636"/>
    <w:rsid w:val="00F63832"/>
    <w:rsid w:val="00F63A12"/>
    <w:rsid w:val="00F63FAE"/>
    <w:rsid w:val="00F640B9"/>
    <w:rsid w:val="00F641A9"/>
    <w:rsid w:val="00F64342"/>
    <w:rsid w:val="00F644BC"/>
    <w:rsid w:val="00F645FC"/>
    <w:rsid w:val="00F646F7"/>
    <w:rsid w:val="00F646FF"/>
    <w:rsid w:val="00F64BA1"/>
    <w:rsid w:val="00F650EE"/>
    <w:rsid w:val="00F65239"/>
    <w:rsid w:val="00F65282"/>
    <w:rsid w:val="00F6528E"/>
    <w:rsid w:val="00F65563"/>
    <w:rsid w:val="00F6578D"/>
    <w:rsid w:val="00F657D7"/>
    <w:rsid w:val="00F657E1"/>
    <w:rsid w:val="00F65B1A"/>
    <w:rsid w:val="00F65B1E"/>
    <w:rsid w:val="00F66087"/>
    <w:rsid w:val="00F6610C"/>
    <w:rsid w:val="00F66955"/>
    <w:rsid w:val="00F669D1"/>
    <w:rsid w:val="00F66D31"/>
    <w:rsid w:val="00F67072"/>
    <w:rsid w:val="00F67467"/>
    <w:rsid w:val="00F67682"/>
    <w:rsid w:val="00F67A43"/>
    <w:rsid w:val="00F67C8A"/>
    <w:rsid w:val="00F67CA2"/>
    <w:rsid w:val="00F67D05"/>
    <w:rsid w:val="00F67E1D"/>
    <w:rsid w:val="00F700F5"/>
    <w:rsid w:val="00F70349"/>
    <w:rsid w:val="00F703ED"/>
    <w:rsid w:val="00F70737"/>
    <w:rsid w:val="00F7084B"/>
    <w:rsid w:val="00F709C4"/>
    <w:rsid w:val="00F70ABD"/>
    <w:rsid w:val="00F70BCB"/>
    <w:rsid w:val="00F70D1C"/>
    <w:rsid w:val="00F70E0C"/>
    <w:rsid w:val="00F7117B"/>
    <w:rsid w:val="00F711C6"/>
    <w:rsid w:val="00F711C7"/>
    <w:rsid w:val="00F711D6"/>
    <w:rsid w:val="00F71294"/>
    <w:rsid w:val="00F71326"/>
    <w:rsid w:val="00F716C5"/>
    <w:rsid w:val="00F7180D"/>
    <w:rsid w:val="00F71B5C"/>
    <w:rsid w:val="00F71C91"/>
    <w:rsid w:val="00F71EBF"/>
    <w:rsid w:val="00F723BC"/>
    <w:rsid w:val="00F7250C"/>
    <w:rsid w:val="00F72761"/>
    <w:rsid w:val="00F7279B"/>
    <w:rsid w:val="00F7283A"/>
    <w:rsid w:val="00F72A82"/>
    <w:rsid w:val="00F72AF4"/>
    <w:rsid w:val="00F72B04"/>
    <w:rsid w:val="00F730C7"/>
    <w:rsid w:val="00F73174"/>
    <w:rsid w:val="00F731C2"/>
    <w:rsid w:val="00F731E5"/>
    <w:rsid w:val="00F734CD"/>
    <w:rsid w:val="00F73503"/>
    <w:rsid w:val="00F73577"/>
    <w:rsid w:val="00F73645"/>
    <w:rsid w:val="00F737D6"/>
    <w:rsid w:val="00F7386C"/>
    <w:rsid w:val="00F73AEA"/>
    <w:rsid w:val="00F73B6A"/>
    <w:rsid w:val="00F73BE6"/>
    <w:rsid w:val="00F73E9D"/>
    <w:rsid w:val="00F73F8D"/>
    <w:rsid w:val="00F73F99"/>
    <w:rsid w:val="00F7402C"/>
    <w:rsid w:val="00F74398"/>
    <w:rsid w:val="00F7489E"/>
    <w:rsid w:val="00F748A6"/>
    <w:rsid w:val="00F7493E"/>
    <w:rsid w:val="00F74DB8"/>
    <w:rsid w:val="00F74E4A"/>
    <w:rsid w:val="00F75138"/>
    <w:rsid w:val="00F7516A"/>
    <w:rsid w:val="00F751FA"/>
    <w:rsid w:val="00F7528A"/>
    <w:rsid w:val="00F752B6"/>
    <w:rsid w:val="00F753AF"/>
    <w:rsid w:val="00F75446"/>
    <w:rsid w:val="00F754F2"/>
    <w:rsid w:val="00F7558F"/>
    <w:rsid w:val="00F75B1F"/>
    <w:rsid w:val="00F75BE6"/>
    <w:rsid w:val="00F75DDC"/>
    <w:rsid w:val="00F75EE8"/>
    <w:rsid w:val="00F7634D"/>
    <w:rsid w:val="00F763DF"/>
    <w:rsid w:val="00F7656B"/>
    <w:rsid w:val="00F765A7"/>
    <w:rsid w:val="00F7688F"/>
    <w:rsid w:val="00F76B26"/>
    <w:rsid w:val="00F76CC9"/>
    <w:rsid w:val="00F76E58"/>
    <w:rsid w:val="00F773EA"/>
    <w:rsid w:val="00F77435"/>
    <w:rsid w:val="00F77541"/>
    <w:rsid w:val="00F7766A"/>
    <w:rsid w:val="00F7798F"/>
    <w:rsid w:val="00F77B07"/>
    <w:rsid w:val="00F77D51"/>
    <w:rsid w:val="00F77E66"/>
    <w:rsid w:val="00F77F36"/>
    <w:rsid w:val="00F80009"/>
    <w:rsid w:val="00F8012F"/>
    <w:rsid w:val="00F801F8"/>
    <w:rsid w:val="00F8024E"/>
    <w:rsid w:val="00F80506"/>
    <w:rsid w:val="00F8061C"/>
    <w:rsid w:val="00F809D9"/>
    <w:rsid w:val="00F80D79"/>
    <w:rsid w:val="00F80EF7"/>
    <w:rsid w:val="00F80F68"/>
    <w:rsid w:val="00F810A3"/>
    <w:rsid w:val="00F81331"/>
    <w:rsid w:val="00F813A2"/>
    <w:rsid w:val="00F814A3"/>
    <w:rsid w:val="00F818E3"/>
    <w:rsid w:val="00F8191C"/>
    <w:rsid w:val="00F81BFE"/>
    <w:rsid w:val="00F81D05"/>
    <w:rsid w:val="00F81F91"/>
    <w:rsid w:val="00F821E4"/>
    <w:rsid w:val="00F8267C"/>
    <w:rsid w:val="00F82898"/>
    <w:rsid w:val="00F82A12"/>
    <w:rsid w:val="00F82BD9"/>
    <w:rsid w:val="00F82C84"/>
    <w:rsid w:val="00F82F7B"/>
    <w:rsid w:val="00F83407"/>
    <w:rsid w:val="00F83509"/>
    <w:rsid w:val="00F83611"/>
    <w:rsid w:val="00F837CA"/>
    <w:rsid w:val="00F839CE"/>
    <w:rsid w:val="00F83B50"/>
    <w:rsid w:val="00F83B9B"/>
    <w:rsid w:val="00F83C32"/>
    <w:rsid w:val="00F8419A"/>
    <w:rsid w:val="00F843B8"/>
    <w:rsid w:val="00F84561"/>
    <w:rsid w:val="00F84A7A"/>
    <w:rsid w:val="00F84DBB"/>
    <w:rsid w:val="00F84E2A"/>
    <w:rsid w:val="00F84ED2"/>
    <w:rsid w:val="00F850C2"/>
    <w:rsid w:val="00F85354"/>
    <w:rsid w:val="00F853AC"/>
    <w:rsid w:val="00F8547C"/>
    <w:rsid w:val="00F858DD"/>
    <w:rsid w:val="00F85946"/>
    <w:rsid w:val="00F85A34"/>
    <w:rsid w:val="00F85A8C"/>
    <w:rsid w:val="00F85CD1"/>
    <w:rsid w:val="00F85D7D"/>
    <w:rsid w:val="00F85E58"/>
    <w:rsid w:val="00F85F2A"/>
    <w:rsid w:val="00F86034"/>
    <w:rsid w:val="00F86078"/>
    <w:rsid w:val="00F860E2"/>
    <w:rsid w:val="00F86570"/>
    <w:rsid w:val="00F865BE"/>
    <w:rsid w:val="00F86BA8"/>
    <w:rsid w:val="00F86BBD"/>
    <w:rsid w:val="00F86E6F"/>
    <w:rsid w:val="00F870E4"/>
    <w:rsid w:val="00F871F0"/>
    <w:rsid w:val="00F87201"/>
    <w:rsid w:val="00F87561"/>
    <w:rsid w:val="00F8779C"/>
    <w:rsid w:val="00F87D93"/>
    <w:rsid w:val="00F9005C"/>
    <w:rsid w:val="00F900FD"/>
    <w:rsid w:val="00F90290"/>
    <w:rsid w:val="00F902EA"/>
    <w:rsid w:val="00F9042D"/>
    <w:rsid w:val="00F90430"/>
    <w:rsid w:val="00F9058E"/>
    <w:rsid w:val="00F9058F"/>
    <w:rsid w:val="00F907E8"/>
    <w:rsid w:val="00F9082E"/>
    <w:rsid w:val="00F9094F"/>
    <w:rsid w:val="00F90BEC"/>
    <w:rsid w:val="00F90F29"/>
    <w:rsid w:val="00F90F49"/>
    <w:rsid w:val="00F91113"/>
    <w:rsid w:val="00F91497"/>
    <w:rsid w:val="00F91550"/>
    <w:rsid w:val="00F915C4"/>
    <w:rsid w:val="00F9178F"/>
    <w:rsid w:val="00F917FE"/>
    <w:rsid w:val="00F91895"/>
    <w:rsid w:val="00F91896"/>
    <w:rsid w:val="00F91969"/>
    <w:rsid w:val="00F91AE7"/>
    <w:rsid w:val="00F91D38"/>
    <w:rsid w:val="00F91ED3"/>
    <w:rsid w:val="00F91F4B"/>
    <w:rsid w:val="00F92B19"/>
    <w:rsid w:val="00F92FFD"/>
    <w:rsid w:val="00F93342"/>
    <w:rsid w:val="00F93431"/>
    <w:rsid w:val="00F935DF"/>
    <w:rsid w:val="00F938B8"/>
    <w:rsid w:val="00F93960"/>
    <w:rsid w:val="00F939D5"/>
    <w:rsid w:val="00F93C0B"/>
    <w:rsid w:val="00F93C20"/>
    <w:rsid w:val="00F93C96"/>
    <w:rsid w:val="00F93D47"/>
    <w:rsid w:val="00F93E1F"/>
    <w:rsid w:val="00F93E2F"/>
    <w:rsid w:val="00F93EC5"/>
    <w:rsid w:val="00F94492"/>
    <w:rsid w:val="00F94621"/>
    <w:rsid w:val="00F946D0"/>
    <w:rsid w:val="00F946DA"/>
    <w:rsid w:val="00F948B2"/>
    <w:rsid w:val="00F94CB0"/>
    <w:rsid w:val="00F94DC6"/>
    <w:rsid w:val="00F95606"/>
    <w:rsid w:val="00F956A9"/>
    <w:rsid w:val="00F956AE"/>
    <w:rsid w:val="00F95A8E"/>
    <w:rsid w:val="00F95BBF"/>
    <w:rsid w:val="00F95BC2"/>
    <w:rsid w:val="00F95E85"/>
    <w:rsid w:val="00F95E9F"/>
    <w:rsid w:val="00F95EB7"/>
    <w:rsid w:val="00F961E0"/>
    <w:rsid w:val="00F96616"/>
    <w:rsid w:val="00F96770"/>
    <w:rsid w:val="00F969AB"/>
    <w:rsid w:val="00F96A59"/>
    <w:rsid w:val="00F96D95"/>
    <w:rsid w:val="00F96DEC"/>
    <w:rsid w:val="00F9709B"/>
    <w:rsid w:val="00F9717A"/>
    <w:rsid w:val="00F9725D"/>
    <w:rsid w:val="00F972B8"/>
    <w:rsid w:val="00F97393"/>
    <w:rsid w:val="00F973E3"/>
    <w:rsid w:val="00F97511"/>
    <w:rsid w:val="00F975F6"/>
    <w:rsid w:val="00F9780E"/>
    <w:rsid w:val="00F97878"/>
    <w:rsid w:val="00F97CA7"/>
    <w:rsid w:val="00F97D5F"/>
    <w:rsid w:val="00FA0228"/>
    <w:rsid w:val="00FA02D2"/>
    <w:rsid w:val="00FA0352"/>
    <w:rsid w:val="00FA041C"/>
    <w:rsid w:val="00FA078F"/>
    <w:rsid w:val="00FA0964"/>
    <w:rsid w:val="00FA0C65"/>
    <w:rsid w:val="00FA0C88"/>
    <w:rsid w:val="00FA0CAA"/>
    <w:rsid w:val="00FA0CCD"/>
    <w:rsid w:val="00FA0D0C"/>
    <w:rsid w:val="00FA1335"/>
    <w:rsid w:val="00FA1339"/>
    <w:rsid w:val="00FA13D3"/>
    <w:rsid w:val="00FA168C"/>
    <w:rsid w:val="00FA16E6"/>
    <w:rsid w:val="00FA1BDF"/>
    <w:rsid w:val="00FA1CD8"/>
    <w:rsid w:val="00FA1D9E"/>
    <w:rsid w:val="00FA1E51"/>
    <w:rsid w:val="00FA22FA"/>
    <w:rsid w:val="00FA2354"/>
    <w:rsid w:val="00FA23AA"/>
    <w:rsid w:val="00FA261E"/>
    <w:rsid w:val="00FA284E"/>
    <w:rsid w:val="00FA2C77"/>
    <w:rsid w:val="00FA2F47"/>
    <w:rsid w:val="00FA3309"/>
    <w:rsid w:val="00FA3529"/>
    <w:rsid w:val="00FA36F0"/>
    <w:rsid w:val="00FA381C"/>
    <w:rsid w:val="00FA3980"/>
    <w:rsid w:val="00FA3C2A"/>
    <w:rsid w:val="00FA3DE7"/>
    <w:rsid w:val="00FA3EB6"/>
    <w:rsid w:val="00FA41F4"/>
    <w:rsid w:val="00FA4290"/>
    <w:rsid w:val="00FA42AE"/>
    <w:rsid w:val="00FA4302"/>
    <w:rsid w:val="00FA440D"/>
    <w:rsid w:val="00FA4654"/>
    <w:rsid w:val="00FA47D9"/>
    <w:rsid w:val="00FA4922"/>
    <w:rsid w:val="00FA4B55"/>
    <w:rsid w:val="00FA4F47"/>
    <w:rsid w:val="00FA51F3"/>
    <w:rsid w:val="00FA526C"/>
    <w:rsid w:val="00FA53B1"/>
    <w:rsid w:val="00FA54CA"/>
    <w:rsid w:val="00FA5592"/>
    <w:rsid w:val="00FA5600"/>
    <w:rsid w:val="00FA562A"/>
    <w:rsid w:val="00FA5720"/>
    <w:rsid w:val="00FA584A"/>
    <w:rsid w:val="00FA59C2"/>
    <w:rsid w:val="00FA5B88"/>
    <w:rsid w:val="00FA5BD2"/>
    <w:rsid w:val="00FA5C24"/>
    <w:rsid w:val="00FA5C4B"/>
    <w:rsid w:val="00FA5FA6"/>
    <w:rsid w:val="00FA5FED"/>
    <w:rsid w:val="00FA61E2"/>
    <w:rsid w:val="00FA64DD"/>
    <w:rsid w:val="00FA66B8"/>
    <w:rsid w:val="00FA67ED"/>
    <w:rsid w:val="00FA682E"/>
    <w:rsid w:val="00FA6A87"/>
    <w:rsid w:val="00FA7014"/>
    <w:rsid w:val="00FA707B"/>
    <w:rsid w:val="00FA7447"/>
    <w:rsid w:val="00FA7991"/>
    <w:rsid w:val="00FA7A28"/>
    <w:rsid w:val="00FA7A50"/>
    <w:rsid w:val="00FA7C92"/>
    <w:rsid w:val="00FA7DCF"/>
    <w:rsid w:val="00FA7EB3"/>
    <w:rsid w:val="00FB0067"/>
    <w:rsid w:val="00FB00C0"/>
    <w:rsid w:val="00FB0471"/>
    <w:rsid w:val="00FB04A2"/>
    <w:rsid w:val="00FB0506"/>
    <w:rsid w:val="00FB07F9"/>
    <w:rsid w:val="00FB092E"/>
    <w:rsid w:val="00FB0952"/>
    <w:rsid w:val="00FB0A0F"/>
    <w:rsid w:val="00FB0ADE"/>
    <w:rsid w:val="00FB12BB"/>
    <w:rsid w:val="00FB131D"/>
    <w:rsid w:val="00FB1401"/>
    <w:rsid w:val="00FB1458"/>
    <w:rsid w:val="00FB194F"/>
    <w:rsid w:val="00FB19B7"/>
    <w:rsid w:val="00FB1D14"/>
    <w:rsid w:val="00FB1DD7"/>
    <w:rsid w:val="00FB1FAF"/>
    <w:rsid w:val="00FB1FE5"/>
    <w:rsid w:val="00FB23C9"/>
    <w:rsid w:val="00FB23D3"/>
    <w:rsid w:val="00FB25D5"/>
    <w:rsid w:val="00FB266A"/>
    <w:rsid w:val="00FB2760"/>
    <w:rsid w:val="00FB27DC"/>
    <w:rsid w:val="00FB2F74"/>
    <w:rsid w:val="00FB2FF4"/>
    <w:rsid w:val="00FB3108"/>
    <w:rsid w:val="00FB31CC"/>
    <w:rsid w:val="00FB323D"/>
    <w:rsid w:val="00FB3681"/>
    <w:rsid w:val="00FB3695"/>
    <w:rsid w:val="00FB36B3"/>
    <w:rsid w:val="00FB36C0"/>
    <w:rsid w:val="00FB38EB"/>
    <w:rsid w:val="00FB3A07"/>
    <w:rsid w:val="00FB3FE3"/>
    <w:rsid w:val="00FB46A9"/>
    <w:rsid w:val="00FB4AE9"/>
    <w:rsid w:val="00FB52AF"/>
    <w:rsid w:val="00FB5487"/>
    <w:rsid w:val="00FB587C"/>
    <w:rsid w:val="00FB5AD0"/>
    <w:rsid w:val="00FB5D09"/>
    <w:rsid w:val="00FB5F7C"/>
    <w:rsid w:val="00FB5F8B"/>
    <w:rsid w:val="00FB656C"/>
    <w:rsid w:val="00FB683E"/>
    <w:rsid w:val="00FB6934"/>
    <w:rsid w:val="00FB6ED1"/>
    <w:rsid w:val="00FB6F77"/>
    <w:rsid w:val="00FB7262"/>
    <w:rsid w:val="00FB74B8"/>
    <w:rsid w:val="00FB7502"/>
    <w:rsid w:val="00FB761D"/>
    <w:rsid w:val="00FB7A16"/>
    <w:rsid w:val="00FB7A87"/>
    <w:rsid w:val="00FB7B8F"/>
    <w:rsid w:val="00FB7C74"/>
    <w:rsid w:val="00FB7D34"/>
    <w:rsid w:val="00FB7FDE"/>
    <w:rsid w:val="00FC0034"/>
    <w:rsid w:val="00FC005F"/>
    <w:rsid w:val="00FC0213"/>
    <w:rsid w:val="00FC0247"/>
    <w:rsid w:val="00FC03AA"/>
    <w:rsid w:val="00FC04B7"/>
    <w:rsid w:val="00FC0728"/>
    <w:rsid w:val="00FC0813"/>
    <w:rsid w:val="00FC0D44"/>
    <w:rsid w:val="00FC0DAB"/>
    <w:rsid w:val="00FC0DB9"/>
    <w:rsid w:val="00FC12C4"/>
    <w:rsid w:val="00FC1329"/>
    <w:rsid w:val="00FC13D0"/>
    <w:rsid w:val="00FC175A"/>
    <w:rsid w:val="00FC18B8"/>
    <w:rsid w:val="00FC18D0"/>
    <w:rsid w:val="00FC1907"/>
    <w:rsid w:val="00FC1AC0"/>
    <w:rsid w:val="00FC1AC6"/>
    <w:rsid w:val="00FC1C40"/>
    <w:rsid w:val="00FC1C9A"/>
    <w:rsid w:val="00FC1F15"/>
    <w:rsid w:val="00FC1F26"/>
    <w:rsid w:val="00FC1F41"/>
    <w:rsid w:val="00FC28C3"/>
    <w:rsid w:val="00FC2962"/>
    <w:rsid w:val="00FC31A3"/>
    <w:rsid w:val="00FC32DA"/>
    <w:rsid w:val="00FC3301"/>
    <w:rsid w:val="00FC3315"/>
    <w:rsid w:val="00FC33A3"/>
    <w:rsid w:val="00FC33AD"/>
    <w:rsid w:val="00FC34BB"/>
    <w:rsid w:val="00FC35AA"/>
    <w:rsid w:val="00FC35E3"/>
    <w:rsid w:val="00FC3648"/>
    <w:rsid w:val="00FC3789"/>
    <w:rsid w:val="00FC37C7"/>
    <w:rsid w:val="00FC37F5"/>
    <w:rsid w:val="00FC3906"/>
    <w:rsid w:val="00FC392E"/>
    <w:rsid w:val="00FC398C"/>
    <w:rsid w:val="00FC399F"/>
    <w:rsid w:val="00FC3A0F"/>
    <w:rsid w:val="00FC3AEA"/>
    <w:rsid w:val="00FC3DD2"/>
    <w:rsid w:val="00FC3FAA"/>
    <w:rsid w:val="00FC3FF8"/>
    <w:rsid w:val="00FC418F"/>
    <w:rsid w:val="00FC44CE"/>
    <w:rsid w:val="00FC450D"/>
    <w:rsid w:val="00FC4635"/>
    <w:rsid w:val="00FC48A0"/>
    <w:rsid w:val="00FC4CA8"/>
    <w:rsid w:val="00FC4F0E"/>
    <w:rsid w:val="00FC52A9"/>
    <w:rsid w:val="00FC5304"/>
    <w:rsid w:val="00FC544F"/>
    <w:rsid w:val="00FC548D"/>
    <w:rsid w:val="00FC56B5"/>
    <w:rsid w:val="00FC573D"/>
    <w:rsid w:val="00FC58E1"/>
    <w:rsid w:val="00FC59AC"/>
    <w:rsid w:val="00FC5AC6"/>
    <w:rsid w:val="00FC5D2C"/>
    <w:rsid w:val="00FC6015"/>
    <w:rsid w:val="00FC603C"/>
    <w:rsid w:val="00FC6098"/>
    <w:rsid w:val="00FC60D6"/>
    <w:rsid w:val="00FC62BA"/>
    <w:rsid w:val="00FC62C5"/>
    <w:rsid w:val="00FC64B5"/>
    <w:rsid w:val="00FC659A"/>
    <w:rsid w:val="00FC66D1"/>
    <w:rsid w:val="00FC6804"/>
    <w:rsid w:val="00FC6886"/>
    <w:rsid w:val="00FC697C"/>
    <w:rsid w:val="00FC69C9"/>
    <w:rsid w:val="00FC6ABE"/>
    <w:rsid w:val="00FC6B18"/>
    <w:rsid w:val="00FC6BE4"/>
    <w:rsid w:val="00FC6BFC"/>
    <w:rsid w:val="00FC6C08"/>
    <w:rsid w:val="00FC6DD7"/>
    <w:rsid w:val="00FC6F17"/>
    <w:rsid w:val="00FC6F6D"/>
    <w:rsid w:val="00FC7177"/>
    <w:rsid w:val="00FC7189"/>
    <w:rsid w:val="00FC7477"/>
    <w:rsid w:val="00FC7500"/>
    <w:rsid w:val="00FC7756"/>
    <w:rsid w:val="00FC78D0"/>
    <w:rsid w:val="00FC79F4"/>
    <w:rsid w:val="00FC7BDD"/>
    <w:rsid w:val="00FC7BF0"/>
    <w:rsid w:val="00FC7D3D"/>
    <w:rsid w:val="00FC7D7D"/>
    <w:rsid w:val="00FD01B8"/>
    <w:rsid w:val="00FD0253"/>
    <w:rsid w:val="00FD044E"/>
    <w:rsid w:val="00FD0469"/>
    <w:rsid w:val="00FD050B"/>
    <w:rsid w:val="00FD087C"/>
    <w:rsid w:val="00FD0ADE"/>
    <w:rsid w:val="00FD0BAE"/>
    <w:rsid w:val="00FD0CB9"/>
    <w:rsid w:val="00FD0EE1"/>
    <w:rsid w:val="00FD110E"/>
    <w:rsid w:val="00FD1391"/>
    <w:rsid w:val="00FD13BF"/>
    <w:rsid w:val="00FD13CB"/>
    <w:rsid w:val="00FD15A0"/>
    <w:rsid w:val="00FD15B3"/>
    <w:rsid w:val="00FD15C7"/>
    <w:rsid w:val="00FD1692"/>
    <w:rsid w:val="00FD183D"/>
    <w:rsid w:val="00FD1AB4"/>
    <w:rsid w:val="00FD1ACF"/>
    <w:rsid w:val="00FD1BB5"/>
    <w:rsid w:val="00FD1DC6"/>
    <w:rsid w:val="00FD1F33"/>
    <w:rsid w:val="00FD1FF2"/>
    <w:rsid w:val="00FD23E5"/>
    <w:rsid w:val="00FD260A"/>
    <w:rsid w:val="00FD27A6"/>
    <w:rsid w:val="00FD295A"/>
    <w:rsid w:val="00FD299D"/>
    <w:rsid w:val="00FD2B68"/>
    <w:rsid w:val="00FD30F7"/>
    <w:rsid w:val="00FD31DC"/>
    <w:rsid w:val="00FD3387"/>
    <w:rsid w:val="00FD3645"/>
    <w:rsid w:val="00FD3911"/>
    <w:rsid w:val="00FD392A"/>
    <w:rsid w:val="00FD3A67"/>
    <w:rsid w:val="00FD3A6D"/>
    <w:rsid w:val="00FD3B5D"/>
    <w:rsid w:val="00FD3E1F"/>
    <w:rsid w:val="00FD418C"/>
    <w:rsid w:val="00FD443B"/>
    <w:rsid w:val="00FD45DC"/>
    <w:rsid w:val="00FD46A7"/>
    <w:rsid w:val="00FD48EB"/>
    <w:rsid w:val="00FD49D3"/>
    <w:rsid w:val="00FD4BBD"/>
    <w:rsid w:val="00FD4C7A"/>
    <w:rsid w:val="00FD4C97"/>
    <w:rsid w:val="00FD50F4"/>
    <w:rsid w:val="00FD51A1"/>
    <w:rsid w:val="00FD56D3"/>
    <w:rsid w:val="00FD5751"/>
    <w:rsid w:val="00FD59B8"/>
    <w:rsid w:val="00FD5B08"/>
    <w:rsid w:val="00FD5B82"/>
    <w:rsid w:val="00FD5C58"/>
    <w:rsid w:val="00FD5DD9"/>
    <w:rsid w:val="00FD5E36"/>
    <w:rsid w:val="00FD5EAC"/>
    <w:rsid w:val="00FD6296"/>
    <w:rsid w:val="00FD65A7"/>
    <w:rsid w:val="00FD690D"/>
    <w:rsid w:val="00FD694C"/>
    <w:rsid w:val="00FD6959"/>
    <w:rsid w:val="00FD698E"/>
    <w:rsid w:val="00FD6D32"/>
    <w:rsid w:val="00FD6E4F"/>
    <w:rsid w:val="00FD6F0A"/>
    <w:rsid w:val="00FD6FC6"/>
    <w:rsid w:val="00FD776D"/>
    <w:rsid w:val="00FD779E"/>
    <w:rsid w:val="00FD7A95"/>
    <w:rsid w:val="00FD7AFE"/>
    <w:rsid w:val="00FD7B99"/>
    <w:rsid w:val="00FD7C8E"/>
    <w:rsid w:val="00FD7DFC"/>
    <w:rsid w:val="00FD7FD5"/>
    <w:rsid w:val="00FE06CC"/>
    <w:rsid w:val="00FE0901"/>
    <w:rsid w:val="00FE0A69"/>
    <w:rsid w:val="00FE0B5B"/>
    <w:rsid w:val="00FE0B92"/>
    <w:rsid w:val="00FE0C12"/>
    <w:rsid w:val="00FE0C5C"/>
    <w:rsid w:val="00FE0EED"/>
    <w:rsid w:val="00FE1011"/>
    <w:rsid w:val="00FE12E2"/>
    <w:rsid w:val="00FE12E8"/>
    <w:rsid w:val="00FE142D"/>
    <w:rsid w:val="00FE1582"/>
    <w:rsid w:val="00FE16DC"/>
    <w:rsid w:val="00FE1789"/>
    <w:rsid w:val="00FE18A7"/>
    <w:rsid w:val="00FE198C"/>
    <w:rsid w:val="00FE1A34"/>
    <w:rsid w:val="00FE1AA8"/>
    <w:rsid w:val="00FE1B56"/>
    <w:rsid w:val="00FE1E07"/>
    <w:rsid w:val="00FE1E4A"/>
    <w:rsid w:val="00FE1E95"/>
    <w:rsid w:val="00FE1ECB"/>
    <w:rsid w:val="00FE1EDB"/>
    <w:rsid w:val="00FE1F39"/>
    <w:rsid w:val="00FE1F65"/>
    <w:rsid w:val="00FE2025"/>
    <w:rsid w:val="00FE20DD"/>
    <w:rsid w:val="00FE2246"/>
    <w:rsid w:val="00FE226D"/>
    <w:rsid w:val="00FE25A0"/>
    <w:rsid w:val="00FE2A4C"/>
    <w:rsid w:val="00FE2CBD"/>
    <w:rsid w:val="00FE2EA5"/>
    <w:rsid w:val="00FE2FDE"/>
    <w:rsid w:val="00FE3068"/>
    <w:rsid w:val="00FE3553"/>
    <w:rsid w:val="00FE36B3"/>
    <w:rsid w:val="00FE3B0E"/>
    <w:rsid w:val="00FE3FCE"/>
    <w:rsid w:val="00FE3FF3"/>
    <w:rsid w:val="00FE40B8"/>
    <w:rsid w:val="00FE41AF"/>
    <w:rsid w:val="00FE41C3"/>
    <w:rsid w:val="00FE42D2"/>
    <w:rsid w:val="00FE43DC"/>
    <w:rsid w:val="00FE43E4"/>
    <w:rsid w:val="00FE4533"/>
    <w:rsid w:val="00FE4683"/>
    <w:rsid w:val="00FE4AE1"/>
    <w:rsid w:val="00FE4AE6"/>
    <w:rsid w:val="00FE4B14"/>
    <w:rsid w:val="00FE4B66"/>
    <w:rsid w:val="00FE4D6B"/>
    <w:rsid w:val="00FE4F87"/>
    <w:rsid w:val="00FE5056"/>
    <w:rsid w:val="00FE508B"/>
    <w:rsid w:val="00FE52EE"/>
    <w:rsid w:val="00FE52F7"/>
    <w:rsid w:val="00FE5324"/>
    <w:rsid w:val="00FE532D"/>
    <w:rsid w:val="00FE5359"/>
    <w:rsid w:val="00FE53D4"/>
    <w:rsid w:val="00FE5487"/>
    <w:rsid w:val="00FE5539"/>
    <w:rsid w:val="00FE5596"/>
    <w:rsid w:val="00FE57B7"/>
    <w:rsid w:val="00FE589C"/>
    <w:rsid w:val="00FE5A0B"/>
    <w:rsid w:val="00FE5A4B"/>
    <w:rsid w:val="00FE5B6A"/>
    <w:rsid w:val="00FE5D72"/>
    <w:rsid w:val="00FE61F2"/>
    <w:rsid w:val="00FE625B"/>
    <w:rsid w:val="00FE647D"/>
    <w:rsid w:val="00FE66F8"/>
    <w:rsid w:val="00FE66FB"/>
    <w:rsid w:val="00FE6944"/>
    <w:rsid w:val="00FE6A9C"/>
    <w:rsid w:val="00FE6CC7"/>
    <w:rsid w:val="00FE6CFD"/>
    <w:rsid w:val="00FE6D08"/>
    <w:rsid w:val="00FE6E5E"/>
    <w:rsid w:val="00FE6E79"/>
    <w:rsid w:val="00FE6FB0"/>
    <w:rsid w:val="00FE6FC7"/>
    <w:rsid w:val="00FE7023"/>
    <w:rsid w:val="00FE7463"/>
    <w:rsid w:val="00FE74A0"/>
    <w:rsid w:val="00FE74B1"/>
    <w:rsid w:val="00FE76F2"/>
    <w:rsid w:val="00FE792F"/>
    <w:rsid w:val="00FE7CD0"/>
    <w:rsid w:val="00FE7D9F"/>
    <w:rsid w:val="00FE7ED7"/>
    <w:rsid w:val="00FF0158"/>
    <w:rsid w:val="00FF0319"/>
    <w:rsid w:val="00FF0562"/>
    <w:rsid w:val="00FF0981"/>
    <w:rsid w:val="00FF114E"/>
    <w:rsid w:val="00FF133F"/>
    <w:rsid w:val="00FF16FE"/>
    <w:rsid w:val="00FF174A"/>
    <w:rsid w:val="00FF17E1"/>
    <w:rsid w:val="00FF1A3C"/>
    <w:rsid w:val="00FF1AD8"/>
    <w:rsid w:val="00FF1B66"/>
    <w:rsid w:val="00FF1C94"/>
    <w:rsid w:val="00FF1F51"/>
    <w:rsid w:val="00FF2177"/>
    <w:rsid w:val="00FF220A"/>
    <w:rsid w:val="00FF224D"/>
    <w:rsid w:val="00FF25F5"/>
    <w:rsid w:val="00FF26D3"/>
    <w:rsid w:val="00FF27B5"/>
    <w:rsid w:val="00FF285A"/>
    <w:rsid w:val="00FF2879"/>
    <w:rsid w:val="00FF2A52"/>
    <w:rsid w:val="00FF2A91"/>
    <w:rsid w:val="00FF2AA2"/>
    <w:rsid w:val="00FF2B6F"/>
    <w:rsid w:val="00FF2C3D"/>
    <w:rsid w:val="00FF2E3C"/>
    <w:rsid w:val="00FF2EF8"/>
    <w:rsid w:val="00FF2F02"/>
    <w:rsid w:val="00FF2F65"/>
    <w:rsid w:val="00FF2F85"/>
    <w:rsid w:val="00FF2FA6"/>
    <w:rsid w:val="00FF31F3"/>
    <w:rsid w:val="00FF32A1"/>
    <w:rsid w:val="00FF33E6"/>
    <w:rsid w:val="00FF33EF"/>
    <w:rsid w:val="00FF36C2"/>
    <w:rsid w:val="00FF3829"/>
    <w:rsid w:val="00FF3924"/>
    <w:rsid w:val="00FF3A0A"/>
    <w:rsid w:val="00FF3F6F"/>
    <w:rsid w:val="00FF3F72"/>
    <w:rsid w:val="00FF4050"/>
    <w:rsid w:val="00FF43C0"/>
    <w:rsid w:val="00FF44AB"/>
    <w:rsid w:val="00FF47BB"/>
    <w:rsid w:val="00FF480E"/>
    <w:rsid w:val="00FF4AF0"/>
    <w:rsid w:val="00FF4F94"/>
    <w:rsid w:val="00FF505C"/>
    <w:rsid w:val="00FF5901"/>
    <w:rsid w:val="00FF5AA5"/>
    <w:rsid w:val="00FF5B6F"/>
    <w:rsid w:val="00FF5EB3"/>
    <w:rsid w:val="00FF5EE5"/>
    <w:rsid w:val="00FF5FF1"/>
    <w:rsid w:val="00FF6099"/>
    <w:rsid w:val="00FF6119"/>
    <w:rsid w:val="00FF65E2"/>
    <w:rsid w:val="00FF66FD"/>
    <w:rsid w:val="00FF67E3"/>
    <w:rsid w:val="00FF69A0"/>
    <w:rsid w:val="00FF69AD"/>
    <w:rsid w:val="00FF6BB0"/>
    <w:rsid w:val="00FF6E0F"/>
    <w:rsid w:val="00FF71EA"/>
    <w:rsid w:val="00FF754D"/>
    <w:rsid w:val="00FF75DA"/>
    <w:rsid w:val="00FF7890"/>
    <w:rsid w:val="00FF78E9"/>
    <w:rsid w:val="00FF7BBB"/>
    <w:rsid w:val="00FF7E8E"/>
    <w:rsid w:val="010ED09C"/>
    <w:rsid w:val="0122EE0F"/>
    <w:rsid w:val="013CE025"/>
    <w:rsid w:val="016540D4"/>
    <w:rsid w:val="01F1428D"/>
    <w:rsid w:val="0236ABF8"/>
    <w:rsid w:val="024CA0CE"/>
    <w:rsid w:val="0259510E"/>
    <w:rsid w:val="02C16D29"/>
    <w:rsid w:val="02F6FBB7"/>
    <w:rsid w:val="030B1FD2"/>
    <w:rsid w:val="0346963D"/>
    <w:rsid w:val="03786E07"/>
    <w:rsid w:val="03CD59B0"/>
    <w:rsid w:val="03D29A2C"/>
    <w:rsid w:val="0410FF4F"/>
    <w:rsid w:val="04161210"/>
    <w:rsid w:val="044CE03A"/>
    <w:rsid w:val="04646F4C"/>
    <w:rsid w:val="0496B883"/>
    <w:rsid w:val="04C3DFF0"/>
    <w:rsid w:val="04CBEFAF"/>
    <w:rsid w:val="04DFBDD9"/>
    <w:rsid w:val="05060D85"/>
    <w:rsid w:val="05850239"/>
    <w:rsid w:val="05F91BA9"/>
    <w:rsid w:val="05F9854B"/>
    <w:rsid w:val="069BDAA1"/>
    <w:rsid w:val="069EB4F8"/>
    <w:rsid w:val="06CD113B"/>
    <w:rsid w:val="06D69C2A"/>
    <w:rsid w:val="070A1D1B"/>
    <w:rsid w:val="07200490"/>
    <w:rsid w:val="078326F4"/>
    <w:rsid w:val="07A757A7"/>
    <w:rsid w:val="07C4CF77"/>
    <w:rsid w:val="07E5D1A3"/>
    <w:rsid w:val="082AC892"/>
    <w:rsid w:val="083008BC"/>
    <w:rsid w:val="084D5B94"/>
    <w:rsid w:val="08650AFE"/>
    <w:rsid w:val="08B04511"/>
    <w:rsid w:val="08E98333"/>
    <w:rsid w:val="093A4E77"/>
    <w:rsid w:val="093CC25B"/>
    <w:rsid w:val="09663EE4"/>
    <w:rsid w:val="096D9A79"/>
    <w:rsid w:val="09AD77BF"/>
    <w:rsid w:val="09C4D155"/>
    <w:rsid w:val="09CA48E6"/>
    <w:rsid w:val="09EA6787"/>
    <w:rsid w:val="0A03ABFC"/>
    <w:rsid w:val="0A855394"/>
    <w:rsid w:val="0AB6F7BA"/>
    <w:rsid w:val="0B011232"/>
    <w:rsid w:val="0B1BC69E"/>
    <w:rsid w:val="0B1DE0AC"/>
    <w:rsid w:val="0B278AC7"/>
    <w:rsid w:val="0B2F3EA4"/>
    <w:rsid w:val="0B328613"/>
    <w:rsid w:val="0BBAA6DA"/>
    <w:rsid w:val="0BFA0539"/>
    <w:rsid w:val="0C0090FE"/>
    <w:rsid w:val="0C0852DC"/>
    <w:rsid w:val="0C1F2C56"/>
    <w:rsid w:val="0C20A684"/>
    <w:rsid w:val="0CAF2D59"/>
    <w:rsid w:val="0CC963AB"/>
    <w:rsid w:val="0DBCBC2A"/>
    <w:rsid w:val="0DE8BBB0"/>
    <w:rsid w:val="0E567458"/>
    <w:rsid w:val="0E6F138E"/>
    <w:rsid w:val="0E7776C2"/>
    <w:rsid w:val="0EF3559F"/>
    <w:rsid w:val="0F4132AB"/>
    <w:rsid w:val="0F45CC6D"/>
    <w:rsid w:val="0F846173"/>
    <w:rsid w:val="0FF00EF5"/>
    <w:rsid w:val="10376E79"/>
    <w:rsid w:val="10454F51"/>
    <w:rsid w:val="1080A407"/>
    <w:rsid w:val="108AEB4D"/>
    <w:rsid w:val="10ACCCE8"/>
    <w:rsid w:val="11043F12"/>
    <w:rsid w:val="115EF60D"/>
    <w:rsid w:val="116834DB"/>
    <w:rsid w:val="11A4C18E"/>
    <w:rsid w:val="11C4192A"/>
    <w:rsid w:val="11C734C5"/>
    <w:rsid w:val="11D21F86"/>
    <w:rsid w:val="11DF3E4F"/>
    <w:rsid w:val="11E65FCD"/>
    <w:rsid w:val="11E727CC"/>
    <w:rsid w:val="1230E606"/>
    <w:rsid w:val="12826F85"/>
    <w:rsid w:val="12BC0235"/>
    <w:rsid w:val="12F3DE04"/>
    <w:rsid w:val="134560BF"/>
    <w:rsid w:val="13FB44DC"/>
    <w:rsid w:val="140B79B2"/>
    <w:rsid w:val="143FC2FD"/>
    <w:rsid w:val="144375D0"/>
    <w:rsid w:val="144F5214"/>
    <w:rsid w:val="145B7C20"/>
    <w:rsid w:val="14BA3B86"/>
    <w:rsid w:val="14F8EE49"/>
    <w:rsid w:val="1534D887"/>
    <w:rsid w:val="1552A2A3"/>
    <w:rsid w:val="15A14D21"/>
    <w:rsid w:val="15F3A2F7"/>
    <w:rsid w:val="1622FDD0"/>
    <w:rsid w:val="16235FE3"/>
    <w:rsid w:val="166A1861"/>
    <w:rsid w:val="17141F96"/>
    <w:rsid w:val="17215B42"/>
    <w:rsid w:val="174C4AFB"/>
    <w:rsid w:val="1783A808"/>
    <w:rsid w:val="183D05D4"/>
    <w:rsid w:val="187C622E"/>
    <w:rsid w:val="1895750E"/>
    <w:rsid w:val="18A235FA"/>
    <w:rsid w:val="18ACBA1A"/>
    <w:rsid w:val="18CCB101"/>
    <w:rsid w:val="18EFBD5C"/>
    <w:rsid w:val="196185E3"/>
    <w:rsid w:val="19715411"/>
    <w:rsid w:val="19C10F99"/>
    <w:rsid w:val="19D3D318"/>
    <w:rsid w:val="19E29271"/>
    <w:rsid w:val="1A171926"/>
    <w:rsid w:val="1AAA06E8"/>
    <w:rsid w:val="1B417772"/>
    <w:rsid w:val="1B704C43"/>
    <w:rsid w:val="1B8040C8"/>
    <w:rsid w:val="1BBCEC95"/>
    <w:rsid w:val="1BE6A5D5"/>
    <w:rsid w:val="1C0E480B"/>
    <w:rsid w:val="1C608496"/>
    <w:rsid w:val="1CA72E6B"/>
    <w:rsid w:val="1CAD400C"/>
    <w:rsid w:val="1CB5C9C0"/>
    <w:rsid w:val="1CCF01E9"/>
    <w:rsid w:val="1CD94CBF"/>
    <w:rsid w:val="1CE871A3"/>
    <w:rsid w:val="1D008A94"/>
    <w:rsid w:val="1D0F9B7F"/>
    <w:rsid w:val="1D807F02"/>
    <w:rsid w:val="1D99484A"/>
    <w:rsid w:val="1DCE2B29"/>
    <w:rsid w:val="1DDB5531"/>
    <w:rsid w:val="1E5456F7"/>
    <w:rsid w:val="1E6C337B"/>
    <w:rsid w:val="1EBB2D43"/>
    <w:rsid w:val="1EED781A"/>
    <w:rsid w:val="1FE75A62"/>
    <w:rsid w:val="1FEDF406"/>
    <w:rsid w:val="20064B09"/>
    <w:rsid w:val="205108F6"/>
    <w:rsid w:val="20D554A7"/>
    <w:rsid w:val="2121A531"/>
    <w:rsid w:val="215E5DAC"/>
    <w:rsid w:val="2182E85B"/>
    <w:rsid w:val="219B2AFE"/>
    <w:rsid w:val="21E570C2"/>
    <w:rsid w:val="21FDE717"/>
    <w:rsid w:val="2202F2E4"/>
    <w:rsid w:val="2221EA7F"/>
    <w:rsid w:val="22335156"/>
    <w:rsid w:val="225BED29"/>
    <w:rsid w:val="22DE9151"/>
    <w:rsid w:val="22FF86D9"/>
    <w:rsid w:val="235314B1"/>
    <w:rsid w:val="23786B00"/>
    <w:rsid w:val="23B26358"/>
    <w:rsid w:val="23D041E7"/>
    <w:rsid w:val="23DEC8F7"/>
    <w:rsid w:val="2445EDE4"/>
    <w:rsid w:val="247B5D0A"/>
    <w:rsid w:val="2496CDCA"/>
    <w:rsid w:val="24A49502"/>
    <w:rsid w:val="24C3FD22"/>
    <w:rsid w:val="24D95E83"/>
    <w:rsid w:val="25A2C317"/>
    <w:rsid w:val="25E2CF55"/>
    <w:rsid w:val="263EC6CD"/>
    <w:rsid w:val="26FA945C"/>
    <w:rsid w:val="270459E0"/>
    <w:rsid w:val="272C0546"/>
    <w:rsid w:val="275C3558"/>
    <w:rsid w:val="27AC878E"/>
    <w:rsid w:val="280FBBC2"/>
    <w:rsid w:val="28639761"/>
    <w:rsid w:val="286865B0"/>
    <w:rsid w:val="286C4432"/>
    <w:rsid w:val="288C5FD5"/>
    <w:rsid w:val="288DE57A"/>
    <w:rsid w:val="28AF44C2"/>
    <w:rsid w:val="294596BB"/>
    <w:rsid w:val="294857EF"/>
    <w:rsid w:val="29B292A6"/>
    <w:rsid w:val="2A1C0219"/>
    <w:rsid w:val="2A89C553"/>
    <w:rsid w:val="2B31C0F7"/>
    <w:rsid w:val="2B5E9361"/>
    <w:rsid w:val="2BAADE61"/>
    <w:rsid w:val="2BDAABC5"/>
    <w:rsid w:val="2C2F5A9F"/>
    <w:rsid w:val="2C3A8794"/>
    <w:rsid w:val="2C469257"/>
    <w:rsid w:val="2C883557"/>
    <w:rsid w:val="2C90224D"/>
    <w:rsid w:val="2CB06DE7"/>
    <w:rsid w:val="2D13F93B"/>
    <w:rsid w:val="2D140A83"/>
    <w:rsid w:val="2D39C44D"/>
    <w:rsid w:val="2D5823BF"/>
    <w:rsid w:val="2DC58AAF"/>
    <w:rsid w:val="2DC8B4DD"/>
    <w:rsid w:val="2DFEEEB1"/>
    <w:rsid w:val="2E5C7685"/>
    <w:rsid w:val="2E6DCAEE"/>
    <w:rsid w:val="2E8040C9"/>
    <w:rsid w:val="2EAEB6D4"/>
    <w:rsid w:val="2EB68139"/>
    <w:rsid w:val="2EC6C6A3"/>
    <w:rsid w:val="2ECD24CC"/>
    <w:rsid w:val="2ED39B75"/>
    <w:rsid w:val="2F179F7A"/>
    <w:rsid w:val="2F265533"/>
    <w:rsid w:val="2F5596C4"/>
    <w:rsid w:val="2F6291FC"/>
    <w:rsid w:val="2F91122F"/>
    <w:rsid w:val="2FBA8BCB"/>
    <w:rsid w:val="2FE4EE39"/>
    <w:rsid w:val="2FEB574A"/>
    <w:rsid w:val="30206CEB"/>
    <w:rsid w:val="3084EC68"/>
    <w:rsid w:val="3088C704"/>
    <w:rsid w:val="30D39A56"/>
    <w:rsid w:val="30DF7C9C"/>
    <w:rsid w:val="30EFBA8E"/>
    <w:rsid w:val="310D380E"/>
    <w:rsid w:val="31928DC8"/>
    <w:rsid w:val="31FD5F9A"/>
    <w:rsid w:val="32039D13"/>
    <w:rsid w:val="320AB03E"/>
    <w:rsid w:val="322AD55E"/>
    <w:rsid w:val="322F6466"/>
    <w:rsid w:val="3247F8CF"/>
    <w:rsid w:val="32C10BBE"/>
    <w:rsid w:val="32E54B63"/>
    <w:rsid w:val="3301568F"/>
    <w:rsid w:val="330669CB"/>
    <w:rsid w:val="3378ADE5"/>
    <w:rsid w:val="338E2890"/>
    <w:rsid w:val="33C02AFD"/>
    <w:rsid w:val="33C2E45F"/>
    <w:rsid w:val="33C3DF2F"/>
    <w:rsid w:val="341FD67A"/>
    <w:rsid w:val="34373561"/>
    <w:rsid w:val="3472DF53"/>
    <w:rsid w:val="34931C8F"/>
    <w:rsid w:val="34D24E66"/>
    <w:rsid w:val="34E59A03"/>
    <w:rsid w:val="3518F1B8"/>
    <w:rsid w:val="3533688A"/>
    <w:rsid w:val="3538741D"/>
    <w:rsid w:val="353B058A"/>
    <w:rsid w:val="35ABB584"/>
    <w:rsid w:val="35D42701"/>
    <w:rsid w:val="3636B3B9"/>
    <w:rsid w:val="3685870A"/>
    <w:rsid w:val="3690CD56"/>
    <w:rsid w:val="36B8823B"/>
    <w:rsid w:val="3706B3A9"/>
    <w:rsid w:val="37A96D1A"/>
    <w:rsid w:val="3810C58F"/>
    <w:rsid w:val="3812D8CD"/>
    <w:rsid w:val="381DA2ED"/>
    <w:rsid w:val="3830A1B5"/>
    <w:rsid w:val="38597DEF"/>
    <w:rsid w:val="38707BCE"/>
    <w:rsid w:val="38B63E0E"/>
    <w:rsid w:val="38BFA77B"/>
    <w:rsid w:val="38EC8A02"/>
    <w:rsid w:val="392E5637"/>
    <w:rsid w:val="398FE9BF"/>
    <w:rsid w:val="399C9F86"/>
    <w:rsid w:val="39A3C2C3"/>
    <w:rsid w:val="39B73BE6"/>
    <w:rsid w:val="39DF7DED"/>
    <w:rsid w:val="3A169DD6"/>
    <w:rsid w:val="3A548809"/>
    <w:rsid w:val="3A5AC569"/>
    <w:rsid w:val="3A6261CD"/>
    <w:rsid w:val="3A6F91B5"/>
    <w:rsid w:val="3A7DFAD7"/>
    <w:rsid w:val="3AC2A145"/>
    <w:rsid w:val="3ADB322A"/>
    <w:rsid w:val="3AE66B94"/>
    <w:rsid w:val="3B2BE4F0"/>
    <w:rsid w:val="3B47C3D4"/>
    <w:rsid w:val="3B66B157"/>
    <w:rsid w:val="3B7F8901"/>
    <w:rsid w:val="3B918153"/>
    <w:rsid w:val="3BAA470E"/>
    <w:rsid w:val="3C1E558F"/>
    <w:rsid w:val="3C1F1549"/>
    <w:rsid w:val="3C395E67"/>
    <w:rsid w:val="3C77D1E7"/>
    <w:rsid w:val="3C830618"/>
    <w:rsid w:val="3C9D713A"/>
    <w:rsid w:val="3D086107"/>
    <w:rsid w:val="3D68760A"/>
    <w:rsid w:val="3DAD8EA4"/>
    <w:rsid w:val="3DBF4C67"/>
    <w:rsid w:val="3DFC2B23"/>
    <w:rsid w:val="3E04C5B5"/>
    <w:rsid w:val="3E21EF4B"/>
    <w:rsid w:val="3E282462"/>
    <w:rsid w:val="3E341826"/>
    <w:rsid w:val="3E9E5219"/>
    <w:rsid w:val="3ED29B9A"/>
    <w:rsid w:val="3F31C6FF"/>
    <w:rsid w:val="3F5EE4A3"/>
    <w:rsid w:val="3F694787"/>
    <w:rsid w:val="3F6B8746"/>
    <w:rsid w:val="3F6D644D"/>
    <w:rsid w:val="3F823A89"/>
    <w:rsid w:val="3FBA62AF"/>
    <w:rsid w:val="3FC81F24"/>
    <w:rsid w:val="3FD37A6A"/>
    <w:rsid w:val="3FE35D55"/>
    <w:rsid w:val="3FFAD809"/>
    <w:rsid w:val="40712A1A"/>
    <w:rsid w:val="40894CA4"/>
    <w:rsid w:val="40C8C0B7"/>
    <w:rsid w:val="40F687F2"/>
    <w:rsid w:val="41135A89"/>
    <w:rsid w:val="4113804B"/>
    <w:rsid w:val="41194B96"/>
    <w:rsid w:val="414125F1"/>
    <w:rsid w:val="415359E5"/>
    <w:rsid w:val="416F718E"/>
    <w:rsid w:val="41A96026"/>
    <w:rsid w:val="41B0F151"/>
    <w:rsid w:val="41C58116"/>
    <w:rsid w:val="41D030ED"/>
    <w:rsid w:val="41E0E2A3"/>
    <w:rsid w:val="4208EFC6"/>
    <w:rsid w:val="427A679D"/>
    <w:rsid w:val="429992F2"/>
    <w:rsid w:val="42C68CDF"/>
    <w:rsid w:val="42FCC475"/>
    <w:rsid w:val="42FD4670"/>
    <w:rsid w:val="437F9D16"/>
    <w:rsid w:val="43FB0B2B"/>
    <w:rsid w:val="4470996C"/>
    <w:rsid w:val="44AA35BA"/>
    <w:rsid w:val="44AFF6CB"/>
    <w:rsid w:val="44B4A420"/>
    <w:rsid w:val="44CA981F"/>
    <w:rsid w:val="44FD214E"/>
    <w:rsid w:val="4509F1CF"/>
    <w:rsid w:val="45112C52"/>
    <w:rsid w:val="4579D0B8"/>
    <w:rsid w:val="45E7FBEB"/>
    <w:rsid w:val="45F798CF"/>
    <w:rsid w:val="46094DE0"/>
    <w:rsid w:val="46264B7E"/>
    <w:rsid w:val="465D21DA"/>
    <w:rsid w:val="4684F2D5"/>
    <w:rsid w:val="468CE1A2"/>
    <w:rsid w:val="46B92201"/>
    <w:rsid w:val="46CC65CC"/>
    <w:rsid w:val="46E52369"/>
    <w:rsid w:val="4709F02F"/>
    <w:rsid w:val="4710F8EB"/>
    <w:rsid w:val="4728282A"/>
    <w:rsid w:val="472C5244"/>
    <w:rsid w:val="4794CE3B"/>
    <w:rsid w:val="47D28D68"/>
    <w:rsid w:val="47E8081E"/>
    <w:rsid w:val="481ECA5C"/>
    <w:rsid w:val="48D682DC"/>
    <w:rsid w:val="49283E65"/>
    <w:rsid w:val="4963ADBC"/>
    <w:rsid w:val="49A2071A"/>
    <w:rsid w:val="49C48264"/>
    <w:rsid w:val="4A4BF140"/>
    <w:rsid w:val="4A896D36"/>
    <w:rsid w:val="4B12FCF1"/>
    <w:rsid w:val="4BCB57F2"/>
    <w:rsid w:val="4BD58C37"/>
    <w:rsid w:val="4BDD9103"/>
    <w:rsid w:val="4C3B49FD"/>
    <w:rsid w:val="4C4A344B"/>
    <w:rsid w:val="4C4AD497"/>
    <w:rsid w:val="4C8439A2"/>
    <w:rsid w:val="4CB3305D"/>
    <w:rsid w:val="4CC8854C"/>
    <w:rsid w:val="4CEE91F7"/>
    <w:rsid w:val="4D72AC46"/>
    <w:rsid w:val="4DEA16C8"/>
    <w:rsid w:val="4E194C68"/>
    <w:rsid w:val="4E1DCABC"/>
    <w:rsid w:val="4E274BD9"/>
    <w:rsid w:val="4E2C210C"/>
    <w:rsid w:val="4E3DF7BD"/>
    <w:rsid w:val="4E6AEC8C"/>
    <w:rsid w:val="4E6F085F"/>
    <w:rsid w:val="4E761B65"/>
    <w:rsid w:val="4EFE1D31"/>
    <w:rsid w:val="4F201C25"/>
    <w:rsid w:val="4F35C383"/>
    <w:rsid w:val="4F4AE61B"/>
    <w:rsid w:val="4F536710"/>
    <w:rsid w:val="4F68D8E8"/>
    <w:rsid w:val="4FBB75BD"/>
    <w:rsid w:val="50BEE20E"/>
    <w:rsid w:val="50F51786"/>
    <w:rsid w:val="515B23C8"/>
    <w:rsid w:val="516A46F5"/>
    <w:rsid w:val="516C80DE"/>
    <w:rsid w:val="517406D6"/>
    <w:rsid w:val="5198C335"/>
    <w:rsid w:val="51FFEB04"/>
    <w:rsid w:val="520DEAE0"/>
    <w:rsid w:val="52C2CE5F"/>
    <w:rsid w:val="5341819E"/>
    <w:rsid w:val="53496749"/>
    <w:rsid w:val="5419F534"/>
    <w:rsid w:val="544BDEF0"/>
    <w:rsid w:val="54875EFC"/>
    <w:rsid w:val="54DCDF02"/>
    <w:rsid w:val="54E97C6A"/>
    <w:rsid w:val="554E277B"/>
    <w:rsid w:val="55AF60B7"/>
    <w:rsid w:val="55E4AFFB"/>
    <w:rsid w:val="55FE51FD"/>
    <w:rsid w:val="569E5DE2"/>
    <w:rsid w:val="56A0113C"/>
    <w:rsid w:val="56D035BF"/>
    <w:rsid w:val="56D1FE6F"/>
    <w:rsid w:val="5702E6D2"/>
    <w:rsid w:val="574D7910"/>
    <w:rsid w:val="57DED924"/>
    <w:rsid w:val="5847F728"/>
    <w:rsid w:val="585BFB9E"/>
    <w:rsid w:val="58A82669"/>
    <w:rsid w:val="58C518AB"/>
    <w:rsid w:val="58F36874"/>
    <w:rsid w:val="5934E1A2"/>
    <w:rsid w:val="5935DE2C"/>
    <w:rsid w:val="5971708F"/>
    <w:rsid w:val="59BC78C9"/>
    <w:rsid w:val="5A283F3D"/>
    <w:rsid w:val="5A56E565"/>
    <w:rsid w:val="5AB89AC3"/>
    <w:rsid w:val="5ACFCD2A"/>
    <w:rsid w:val="5B4A92FF"/>
    <w:rsid w:val="5B70506C"/>
    <w:rsid w:val="5BB3731E"/>
    <w:rsid w:val="5BE2F998"/>
    <w:rsid w:val="5C7E62F0"/>
    <w:rsid w:val="5C8492C8"/>
    <w:rsid w:val="5CB94B4E"/>
    <w:rsid w:val="5D3A4814"/>
    <w:rsid w:val="5D514294"/>
    <w:rsid w:val="5D8ED670"/>
    <w:rsid w:val="5DA2F3ED"/>
    <w:rsid w:val="5DA6642B"/>
    <w:rsid w:val="5DB1CEDF"/>
    <w:rsid w:val="5DF163B6"/>
    <w:rsid w:val="5E4BCD63"/>
    <w:rsid w:val="5E81E352"/>
    <w:rsid w:val="5E9C4D58"/>
    <w:rsid w:val="5EE3FE78"/>
    <w:rsid w:val="5F4E36B8"/>
    <w:rsid w:val="5F58A859"/>
    <w:rsid w:val="5FE4A624"/>
    <w:rsid w:val="5FF7F777"/>
    <w:rsid w:val="60073A10"/>
    <w:rsid w:val="604ED349"/>
    <w:rsid w:val="607767AE"/>
    <w:rsid w:val="60AE3282"/>
    <w:rsid w:val="60EE109C"/>
    <w:rsid w:val="6187CC49"/>
    <w:rsid w:val="61B11DAF"/>
    <w:rsid w:val="61B1D37C"/>
    <w:rsid w:val="625BBC39"/>
    <w:rsid w:val="626162BA"/>
    <w:rsid w:val="626DADB3"/>
    <w:rsid w:val="626FFDBE"/>
    <w:rsid w:val="62711E7A"/>
    <w:rsid w:val="62CA9616"/>
    <w:rsid w:val="62DA02C9"/>
    <w:rsid w:val="62FB8516"/>
    <w:rsid w:val="6310AE60"/>
    <w:rsid w:val="632F00C1"/>
    <w:rsid w:val="63472059"/>
    <w:rsid w:val="63473463"/>
    <w:rsid w:val="63949209"/>
    <w:rsid w:val="63BF79F9"/>
    <w:rsid w:val="63CDD7B9"/>
    <w:rsid w:val="63D5DFCF"/>
    <w:rsid w:val="63EB3840"/>
    <w:rsid w:val="63F2D41A"/>
    <w:rsid w:val="64123730"/>
    <w:rsid w:val="643110EC"/>
    <w:rsid w:val="647FC68C"/>
    <w:rsid w:val="648E5EC6"/>
    <w:rsid w:val="64AB0046"/>
    <w:rsid w:val="64C642B3"/>
    <w:rsid w:val="64CD191A"/>
    <w:rsid w:val="65533FFC"/>
    <w:rsid w:val="65949008"/>
    <w:rsid w:val="65AC3D71"/>
    <w:rsid w:val="65BBD84C"/>
    <w:rsid w:val="65E371D0"/>
    <w:rsid w:val="6649B0E3"/>
    <w:rsid w:val="66AE1B3B"/>
    <w:rsid w:val="66B03F10"/>
    <w:rsid w:val="670838BA"/>
    <w:rsid w:val="6752451A"/>
    <w:rsid w:val="67DA1C7C"/>
    <w:rsid w:val="67E9EC7E"/>
    <w:rsid w:val="67F8BE86"/>
    <w:rsid w:val="67FA4C0D"/>
    <w:rsid w:val="67FBC965"/>
    <w:rsid w:val="67FC4BC1"/>
    <w:rsid w:val="686505B3"/>
    <w:rsid w:val="68C3AEC6"/>
    <w:rsid w:val="68CEDDD6"/>
    <w:rsid w:val="68FEE2E1"/>
    <w:rsid w:val="69164DA0"/>
    <w:rsid w:val="69C615C3"/>
    <w:rsid w:val="69EAB0E3"/>
    <w:rsid w:val="6A548368"/>
    <w:rsid w:val="6A5E73DF"/>
    <w:rsid w:val="6A76930D"/>
    <w:rsid w:val="6A90D5DD"/>
    <w:rsid w:val="6AD00BBB"/>
    <w:rsid w:val="6AEBB270"/>
    <w:rsid w:val="6AF99474"/>
    <w:rsid w:val="6AFAE4EC"/>
    <w:rsid w:val="6B007FF0"/>
    <w:rsid w:val="6B5E3A95"/>
    <w:rsid w:val="6BA9DB9D"/>
    <w:rsid w:val="6BBFE2A1"/>
    <w:rsid w:val="6BF2BDF3"/>
    <w:rsid w:val="6C2D8873"/>
    <w:rsid w:val="6CBF7DC1"/>
    <w:rsid w:val="6CC4F1DC"/>
    <w:rsid w:val="6CC53540"/>
    <w:rsid w:val="6CF39E80"/>
    <w:rsid w:val="6D128859"/>
    <w:rsid w:val="6DB8300C"/>
    <w:rsid w:val="6DB90230"/>
    <w:rsid w:val="6DC732FD"/>
    <w:rsid w:val="6DD46F57"/>
    <w:rsid w:val="6E10FEE6"/>
    <w:rsid w:val="6E2C1699"/>
    <w:rsid w:val="6E99223F"/>
    <w:rsid w:val="6E9EAA6F"/>
    <w:rsid w:val="6ED90FA2"/>
    <w:rsid w:val="6F2E04D2"/>
    <w:rsid w:val="6F2F2A22"/>
    <w:rsid w:val="6F6C01B5"/>
    <w:rsid w:val="6F878DD1"/>
    <w:rsid w:val="6F88A1E6"/>
    <w:rsid w:val="6FA9BDB7"/>
    <w:rsid w:val="6FF37D31"/>
    <w:rsid w:val="701EDEF3"/>
    <w:rsid w:val="70306946"/>
    <w:rsid w:val="7034C8A9"/>
    <w:rsid w:val="7049A5DB"/>
    <w:rsid w:val="70572FCC"/>
    <w:rsid w:val="7097111D"/>
    <w:rsid w:val="70A54AEE"/>
    <w:rsid w:val="70E059EB"/>
    <w:rsid w:val="70E98020"/>
    <w:rsid w:val="7172596C"/>
    <w:rsid w:val="7181E5E3"/>
    <w:rsid w:val="719A4489"/>
    <w:rsid w:val="719E0E0F"/>
    <w:rsid w:val="71C39808"/>
    <w:rsid w:val="720C55BC"/>
    <w:rsid w:val="72862E5D"/>
    <w:rsid w:val="729317D5"/>
    <w:rsid w:val="7297F136"/>
    <w:rsid w:val="72AD040E"/>
    <w:rsid w:val="72AEC9E0"/>
    <w:rsid w:val="72CC1F6B"/>
    <w:rsid w:val="72CE8B10"/>
    <w:rsid w:val="72FDE792"/>
    <w:rsid w:val="731AFAE6"/>
    <w:rsid w:val="731D519D"/>
    <w:rsid w:val="732BCBA4"/>
    <w:rsid w:val="735AFCA7"/>
    <w:rsid w:val="73A1C4AC"/>
    <w:rsid w:val="73F3DAA7"/>
    <w:rsid w:val="7400783C"/>
    <w:rsid w:val="741A1240"/>
    <w:rsid w:val="74AB228D"/>
    <w:rsid w:val="74F643A8"/>
    <w:rsid w:val="74FDAA32"/>
    <w:rsid w:val="750FE52C"/>
    <w:rsid w:val="75DC8661"/>
    <w:rsid w:val="76D7A783"/>
    <w:rsid w:val="773633E9"/>
    <w:rsid w:val="77DAC1FC"/>
    <w:rsid w:val="782A2316"/>
    <w:rsid w:val="78449711"/>
    <w:rsid w:val="78963F5F"/>
    <w:rsid w:val="790176BE"/>
    <w:rsid w:val="7927E810"/>
    <w:rsid w:val="793F2AA9"/>
    <w:rsid w:val="794B3D8E"/>
    <w:rsid w:val="79E8B99F"/>
    <w:rsid w:val="79F2780C"/>
    <w:rsid w:val="7A20405B"/>
    <w:rsid w:val="7A6B01E4"/>
    <w:rsid w:val="7AA93466"/>
    <w:rsid w:val="7AFFF88C"/>
    <w:rsid w:val="7B0A1ABF"/>
    <w:rsid w:val="7B7095A1"/>
    <w:rsid w:val="7BA02CF1"/>
    <w:rsid w:val="7BC72C44"/>
    <w:rsid w:val="7BD6CA4F"/>
    <w:rsid w:val="7BDBAF89"/>
    <w:rsid w:val="7C0C8319"/>
    <w:rsid w:val="7C13E880"/>
    <w:rsid w:val="7C47D7BD"/>
    <w:rsid w:val="7C49D2B5"/>
    <w:rsid w:val="7C71C12E"/>
    <w:rsid w:val="7CB5882B"/>
    <w:rsid w:val="7CDD3C8F"/>
    <w:rsid w:val="7D40E6F6"/>
    <w:rsid w:val="7D6E89B4"/>
    <w:rsid w:val="7E93A312"/>
    <w:rsid w:val="7E94934A"/>
    <w:rsid w:val="7ED60616"/>
    <w:rsid w:val="7F05444A"/>
    <w:rsid w:val="7F22E0E3"/>
    <w:rsid w:val="7F457AC7"/>
    <w:rsid w:val="7F70B7D7"/>
    <w:rsid w:val="7FA1B229"/>
    <w:rsid w:val="7FBBC167"/>
    <w:rsid w:val="7FD9B595"/>
    <w:rsid w:val="7FDDD9A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95A6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13CE"/>
    <w:pPr>
      <w:spacing w:after="160" w:line="259" w:lineRule="auto"/>
    </w:pPr>
    <w:rPr>
      <w:rFonts w:eastAsiaTheme="minorEastAsia"/>
    </w:rPr>
  </w:style>
  <w:style w:type="paragraph" w:styleId="Heading1">
    <w:name w:val="heading 1"/>
    <w:basedOn w:val="Normal"/>
    <w:next w:val="Normal"/>
    <w:link w:val="Heading1Char"/>
    <w:uiPriority w:val="9"/>
    <w:qFormat/>
    <w:rsid w:val="003F1FF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404A2"/>
    <w:pPr>
      <w:keepNext/>
      <w:keepLines/>
      <w:numPr>
        <w:ilvl w:val="1"/>
        <w:numId w:val="1"/>
      </w:numPr>
      <w:spacing w:before="40" w:after="0" w:line="240" w:lineRule="auto"/>
      <w:outlineLvl w:val="1"/>
    </w:pPr>
    <w:rPr>
      <w:rFonts w:asciiTheme="majorHAnsi" w:eastAsia="Times New Roman" w:hAnsiTheme="majorHAnsi" w:cstheme="majorBidi"/>
      <w:color w:val="365F91" w:themeColor="accent1" w:themeShade="BF"/>
      <w:sz w:val="32"/>
      <w:szCs w:val="32"/>
      <w:lang w:eastAsia="en-IE"/>
    </w:rPr>
  </w:style>
  <w:style w:type="paragraph" w:styleId="Heading3">
    <w:name w:val="heading 3"/>
    <w:basedOn w:val="Normal"/>
    <w:next w:val="Normal"/>
    <w:link w:val="Heading3Char"/>
    <w:uiPriority w:val="9"/>
    <w:unhideWhenUsed/>
    <w:qFormat/>
    <w:rsid w:val="0053389F"/>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Heading4">
    <w:name w:val="heading 4"/>
    <w:basedOn w:val="Normal"/>
    <w:next w:val="Normal"/>
    <w:link w:val="Heading4Char"/>
    <w:uiPriority w:val="9"/>
    <w:unhideWhenUsed/>
    <w:qFormat/>
    <w:rsid w:val="0053389F"/>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Heading5">
    <w:name w:val="heading 5"/>
    <w:basedOn w:val="Normal"/>
    <w:next w:val="Normal"/>
    <w:link w:val="Heading5Char"/>
    <w:uiPriority w:val="9"/>
    <w:unhideWhenUsed/>
    <w:qFormat/>
    <w:rsid w:val="0085139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404A2"/>
    <w:rPr>
      <w:rFonts w:asciiTheme="majorHAnsi" w:eastAsia="Times New Roman" w:hAnsiTheme="majorHAnsi" w:cstheme="majorBidi"/>
      <w:color w:val="365F91" w:themeColor="accent1" w:themeShade="BF"/>
      <w:sz w:val="32"/>
      <w:szCs w:val="32"/>
      <w:lang w:val="hr-HR" w:eastAsia="en-IE"/>
    </w:rPr>
  </w:style>
  <w:style w:type="character" w:customStyle="1" w:styleId="Heading3Char">
    <w:name w:val="Heading 3 Char"/>
    <w:basedOn w:val="DefaultParagraphFont"/>
    <w:link w:val="Heading3"/>
    <w:uiPriority w:val="9"/>
    <w:rsid w:val="0053389F"/>
    <w:rPr>
      <w:rFonts w:asciiTheme="majorHAnsi" w:eastAsiaTheme="majorEastAsia" w:hAnsiTheme="majorHAnsi" w:cstheme="majorBidi"/>
      <w:color w:val="365F91" w:themeColor="accent1" w:themeShade="BF"/>
      <w:sz w:val="28"/>
      <w:szCs w:val="28"/>
    </w:rPr>
  </w:style>
  <w:style w:type="character" w:customStyle="1" w:styleId="Heading4Char">
    <w:name w:val="Heading 4 Char"/>
    <w:basedOn w:val="DefaultParagraphFont"/>
    <w:link w:val="Heading4"/>
    <w:uiPriority w:val="9"/>
    <w:rsid w:val="0053389F"/>
    <w:rPr>
      <w:rFonts w:asciiTheme="majorHAnsi" w:eastAsiaTheme="majorEastAsia" w:hAnsiTheme="majorHAnsi" w:cstheme="majorBidi"/>
      <w:color w:val="365F91" w:themeColor="accent1" w:themeShade="BF"/>
      <w:sz w:val="24"/>
      <w:szCs w:val="24"/>
    </w:rPr>
  </w:style>
  <w:style w:type="paragraph" w:styleId="ListParagraph">
    <w:name w:val="List Paragraph"/>
    <w:aliases w:val="Numbered Para 1,Dot pt,No Spacing1,List Paragraph Char Char Char,Indicator Text,Bullet 1,List Paragraph1,Bullet Points,MAIN CONTENT,List Paragraph12,F5 List Paragraph,Heading 2_sj,1st level - Bullet List Paragraph,Lettre d'introduction,L"/>
    <w:basedOn w:val="Normal"/>
    <w:link w:val="ListParagraphChar"/>
    <w:uiPriority w:val="34"/>
    <w:qFormat/>
    <w:rsid w:val="0053389F"/>
    <w:pPr>
      <w:ind w:left="720"/>
      <w:contextualSpacing/>
    </w:pPr>
  </w:style>
  <w:style w:type="character" w:customStyle="1" w:styleId="ListParagraphChar">
    <w:name w:val="List Paragraph Char"/>
    <w:aliases w:val="Numbered Para 1 Char,Dot pt Char,No Spacing1 Char,List Paragraph Char Char Char Char,Indicator Text Char,Bullet 1 Char,List Paragraph1 Char,Bullet Points Char,MAIN CONTENT Char,List Paragraph12 Char,F5 List Paragraph Char,L Char"/>
    <w:link w:val="ListParagraph"/>
    <w:uiPriority w:val="34"/>
    <w:qFormat/>
    <w:rsid w:val="0053389F"/>
    <w:rPr>
      <w:rFonts w:eastAsiaTheme="minorEastAsia"/>
    </w:rPr>
  </w:style>
  <w:style w:type="paragraph" w:styleId="FootnoteText">
    <w:name w:val="footnote text"/>
    <w:basedOn w:val="Normal"/>
    <w:link w:val="FootnoteTextChar"/>
    <w:uiPriority w:val="99"/>
    <w:unhideWhenUsed/>
    <w:rsid w:val="003F1FF2"/>
    <w:pPr>
      <w:spacing w:after="0" w:line="240" w:lineRule="auto"/>
      <w:jc w:val="both"/>
    </w:pPr>
    <w:rPr>
      <w:rFonts w:ascii="Times New Roman" w:eastAsiaTheme="minorHAnsi" w:hAnsi="Times New Roman"/>
      <w:sz w:val="20"/>
      <w:szCs w:val="20"/>
    </w:rPr>
  </w:style>
  <w:style w:type="character" w:customStyle="1" w:styleId="FootnoteTextChar">
    <w:name w:val="Footnote Text Char"/>
    <w:basedOn w:val="DefaultParagraphFont"/>
    <w:link w:val="FootnoteText"/>
    <w:uiPriority w:val="99"/>
    <w:rsid w:val="003F1FF2"/>
    <w:rPr>
      <w:rFonts w:ascii="Times New Roman" w:hAnsi="Times New Roman"/>
      <w:sz w:val="20"/>
      <w:szCs w:val="20"/>
    </w:rPr>
  </w:style>
  <w:style w:type="character" w:styleId="FootnoteReference">
    <w:name w:val="footnote reference"/>
    <w:aliases w:val="Footnote symbol,IT Fußnotenzeichen,Footnote symboFußnotenzeichen,Footnote sign,-E Fußnotenzeichen,ESPON Footnote No,Footnote call,Footnote Reference Superscript,Footnote reference number,Times 10 Point,Exposant 3 Point,Ref,SUPERS,numb"/>
    <w:basedOn w:val="DefaultParagraphFont"/>
    <w:uiPriority w:val="99"/>
    <w:unhideWhenUsed/>
    <w:qFormat/>
    <w:rsid w:val="003F1FF2"/>
    <w:rPr>
      <w:vertAlign w:val="superscript"/>
    </w:rPr>
  </w:style>
  <w:style w:type="paragraph" w:styleId="Title">
    <w:name w:val="Title"/>
    <w:basedOn w:val="Normal"/>
    <w:next w:val="Normal"/>
    <w:link w:val="TitleChar"/>
    <w:uiPriority w:val="10"/>
    <w:qFormat/>
    <w:rsid w:val="003F1FF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F1FF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F1FF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362B5"/>
    <w:pPr>
      <w:outlineLvl w:val="9"/>
    </w:pPr>
  </w:style>
  <w:style w:type="paragraph" w:styleId="TOC1">
    <w:name w:val="toc 1"/>
    <w:basedOn w:val="Normal"/>
    <w:next w:val="Normal"/>
    <w:autoRedefine/>
    <w:uiPriority w:val="39"/>
    <w:unhideWhenUsed/>
    <w:rsid w:val="0021675B"/>
    <w:pPr>
      <w:tabs>
        <w:tab w:val="left" w:pos="440"/>
        <w:tab w:val="right" w:leader="dot" w:pos="9062"/>
      </w:tabs>
      <w:spacing w:after="100"/>
    </w:pPr>
    <w:rPr>
      <w:rFonts w:ascii="Times New Roman" w:hAnsi="Times New Roman" w:cs="Times New Roman"/>
      <w:noProof/>
      <w:color w:val="000000" w:themeColor="text1"/>
      <w:lang w:eastAsia="en-IE"/>
    </w:rPr>
  </w:style>
  <w:style w:type="paragraph" w:styleId="TOC2">
    <w:name w:val="toc 2"/>
    <w:basedOn w:val="Normal"/>
    <w:next w:val="Normal"/>
    <w:autoRedefine/>
    <w:uiPriority w:val="39"/>
    <w:unhideWhenUsed/>
    <w:rsid w:val="003F09F0"/>
    <w:pPr>
      <w:tabs>
        <w:tab w:val="left" w:pos="880"/>
        <w:tab w:val="right" w:leader="dot" w:pos="9062"/>
      </w:tabs>
      <w:spacing w:after="100"/>
      <w:ind w:left="220"/>
    </w:pPr>
  </w:style>
  <w:style w:type="character" w:styleId="Hyperlink">
    <w:name w:val="Hyperlink"/>
    <w:basedOn w:val="DefaultParagraphFont"/>
    <w:uiPriority w:val="99"/>
    <w:unhideWhenUsed/>
    <w:rsid w:val="005362B5"/>
    <w:rPr>
      <w:color w:val="0000FF" w:themeColor="hyperlink"/>
      <w:u w:val="single"/>
    </w:rPr>
  </w:style>
  <w:style w:type="character" w:styleId="CommentReference">
    <w:name w:val="annotation reference"/>
    <w:basedOn w:val="DefaultParagraphFont"/>
    <w:uiPriority w:val="99"/>
    <w:semiHidden/>
    <w:unhideWhenUsed/>
    <w:rsid w:val="00777014"/>
    <w:rPr>
      <w:sz w:val="16"/>
      <w:szCs w:val="16"/>
    </w:rPr>
  </w:style>
  <w:style w:type="paragraph" w:styleId="CommentText">
    <w:name w:val="annotation text"/>
    <w:basedOn w:val="Normal"/>
    <w:link w:val="CommentTextChar"/>
    <w:uiPriority w:val="99"/>
    <w:unhideWhenUsed/>
    <w:rsid w:val="00777014"/>
    <w:pPr>
      <w:spacing w:line="240" w:lineRule="auto"/>
    </w:pPr>
    <w:rPr>
      <w:sz w:val="20"/>
      <w:szCs w:val="20"/>
    </w:rPr>
  </w:style>
  <w:style w:type="character" w:customStyle="1" w:styleId="CommentTextChar">
    <w:name w:val="Comment Text Char"/>
    <w:basedOn w:val="DefaultParagraphFont"/>
    <w:link w:val="CommentText"/>
    <w:uiPriority w:val="99"/>
    <w:rsid w:val="00777014"/>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777014"/>
    <w:rPr>
      <w:b/>
      <w:bCs/>
    </w:rPr>
  </w:style>
  <w:style w:type="character" w:customStyle="1" w:styleId="CommentSubjectChar">
    <w:name w:val="Comment Subject Char"/>
    <w:basedOn w:val="CommentTextChar"/>
    <w:link w:val="CommentSubject"/>
    <w:uiPriority w:val="99"/>
    <w:semiHidden/>
    <w:rsid w:val="00777014"/>
    <w:rPr>
      <w:rFonts w:eastAsiaTheme="minorEastAsia"/>
      <w:b/>
      <w:bCs/>
      <w:sz w:val="20"/>
      <w:szCs w:val="20"/>
    </w:rPr>
  </w:style>
  <w:style w:type="paragraph" w:styleId="TOC3">
    <w:name w:val="toc 3"/>
    <w:basedOn w:val="Normal"/>
    <w:next w:val="Normal"/>
    <w:autoRedefine/>
    <w:uiPriority w:val="39"/>
    <w:unhideWhenUsed/>
    <w:rsid w:val="00DD16DA"/>
    <w:pPr>
      <w:tabs>
        <w:tab w:val="left" w:pos="1100"/>
        <w:tab w:val="right" w:leader="dot" w:pos="9062"/>
      </w:tabs>
      <w:spacing w:after="100"/>
      <w:ind w:left="440"/>
    </w:pPr>
  </w:style>
  <w:style w:type="paragraph" w:styleId="Revision">
    <w:name w:val="Revision"/>
    <w:hidden/>
    <w:uiPriority w:val="99"/>
    <w:semiHidden/>
    <w:rsid w:val="000C5FF3"/>
    <w:pPr>
      <w:spacing w:after="0" w:line="240" w:lineRule="auto"/>
    </w:pPr>
    <w:rPr>
      <w:rFonts w:eastAsiaTheme="minorEastAsia"/>
    </w:rPr>
  </w:style>
  <w:style w:type="paragraph" w:styleId="Header">
    <w:name w:val="header"/>
    <w:basedOn w:val="Normal"/>
    <w:link w:val="HeaderChar"/>
    <w:uiPriority w:val="99"/>
    <w:unhideWhenUsed/>
    <w:rsid w:val="009044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4480"/>
    <w:rPr>
      <w:rFonts w:eastAsiaTheme="minorEastAsia"/>
    </w:rPr>
  </w:style>
  <w:style w:type="paragraph" w:styleId="Footer">
    <w:name w:val="footer"/>
    <w:basedOn w:val="Normal"/>
    <w:link w:val="FooterChar"/>
    <w:uiPriority w:val="99"/>
    <w:unhideWhenUsed/>
    <w:rsid w:val="009044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4480"/>
    <w:rPr>
      <w:rFonts w:eastAsiaTheme="minorEastAsia"/>
    </w:rPr>
  </w:style>
  <w:style w:type="character" w:customStyle="1" w:styleId="UnresolvedMention1">
    <w:name w:val="Unresolved Mention1"/>
    <w:basedOn w:val="DefaultParagraphFont"/>
    <w:uiPriority w:val="99"/>
    <w:semiHidden/>
    <w:unhideWhenUsed/>
    <w:rsid w:val="00CA28FC"/>
    <w:rPr>
      <w:color w:val="605E5C"/>
      <w:shd w:val="clear" w:color="auto" w:fill="E1DFDD"/>
    </w:rPr>
  </w:style>
  <w:style w:type="paragraph" w:styleId="EndnoteText">
    <w:name w:val="endnote text"/>
    <w:basedOn w:val="Normal"/>
    <w:link w:val="EndnoteTextChar"/>
    <w:uiPriority w:val="99"/>
    <w:semiHidden/>
    <w:unhideWhenUsed/>
    <w:rsid w:val="00A5167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5167A"/>
    <w:rPr>
      <w:rFonts w:eastAsiaTheme="minorEastAsia"/>
      <w:sz w:val="20"/>
      <w:szCs w:val="20"/>
    </w:rPr>
  </w:style>
  <w:style w:type="character" w:styleId="EndnoteReference">
    <w:name w:val="endnote reference"/>
    <w:basedOn w:val="DefaultParagraphFont"/>
    <w:uiPriority w:val="99"/>
    <w:semiHidden/>
    <w:unhideWhenUsed/>
    <w:rsid w:val="00A5167A"/>
    <w:rPr>
      <w:vertAlign w:val="superscript"/>
    </w:rPr>
  </w:style>
  <w:style w:type="character" w:styleId="FollowedHyperlink">
    <w:name w:val="FollowedHyperlink"/>
    <w:basedOn w:val="DefaultParagraphFont"/>
    <w:uiPriority w:val="99"/>
    <w:semiHidden/>
    <w:unhideWhenUsed/>
    <w:rsid w:val="00224B7D"/>
    <w:rPr>
      <w:color w:val="800080" w:themeColor="followedHyperlink"/>
      <w:u w:val="single"/>
    </w:rPr>
  </w:style>
  <w:style w:type="character" w:customStyle="1" w:styleId="Mention1">
    <w:name w:val="Mention1"/>
    <w:basedOn w:val="DefaultParagraphFont"/>
    <w:uiPriority w:val="99"/>
    <w:unhideWhenUsed/>
    <w:rsid w:val="006D799A"/>
    <w:rPr>
      <w:color w:val="2B579A"/>
      <w:shd w:val="clear" w:color="auto" w:fill="E1DFDD"/>
    </w:rPr>
  </w:style>
  <w:style w:type="paragraph" w:customStyle="1" w:styleId="Text1">
    <w:name w:val="Text 1"/>
    <w:basedOn w:val="Normal"/>
    <w:uiPriority w:val="1"/>
    <w:qFormat/>
    <w:rsid w:val="003F1797"/>
    <w:pPr>
      <w:spacing w:after="240" w:line="240" w:lineRule="auto"/>
      <w:ind w:left="482"/>
      <w:jc w:val="both"/>
    </w:pPr>
    <w:rPr>
      <w:rFonts w:ascii="Times New Roman" w:eastAsia="Times New Roman" w:hAnsi="Times New Roman" w:cs="Times New Roman"/>
      <w:sz w:val="24"/>
      <w:szCs w:val="20"/>
      <w:lang w:eastAsia="en-GB"/>
    </w:rPr>
  </w:style>
  <w:style w:type="character" w:customStyle="1" w:styleId="ui-provider">
    <w:name w:val="ui-provider"/>
    <w:basedOn w:val="DefaultParagraphFont"/>
    <w:rsid w:val="00507EFC"/>
  </w:style>
  <w:style w:type="character" w:customStyle="1" w:styleId="normaltextrun">
    <w:name w:val="normaltextrun"/>
    <w:basedOn w:val="DefaultParagraphFont"/>
    <w:rsid w:val="00B61F8F"/>
  </w:style>
  <w:style w:type="character" w:customStyle="1" w:styleId="eop">
    <w:name w:val="eop"/>
    <w:basedOn w:val="DefaultParagraphFont"/>
    <w:rsid w:val="00B61F8F"/>
  </w:style>
  <w:style w:type="character" w:customStyle="1" w:styleId="superscript">
    <w:name w:val="superscript"/>
    <w:basedOn w:val="DefaultParagraphFont"/>
    <w:rsid w:val="00865498"/>
  </w:style>
  <w:style w:type="character" w:customStyle="1" w:styleId="Marker">
    <w:name w:val="Marker"/>
    <w:basedOn w:val="DefaultParagraphFont"/>
    <w:rsid w:val="00915255"/>
    <w:rPr>
      <w:color w:val="0000FF"/>
      <w:shd w:val="clear" w:color="auto" w:fill="auto"/>
    </w:rPr>
  </w:style>
  <w:style w:type="paragraph" w:customStyle="1" w:styleId="Pagedecouverture">
    <w:name w:val="Page de couverture"/>
    <w:basedOn w:val="Normal"/>
    <w:next w:val="Normal"/>
    <w:link w:val="PagedecouvertureChar"/>
    <w:rsid w:val="00915255"/>
    <w:pPr>
      <w:spacing w:after="0" w:line="240" w:lineRule="auto"/>
      <w:jc w:val="both"/>
    </w:pPr>
    <w:rPr>
      <w:rFonts w:ascii="Times New Roman" w:eastAsiaTheme="minorHAnsi" w:hAnsi="Times New Roman" w:cs="Times New Roman"/>
      <w:sz w:val="24"/>
    </w:rPr>
  </w:style>
  <w:style w:type="paragraph" w:customStyle="1" w:styleId="Typedudocument">
    <w:name w:val="Type du document"/>
    <w:basedOn w:val="Normal"/>
    <w:next w:val="Normal"/>
    <w:rsid w:val="00915255"/>
    <w:pPr>
      <w:spacing w:before="360" w:after="0" w:line="240" w:lineRule="auto"/>
      <w:jc w:val="center"/>
    </w:pPr>
    <w:rPr>
      <w:rFonts w:ascii="Times New Roman" w:eastAsiaTheme="minorHAnsi" w:hAnsi="Times New Roman" w:cs="Times New Roman"/>
      <w:b/>
      <w:sz w:val="24"/>
    </w:rPr>
  </w:style>
  <w:style w:type="paragraph" w:customStyle="1" w:styleId="Titreobjet">
    <w:name w:val="Titre objet"/>
    <w:basedOn w:val="Normal"/>
    <w:next w:val="Normal"/>
    <w:rsid w:val="00915255"/>
    <w:pPr>
      <w:spacing w:before="360" w:after="360" w:line="240" w:lineRule="auto"/>
      <w:jc w:val="center"/>
    </w:pPr>
    <w:rPr>
      <w:rFonts w:ascii="Times New Roman" w:eastAsiaTheme="minorHAnsi" w:hAnsi="Times New Roman" w:cs="Times New Roman"/>
      <w:b/>
      <w:sz w:val="24"/>
    </w:rPr>
  </w:style>
  <w:style w:type="paragraph" w:customStyle="1" w:styleId="FooterCoverPage">
    <w:name w:val="Footer Cover Page"/>
    <w:basedOn w:val="Normal"/>
    <w:link w:val="FooterCoverPageChar"/>
    <w:rsid w:val="00915255"/>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PagedecouvertureChar">
    <w:name w:val="Page de couverture Char"/>
    <w:basedOn w:val="DefaultParagraphFont"/>
    <w:link w:val="Pagedecouverture"/>
    <w:rsid w:val="00915255"/>
    <w:rPr>
      <w:rFonts w:ascii="Times New Roman" w:hAnsi="Times New Roman" w:cs="Times New Roman"/>
      <w:sz w:val="24"/>
    </w:rPr>
  </w:style>
  <w:style w:type="character" w:customStyle="1" w:styleId="FooterCoverPageChar">
    <w:name w:val="Footer Cover Page Char"/>
    <w:basedOn w:val="PagedecouvertureChar"/>
    <w:link w:val="FooterCoverPage"/>
    <w:rsid w:val="00915255"/>
    <w:rPr>
      <w:rFonts w:ascii="Times New Roman" w:eastAsiaTheme="minorEastAsia" w:hAnsi="Times New Roman" w:cs="Times New Roman"/>
      <w:sz w:val="24"/>
    </w:rPr>
  </w:style>
  <w:style w:type="paragraph" w:customStyle="1" w:styleId="FooterSensitivity">
    <w:name w:val="Footer Sensitivity"/>
    <w:basedOn w:val="Normal"/>
    <w:link w:val="FooterSensitivityChar"/>
    <w:rsid w:val="00915255"/>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PagedecouvertureChar"/>
    <w:link w:val="FooterSensitivity"/>
    <w:rsid w:val="00915255"/>
    <w:rPr>
      <w:rFonts w:ascii="Times New Roman" w:eastAsiaTheme="minorEastAsia" w:hAnsi="Times New Roman" w:cs="Times New Roman"/>
      <w:b/>
      <w:sz w:val="32"/>
    </w:rPr>
  </w:style>
  <w:style w:type="paragraph" w:customStyle="1" w:styleId="HeaderCoverPage">
    <w:name w:val="Header Cover Page"/>
    <w:basedOn w:val="Normal"/>
    <w:link w:val="HeaderCoverPageChar"/>
    <w:rsid w:val="00915255"/>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PagedecouvertureChar"/>
    <w:link w:val="HeaderCoverPage"/>
    <w:rsid w:val="00915255"/>
    <w:rPr>
      <w:rFonts w:ascii="Times New Roman" w:eastAsiaTheme="minorEastAsia" w:hAnsi="Times New Roman" w:cs="Times New Roman"/>
      <w:sz w:val="24"/>
    </w:rPr>
  </w:style>
  <w:style w:type="paragraph" w:customStyle="1" w:styleId="HeaderSensitivity">
    <w:name w:val="Header Sensitivity"/>
    <w:basedOn w:val="Normal"/>
    <w:link w:val="HeaderSensitivityChar"/>
    <w:rsid w:val="00915255"/>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PagedecouvertureChar"/>
    <w:link w:val="HeaderSensitivity"/>
    <w:rsid w:val="00915255"/>
    <w:rPr>
      <w:rFonts w:ascii="Times New Roman" w:eastAsiaTheme="minorEastAsia" w:hAnsi="Times New Roman" w:cs="Times New Roman"/>
      <w:b/>
      <w:sz w:val="32"/>
    </w:rPr>
  </w:style>
  <w:style w:type="paragraph" w:customStyle="1" w:styleId="HeaderSensitivityRight">
    <w:name w:val="Header Sensitivity Right"/>
    <w:basedOn w:val="Normal"/>
    <w:link w:val="HeaderSensitivityRightChar"/>
    <w:rsid w:val="00915255"/>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PagedecouvertureChar"/>
    <w:link w:val="HeaderSensitivityRight"/>
    <w:rsid w:val="00915255"/>
    <w:rPr>
      <w:rFonts w:ascii="Times New Roman" w:eastAsiaTheme="minorEastAsia" w:hAnsi="Times New Roman" w:cs="Times New Roman"/>
      <w:sz w:val="28"/>
    </w:rPr>
  </w:style>
  <w:style w:type="character" w:customStyle="1" w:styleId="Heading5Char">
    <w:name w:val="Heading 5 Char"/>
    <w:basedOn w:val="DefaultParagraphFont"/>
    <w:link w:val="Heading5"/>
    <w:uiPriority w:val="9"/>
    <w:rsid w:val="00851392"/>
    <w:rPr>
      <w:rFonts w:asciiTheme="majorHAnsi" w:eastAsiaTheme="majorEastAsia" w:hAnsiTheme="majorHAnsi" w:cstheme="majorBidi"/>
      <w:color w:val="365F91" w:themeColor="accent1" w:themeShade="BF"/>
    </w:rPr>
  </w:style>
  <w:style w:type="character" w:customStyle="1" w:styleId="cf01">
    <w:name w:val="cf01"/>
    <w:basedOn w:val="DefaultParagraphFont"/>
    <w:rsid w:val="00F00729"/>
    <w:rPr>
      <w:rFonts w:ascii="Segoe UI" w:hAnsi="Segoe UI" w:cs="Segoe UI" w:hint="default"/>
      <w:sz w:val="18"/>
      <w:szCs w:val="18"/>
    </w:rPr>
  </w:style>
  <w:style w:type="paragraph" w:styleId="BalloonText">
    <w:name w:val="Balloon Text"/>
    <w:basedOn w:val="Normal"/>
    <w:link w:val="BalloonTextChar"/>
    <w:uiPriority w:val="99"/>
    <w:semiHidden/>
    <w:unhideWhenUsed/>
    <w:rsid w:val="00EF525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5256"/>
    <w:rPr>
      <w:rFonts w:ascii="Segoe UI" w:eastAsiaTheme="minorEastAsia" w:hAnsi="Segoe UI" w:cs="Segoe UI"/>
      <w:sz w:val="18"/>
      <w:szCs w:val="18"/>
    </w:rPr>
  </w:style>
  <w:style w:type="table" w:styleId="TableGrid">
    <w:name w:val="Table Grid"/>
    <w:basedOn w:val="TableNormal"/>
    <w:uiPriority w:val="39"/>
    <w:rsid w:val="00F814A3"/>
    <w:pPr>
      <w:spacing w:after="0" w:line="240" w:lineRule="auto"/>
    </w:pPr>
    <w:rPr>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720405">
      <w:bodyDiv w:val="1"/>
      <w:marLeft w:val="0"/>
      <w:marRight w:val="0"/>
      <w:marTop w:val="0"/>
      <w:marBottom w:val="0"/>
      <w:divBdr>
        <w:top w:val="none" w:sz="0" w:space="0" w:color="auto"/>
        <w:left w:val="none" w:sz="0" w:space="0" w:color="auto"/>
        <w:bottom w:val="none" w:sz="0" w:space="0" w:color="auto"/>
        <w:right w:val="none" w:sz="0" w:space="0" w:color="auto"/>
      </w:divBdr>
    </w:div>
    <w:div w:id="358900420">
      <w:bodyDiv w:val="1"/>
      <w:marLeft w:val="0"/>
      <w:marRight w:val="0"/>
      <w:marTop w:val="0"/>
      <w:marBottom w:val="0"/>
      <w:divBdr>
        <w:top w:val="none" w:sz="0" w:space="0" w:color="auto"/>
        <w:left w:val="none" w:sz="0" w:space="0" w:color="auto"/>
        <w:bottom w:val="none" w:sz="0" w:space="0" w:color="auto"/>
        <w:right w:val="none" w:sz="0" w:space="0" w:color="auto"/>
      </w:divBdr>
    </w:div>
    <w:div w:id="365065273">
      <w:bodyDiv w:val="1"/>
      <w:marLeft w:val="0"/>
      <w:marRight w:val="0"/>
      <w:marTop w:val="0"/>
      <w:marBottom w:val="0"/>
      <w:divBdr>
        <w:top w:val="none" w:sz="0" w:space="0" w:color="auto"/>
        <w:left w:val="none" w:sz="0" w:space="0" w:color="auto"/>
        <w:bottom w:val="none" w:sz="0" w:space="0" w:color="auto"/>
        <w:right w:val="none" w:sz="0" w:space="0" w:color="auto"/>
      </w:divBdr>
    </w:div>
    <w:div w:id="383876553">
      <w:bodyDiv w:val="1"/>
      <w:marLeft w:val="0"/>
      <w:marRight w:val="0"/>
      <w:marTop w:val="0"/>
      <w:marBottom w:val="0"/>
      <w:divBdr>
        <w:top w:val="none" w:sz="0" w:space="0" w:color="auto"/>
        <w:left w:val="none" w:sz="0" w:space="0" w:color="auto"/>
        <w:bottom w:val="none" w:sz="0" w:space="0" w:color="auto"/>
        <w:right w:val="none" w:sz="0" w:space="0" w:color="auto"/>
      </w:divBdr>
    </w:div>
    <w:div w:id="422262284">
      <w:bodyDiv w:val="1"/>
      <w:marLeft w:val="0"/>
      <w:marRight w:val="0"/>
      <w:marTop w:val="0"/>
      <w:marBottom w:val="0"/>
      <w:divBdr>
        <w:top w:val="none" w:sz="0" w:space="0" w:color="auto"/>
        <w:left w:val="none" w:sz="0" w:space="0" w:color="auto"/>
        <w:bottom w:val="none" w:sz="0" w:space="0" w:color="auto"/>
        <w:right w:val="none" w:sz="0" w:space="0" w:color="auto"/>
      </w:divBdr>
    </w:div>
    <w:div w:id="529953912">
      <w:bodyDiv w:val="1"/>
      <w:marLeft w:val="0"/>
      <w:marRight w:val="0"/>
      <w:marTop w:val="0"/>
      <w:marBottom w:val="0"/>
      <w:divBdr>
        <w:top w:val="none" w:sz="0" w:space="0" w:color="auto"/>
        <w:left w:val="none" w:sz="0" w:space="0" w:color="auto"/>
        <w:bottom w:val="none" w:sz="0" w:space="0" w:color="auto"/>
        <w:right w:val="none" w:sz="0" w:space="0" w:color="auto"/>
      </w:divBdr>
    </w:div>
    <w:div w:id="544682505">
      <w:bodyDiv w:val="1"/>
      <w:marLeft w:val="0"/>
      <w:marRight w:val="0"/>
      <w:marTop w:val="0"/>
      <w:marBottom w:val="0"/>
      <w:divBdr>
        <w:top w:val="none" w:sz="0" w:space="0" w:color="auto"/>
        <w:left w:val="none" w:sz="0" w:space="0" w:color="auto"/>
        <w:bottom w:val="none" w:sz="0" w:space="0" w:color="auto"/>
        <w:right w:val="none" w:sz="0" w:space="0" w:color="auto"/>
      </w:divBdr>
    </w:div>
    <w:div w:id="591474248">
      <w:bodyDiv w:val="1"/>
      <w:marLeft w:val="0"/>
      <w:marRight w:val="0"/>
      <w:marTop w:val="0"/>
      <w:marBottom w:val="0"/>
      <w:divBdr>
        <w:top w:val="none" w:sz="0" w:space="0" w:color="auto"/>
        <w:left w:val="none" w:sz="0" w:space="0" w:color="auto"/>
        <w:bottom w:val="none" w:sz="0" w:space="0" w:color="auto"/>
        <w:right w:val="none" w:sz="0" w:space="0" w:color="auto"/>
      </w:divBdr>
    </w:div>
    <w:div w:id="632366832">
      <w:bodyDiv w:val="1"/>
      <w:marLeft w:val="0"/>
      <w:marRight w:val="0"/>
      <w:marTop w:val="0"/>
      <w:marBottom w:val="0"/>
      <w:divBdr>
        <w:top w:val="none" w:sz="0" w:space="0" w:color="auto"/>
        <w:left w:val="none" w:sz="0" w:space="0" w:color="auto"/>
        <w:bottom w:val="none" w:sz="0" w:space="0" w:color="auto"/>
        <w:right w:val="none" w:sz="0" w:space="0" w:color="auto"/>
      </w:divBdr>
    </w:div>
    <w:div w:id="647174555">
      <w:bodyDiv w:val="1"/>
      <w:marLeft w:val="0"/>
      <w:marRight w:val="0"/>
      <w:marTop w:val="0"/>
      <w:marBottom w:val="0"/>
      <w:divBdr>
        <w:top w:val="none" w:sz="0" w:space="0" w:color="auto"/>
        <w:left w:val="none" w:sz="0" w:space="0" w:color="auto"/>
        <w:bottom w:val="none" w:sz="0" w:space="0" w:color="auto"/>
        <w:right w:val="none" w:sz="0" w:space="0" w:color="auto"/>
      </w:divBdr>
    </w:div>
    <w:div w:id="744031736">
      <w:bodyDiv w:val="1"/>
      <w:marLeft w:val="0"/>
      <w:marRight w:val="0"/>
      <w:marTop w:val="0"/>
      <w:marBottom w:val="0"/>
      <w:divBdr>
        <w:top w:val="none" w:sz="0" w:space="0" w:color="auto"/>
        <w:left w:val="none" w:sz="0" w:space="0" w:color="auto"/>
        <w:bottom w:val="none" w:sz="0" w:space="0" w:color="auto"/>
        <w:right w:val="none" w:sz="0" w:space="0" w:color="auto"/>
      </w:divBdr>
    </w:div>
    <w:div w:id="763764609">
      <w:bodyDiv w:val="1"/>
      <w:marLeft w:val="0"/>
      <w:marRight w:val="0"/>
      <w:marTop w:val="0"/>
      <w:marBottom w:val="0"/>
      <w:divBdr>
        <w:top w:val="none" w:sz="0" w:space="0" w:color="auto"/>
        <w:left w:val="none" w:sz="0" w:space="0" w:color="auto"/>
        <w:bottom w:val="none" w:sz="0" w:space="0" w:color="auto"/>
        <w:right w:val="none" w:sz="0" w:space="0" w:color="auto"/>
      </w:divBdr>
    </w:div>
    <w:div w:id="777062709">
      <w:bodyDiv w:val="1"/>
      <w:marLeft w:val="0"/>
      <w:marRight w:val="0"/>
      <w:marTop w:val="0"/>
      <w:marBottom w:val="0"/>
      <w:divBdr>
        <w:top w:val="none" w:sz="0" w:space="0" w:color="auto"/>
        <w:left w:val="none" w:sz="0" w:space="0" w:color="auto"/>
        <w:bottom w:val="none" w:sz="0" w:space="0" w:color="auto"/>
        <w:right w:val="none" w:sz="0" w:space="0" w:color="auto"/>
      </w:divBdr>
    </w:div>
    <w:div w:id="800222156">
      <w:bodyDiv w:val="1"/>
      <w:marLeft w:val="0"/>
      <w:marRight w:val="0"/>
      <w:marTop w:val="0"/>
      <w:marBottom w:val="0"/>
      <w:divBdr>
        <w:top w:val="none" w:sz="0" w:space="0" w:color="auto"/>
        <w:left w:val="none" w:sz="0" w:space="0" w:color="auto"/>
        <w:bottom w:val="none" w:sz="0" w:space="0" w:color="auto"/>
        <w:right w:val="none" w:sz="0" w:space="0" w:color="auto"/>
      </w:divBdr>
    </w:div>
    <w:div w:id="902789652">
      <w:bodyDiv w:val="1"/>
      <w:marLeft w:val="0"/>
      <w:marRight w:val="0"/>
      <w:marTop w:val="0"/>
      <w:marBottom w:val="0"/>
      <w:divBdr>
        <w:top w:val="none" w:sz="0" w:space="0" w:color="auto"/>
        <w:left w:val="none" w:sz="0" w:space="0" w:color="auto"/>
        <w:bottom w:val="none" w:sz="0" w:space="0" w:color="auto"/>
        <w:right w:val="none" w:sz="0" w:space="0" w:color="auto"/>
      </w:divBdr>
    </w:div>
    <w:div w:id="946471371">
      <w:bodyDiv w:val="1"/>
      <w:marLeft w:val="0"/>
      <w:marRight w:val="0"/>
      <w:marTop w:val="0"/>
      <w:marBottom w:val="0"/>
      <w:divBdr>
        <w:top w:val="none" w:sz="0" w:space="0" w:color="auto"/>
        <w:left w:val="none" w:sz="0" w:space="0" w:color="auto"/>
        <w:bottom w:val="none" w:sz="0" w:space="0" w:color="auto"/>
        <w:right w:val="none" w:sz="0" w:space="0" w:color="auto"/>
      </w:divBdr>
    </w:div>
    <w:div w:id="965812771">
      <w:bodyDiv w:val="1"/>
      <w:marLeft w:val="0"/>
      <w:marRight w:val="0"/>
      <w:marTop w:val="0"/>
      <w:marBottom w:val="0"/>
      <w:divBdr>
        <w:top w:val="none" w:sz="0" w:space="0" w:color="auto"/>
        <w:left w:val="none" w:sz="0" w:space="0" w:color="auto"/>
        <w:bottom w:val="none" w:sz="0" w:space="0" w:color="auto"/>
        <w:right w:val="none" w:sz="0" w:space="0" w:color="auto"/>
      </w:divBdr>
    </w:div>
    <w:div w:id="1083066943">
      <w:bodyDiv w:val="1"/>
      <w:marLeft w:val="0"/>
      <w:marRight w:val="0"/>
      <w:marTop w:val="0"/>
      <w:marBottom w:val="0"/>
      <w:divBdr>
        <w:top w:val="none" w:sz="0" w:space="0" w:color="auto"/>
        <w:left w:val="none" w:sz="0" w:space="0" w:color="auto"/>
        <w:bottom w:val="none" w:sz="0" w:space="0" w:color="auto"/>
        <w:right w:val="none" w:sz="0" w:space="0" w:color="auto"/>
      </w:divBdr>
    </w:div>
    <w:div w:id="1150751631">
      <w:bodyDiv w:val="1"/>
      <w:marLeft w:val="0"/>
      <w:marRight w:val="0"/>
      <w:marTop w:val="0"/>
      <w:marBottom w:val="0"/>
      <w:divBdr>
        <w:top w:val="none" w:sz="0" w:space="0" w:color="auto"/>
        <w:left w:val="none" w:sz="0" w:space="0" w:color="auto"/>
        <w:bottom w:val="none" w:sz="0" w:space="0" w:color="auto"/>
        <w:right w:val="none" w:sz="0" w:space="0" w:color="auto"/>
      </w:divBdr>
    </w:div>
    <w:div w:id="1153183816">
      <w:bodyDiv w:val="1"/>
      <w:marLeft w:val="0"/>
      <w:marRight w:val="0"/>
      <w:marTop w:val="0"/>
      <w:marBottom w:val="0"/>
      <w:divBdr>
        <w:top w:val="none" w:sz="0" w:space="0" w:color="auto"/>
        <w:left w:val="none" w:sz="0" w:space="0" w:color="auto"/>
        <w:bottom w:val="none" w:sz="0" w:space="0" w:color="auto"/>
        <w:right w:val="none" w:sz="0" w:space="0" w:color="auto"/>
      </w:divBdr>
    </w:div>
    <w:div w:id="1269696332">
      <w:bodyDiv w:val="1"/>
      <w:marLeft w:val="0"/>
      <w:marRight w:val="0"/>
      <w:marTop w:val="0"/>
      <w:marBottom w:val="0"/>
      <w:divBdr>
        <w:top w:val="none" w:sz="0" w:space="0" w:color="auto"/>
        <w:left w:val="none" w:sz="0" w:space="0" w:color="auto"/>
        <w:bottom w:val="none" w:sz="0" w:space="0" w:color="auto"/>
        <w:right w:val="none" w:sz="0" w:space="0" w:color="auto"/>
      </w:divBdr>
    </w:div>
    <w:div w:id="1303729939">
      <w:bodyDiv w:val="1"/>
      <w:marLeft w:val="0"/>
      <w:marRight w:val="0"/>
      <w:marTop w:val="0"/>
      <w:marBottom w:val="0"/>
      <w:divBdr>
        <w:top w:val="none" w:sz="0" w:space="0" w:color="auto"/>
        <w:left w:val="none" w:sz="0" w:space="0" w:color="auto"/>
        <w:bottom w:val="none" w:sz="0" w:space="0" w:color="auto"/>
        <w:right w:val="none" w:sz="0" w:space="0" w:color="auto"/>
      </w:divBdr>
    </w:div>
    <w:div w:id="1363823117">
      <w:bodyDiv w:val="1"/>
      <w:marLeft w:val="0"/>
      <w:marRight w:val="0"/>
      <w:marTop w:val="0"/>
      <w:marBottom w:val="0"/>
      <w:divBdr>
        <w:top w:val="none" w:sz="0" w:space="0" w:color="auto"/>
        <w:left w:val="none" w:sz="0" w:space="0" w:color="auto"/>
        <w:bottom w:val="none" w:sz="0" w:space="0" w:color="auto"/>
        <w:right w:val="none" w:sz="0" w:space="0" w:color="auto"/>
      </w:divBdr>
    </w:div>
    <w:div w:id="1454010367">
      <w:bodyDiv w:val="1"/>
      <w:marLeft w:val="0"/>
      <w:marRight w:val="0"/>
      <w:marTop w:val="0"/>
      <w:marBottom w:val="0"/>
      <w:divBdr>
        <w:top w:val="none" w:sz="0" w:space="0" w:color="auto"/>
        <w:left w:val="none" w:sz="0" w:space="0" w:color="auto"/>
        <w:bottom w:val="none" w:sz="0" w:space="0" w:color="auto"/>
        <w:right w:val="none" w:sz="0" w:space="0" w:color="auto"/>
      </w:divBdr>
    </w:div>
    <w:div w:id="1459251912">
      <w:bodyDiv w:val="1"/>
      <w:marLeft w:val="0"/>
      <w:marRight w:val="0"/>
      <w:marTop w:val="0"/>
      <w:marBottom w:val="0"/>
      <w:divBdr>
        <w:top w:val="none" w:sz="0" w:space="0" w:color="auto"/>
        <w:left w:val="none" w:sz="0" w:space="0" w:color="auto"/>
        <w:bottom w:val="none" w:sz="0" w:space="0" w:color="auto"/>
        <w:right w:val="none" w:sz="0" w:space="0" w:color="auto"/>
      </w:divBdr>
    </w:div>
    <w:div w:id="1543593251">
      <w:bodyDiv w:val="1"/>
      <w:marLeft w:val="0"/>
      <w:marRight w:val="0"/>
      <w:marTop w:val="0"/>
      <w:marBottom w:val="0"/>
      <w:divBdr>
        <w:top w:val="none" w:sz="0" w:space="0" w:color="auto"/>
        <w:left w:val="none" w:sz="0" w:space="0" w:color="auto"/>
        <w:bottom w:val="none" w:sz="0" w:space="0" w:color="auto"/>
        <w:right w:val="none" w:sz="0" w:space="0" w:color="auto"/>
      </w:divBdr>
    </w:div>
    <w:div w:id="1558663890">
      <w:bodyDiv w:val="1"/>
      <w:marLeft w:val="0"/>
      <w:marRight w:val="0"/>
      <w:marTop w:val="0"/>
      <w:marBottom w:val="0"/>
      <w:divBdr>
        <w:top w:val="none" w:sz="0" w:space="0" w:color="auto"/>
        <w:left w:val="none" w:sz="0" w:space="0" w:color="auto"/>
        <w:bottom w:val="none" w:sz="0" w:space="0" w:color="auto"/>
        <w:right w:val="none" w:sz="0" w:space="0" w:color="auto"/>
      </w:divBdr>
    </w:div>
    <w:div w:id="1589339456">
      <w:bodyDiv w:val="1"/>
      <w:marLeft w:val="0"/>
      <w:marRight w:val="0"/>
      <w:marTop w:val="0"/>
      <w:marBottom w:val="0"/>
      <w:divBdr>
        <w:top w:val="none" w:sz="0" w:space="0" w:color="auto"/>
        <w:left w:val="none" w:sz="0" w:space="0" w:color="auto"/>
        <w:bottom w:val="none" w:sz="0" w:space="0" w:color="auto"/>
        <w:right w:val="none" w:sz="0" w:space="0" w:color="auto"/>
      </w:divBdr>
    </w:div>
    <w:div w:id="1635215781">
      <w:bodyDiv w:val="1"/>
      <w:marLeft w:val="0"/>
      <w:marRight w:val="0"/>
      <w:marTop w:val="0"/>
      <w:marBottom w:val="0"/>
      <w:divBdr>
        <w:top w:val="none" w:sz="0" w:space="0" w:color="auto"/>
        <w:left w:val="none" w:sz="0" w:space="0" w:color="auto"/>
        <w:bottom w:val="none" w:sz="0" w:space="0" w:color="auto"/>
        <w:right w:val="none" w:sz="0" w:space="0" w:color="auto"/>
      </w:divBdr>
    </w:div>
    <w:div w:id="1652447017">
      <w:bodyDiv w:val="1"/>
      <w:marLeft w:val="0"/>
      <w:marRight w:val="0"/>
      <w:marTop w:val="0"/>
      <w:marBottom w:val="0"/>
      <w:divBdr>
        <w:top w:val="none" w:sz="0" w:space="0" w:color="auto"/>
        <w:left w:val="none" w:sz="0" w:space="0" w:color="auto"/>
        <w:bottom w:val="none" w:sz="0" w:space="0" w:color="auto"/>
        <w:right w:val="none" w:sz="0" w:space="0" w:color="auto"/>
      </w:divBdr>
    </w:div>
    <w:div w:id="1652561831">
      <w:bodyDiv w:val="1"/>
      <w:marLeft w:val="0"/>
      <w:marRight w:val="0"/>
      <w:marTop w:val="0"/>
      <w:marBottom w:val="0"/>
      <w:divBdr>
        <w:top w:val="none" w:sz="0" w:space="0" w:color="auto"/>
        <w:left w:val="none" w:sz="0" w:space="0" w:color="auto"/>
        <w:bottom w:val="none" w:sz="0" w:space="0" w:color="auto"/>
        <w:right w:val="none" w:sz="0" w:space="0" w:color="auto"/>
      </w:divBdr>
    </w:div>
    <w:div w:id="1668365388">
      <w:bodyDiv w:val="1"/>
      <w:marLeft w:val="0"/>
      <w:marRight w:val="0"/>
      <w:marTop w:val="0"/>
      <w:marBottom w:val="0"/>
      <w:divBdr>
        <w:top w:val="none" w:sz="0" w:space="0" w:color="auto"/>
        <w:left w:val="none" w:sz="0" w:space="0" w:color="auto"/>
        <w:bottom w:val="none" w:sz="0" w:space="0" w:color="auto"/>
        <w:right w:val="none" w:sz="0" w:space="0" w:color="auto"/>
      </w:divBdr>
    </w:div>
    <w:div w:id="1676684930">
      <w:bodyDiv w:val="1"/>
      <w:marLeft w:val="0"/>
      <w:marRight w:val="0"/>
      <w:marTop w:val="0"/>
      <w:marBottom w:val="0"/>
      <w:divBdr>
        <w:top w:val="none" w:sz="0" w:space="0" w:color="auto"/>
        <w:left w:val="none" w:sz="0" w:space="0" w:color="auto"/>
        <w:bottom w:val="none" w:sz="0" w:space="0" w:color="auto"/>
        <w:right w:val="none" w:sz="0" w:space="0" w:color="auto"/>
      </w:divBdr>
    </w:div>
    <w:div w:id="1709179511">
      <w:bodyDiv w:val="1"/>
      <w:marLeft w:val="0"/>
      <w:marRight w:val="0"/>
      <w:marTop w:val="0"/>
      <w:marBottom w:val="0"/>
      <w:divBdr>
        <w:top w:val="none" w:sz="0" w:space="0" w:color="auto"/>
        <w:left w:val="none" w:sz="0" w:space="0" w:color="auto"/>
        <w:bottom w:val="none" w:sz="0" w:space="0" w:color="auto"/>
        <w:right w:val="none" w:sz="0" w:space="0" w:color="auto"/>
      </w:divBdr>
    </w:div>
    <w:div w:id="1926644065">
      <w:bodyDiv w:val="1"/>
      <w:marLeft w:val="0"/>
      <w:marRight w:val="0"/>
      <w:marTop w:val="0"/>
      <w:marBottom w:val="0"/>
      <w:divBdr>
        <w:top w:val="none" w:sz="0" w:space="0" w:color="auto"/>
        <w:left w:val="none" w:sz="0" w:space="0" w:color="auto"/>
        <w:bottom w:val="none" w:sz="0" w:space="0" w:color="auto"/>
        <w:right w:val="none" w:sz="0" w:space="0" w:color="auto"/>
      </w:divBdr>
    </w:div>
    <w:div w:id="2026246563">
      <w:bodyDiv w:val="1"/>
      <w:marLeft w:val="0"/>
      <w:marRight w:val="0"/>
      <w:marTop w:val="0"/>
      <w:marBottom w:val="0"/>
      <w:divBdr>
        <w:top w:val="none" w:sz="0" w:space="0" w:color="auto"/>
        <w:left w:val="none" w:sz="0" w:space="0" w:color="auto"/>
        <w:bottom w:val="none" w:sz="0" w:space="0" w:color="auto"/>
        <w:right w:val="none" w:sz="0" w:space="0" w:color="auto"/>
      </w:divBdr>
      <w:divsChild>
        <w:div w:id="276572375">
          <w:marLeft w:val="1080"/>
          <w:marRight w:val="0"/>
          <w:marTop w:val="100"/>
          <w:marBottom w:val="360"/>
          <w:divBdr>
            <w:top w:val="none" w:sz="0" w:space="0" w:color="auto"/>
            <w:left w:val="none" w:sz="0" w:space="0" w:color="auto"/>
            <w:bottom w:val="none" w:sz="0" w:space="0" w:color="auto"/>
            <w:right w:val="none" w:sz="0" w:space="0" w:color="auto"/>
          </w:divBdr>
        </w:div>
        <w:div w:id="755519716">
          <w:marLeft w:val="1080"/>
          <w:marRight w:val="0"/>
          <w:marTop w:val="100"/>
          <w:marBottom w:val="360"/>
          <w:divBdr>
            <w:top w:val="none" w:sz="0" w:space="0" w:color="auto"/>
            <w:left w:val="none" w:sz="0" w:space="0" w:color="auto"/>
            <w:bottom w:val="none" w:sz="0" w:space="0" w:color="auto"/>
            <w:right w:val="none" w:sz="0" w:space="0" w:color="auto"/>
          </w:divBdr>
        </w:div>
        <w:div w:id="1658413389">
          <w:marLeft w:val="1080"/>
          <w:marRight w:val="0"/>
          <w:marTop w:val="100"/>
          <w:marBottom w:val="36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oter" Target="footer6.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ALL/?uri=CELEX:52023SC0339" TargetMode="External"/><Relationship Id="rId13" Type="http://schemas.openxmlformats.org/officeDocument/2006/relationships/hyperlink" Target="https://eur-lex.europa.eu/legal-content/HR/TXT/PDF/?uri=CELEX:52021DC0082&amp;from=EN" TargetMode="External"/><Relationship Id="rId18" Type="http://schemas.openxmlformats.org/officeDocument/2006/relationships/hyperlink" Target="https://eur-lex.europa.eu/legal-content/HR/TXT/?uri=CELEX%3A52023PC0416" TargetMode="External"/><Relationship Id="rId26" Type="http://schemas.openxmlformats.org/officeDocument/2006/relationships/hyperlink" Target="https://eur-lex.europa.eu/legal-content/HR/TXT/?uri=CELEX%3A52023DC0102" TargetMode="External"/><Relationship Id="rId39" Type="http://schemas.openxmlformats.org/officeDocument/2006/relationships/hyperlink" Target="https://publications.jrc.ec.europa.eu/repository/handle/JRC136274" TargetMode="External"/><Relationship Id="rId3" Type="http://schemas.openxmlformats.org/officeDocument/2006/relationships/hyperlink" Target="https://www.eea.europa.eu/publications/european-climate-risk-assessment" TargetMode="External"/><Relationship Id="rId21" Type="http://schemas.openxmlformats.org/officeDocument/2006/relationships/hyperlink" Target="https://climate-risk-dashboard.climateanalytics.org/" TargetMode="External"/><Relationship Id="rId34" Type="http://schemas.openxmlformats.org/officeDocument/2006/relationships/hyperlink" Target="https://eurocodes.jrc.ec.europa.eu/2nd-generation/second-generation-eurocodes-what-new" TargetMode="External"/><Relationship Id="rId42" Type="http://schemas.openxmlformats.org/officeDocument/2006/relationships/hyperlink" Target="https://eur-lex.europa.eu/legal-content/HR/TXT/?uri=CELEX%3A52023JC0020" TargetMode="External"/><Relationship Id="rId7" Type="http://schemas.openxmlformats.org/officeDocument/2006/relationships/hyperlink" Target="https://www.consilium.europa.eu/media/67634/20231027-european-council-conclusions-hr.pdf" TargetMode="External"/><Relationship Id="rId12" Type="http://schemas.openxmlformats.org/officeDocument/2006/relationships/hyperlink" Target="https://eur-lex.europa.eu/legal-content/HR/TXT/?uri=CELEX%3A52023JC0019" TargetMode="External"/><Relationship Id="rId17" Type="http://schemas.openxmlformats.org/officeDocument/2006/relationships/hyperlink" Target="https://eur-lex.europa.eu/legal-content/HR/TXT/?uri=COM%3A2023%3A728%3AFIN" TargetMode="External"/><Relationship Id="rId25" Type="http://schemas.openxmlformats.org/officeDocument/2006/relationships/hyperlink" Target="https://www.ipcc.ch/assessment-report/ar6/" TargetMode="External"/><Relationship Id="rId33" Type="http://schemas.openxmlformats.org/officeDocument/2006/relationships/hyperlink" Target="https://osha.europa.eu/en/oshnews/heat-work-guidance-workplaces" TargetMode="External"/><Relationship Id="rId38" Type="http://schemas.openxmlformats.org/officeDocument/2006/relationships/hyperlink" Target="https://publications.jrc.ec.europa.eu/repository/handle/JRC136274" TargetMode="External"/><Relationship Id="rId2" Type="http://schemas.openxmlformats.org/officeDocument/2006/relationships/hyperlink" Target="https://climate.copernicus.eu/copernicus-2023-hottest-year-record" TargetMode="External"/><Relationship Id="rId16" Type="http://schemas.openxmlformats.org/officeDocument/2006/relationships/hyperlink" Target="https://www.wekeo.eu/" TargetMode="External"/><Relationship Id="rId20" Type="http://schemas.openxmlformats.org/officeDocument/2006/relationships/hyperlink" Target="https://drmkc.jrc.ec.europa.eu/risk-data-hub" TargetMode="External"/><Relationship Id="rId29" Type="http://schemas.openxmlformats.org/officeDocument/2006/relationships/hyperlink" Target="https://health.ec.europa.eu/non-communicable-diseases/healthier-together-eu-non-communicable-diseases-initiative_en" TargetMode="External"/><Relationship Id="rId41" Type="http://schemas.openxmlformats.org/officeDocument/2006/relationships/hyperlink" Target="https://eur-lex.europa.eu/legal-content/hr/ALL/?uri=CELEX%3A52020DC0103" TargetMode="External"/><Relationship Id="rId1" Type="http://schemas.openxmlformats.org/officeDocument/2006/relationships/hyperlink" Target="https://eur-lex.europa.eu/legal-content/HR/TXT/?uri=COM%3A2024%3A63%3AFIN" TargetMode="External"/><Relationship Id="rId6" Type="http://schemas.openxmlformats.org/officeDocument/2006/relationships/hyperlink" Target="https://www.europarl.europa.eu/doceo/document/TA-9-2022-0330_HR.html" TargetMode="External"/><Relationship Id="rId11" Type="http://schemas.openxmlformats.org/officeDocument/2006/relationships/hyperlink" Target="https://civil-protection-humanitarian-aid.ec.europa.eu/what/civil-protection/european-disaster-risk-management_en" TargetMode="External"/><Relationship Id="rId24" Type="http://schemas.openxmlformats.org/officeDocument/2006/relationships/hyperlink" Target="https://eur-lex.europa.eu/legal-content/HR/TXT/?uri=CELEX:52023DC0061" TargetMode="External"/><Relationship Id="rId32" Type="http://schemas.openxmlformats.org/officeDocument/2006/relationships/hyperlink" Target="https://www.cop28.com/en/cop28-uae-declaration-on-climate-and-health" TargetMode="External"/><Relationship Id="rId37" Type="http://schemas.openxmlformats.org/officeDocument/2006/relationships/hyperlink" Target="https://eur-lex.europa.eu/legal-content/HR/TXT/?uri=CELEX%3A52022DC0409" TargetMode="External"/><Relationship Id="rId40" Type="http://schemas.openxmlformats.org/officeDocument/2006/relationships/hyperlink" Target="https://www.ecb.europa.eu/pub/economic-bulletin/focus/2023/html/ecb.ebbox202306_05~f5ec994b9e.en.html" TargetMode="External"/><Relationship Id="rId5" Type="http://schemas.openxmlformats.org/officeDocument/2006/relationships/hyperlink" Target="https://www.ecb.europa.eu/press/pr/date/2023/html/ecb.pr231218_1~6b3bea9532.en.html" TargetMode="External"/><Relationship Id="rId15" Type="http://schemas.openxmlformats.org/officeDocument/2006/relationships/hyperlink" Target="https://dataspace.copernicus.eu/" TargetMode="External"/><Relationship Id="rId23" Type="http://schemas.openxmlformats.org/officeDocument/2006/relationships/hyperlink" Target="https://new-european-bauhaus.europa.eu/get-involved/use-compass_en" TargetMode="External"/><Relationship Id="rId28" Type="http://schemas.openxmlformats.org/officeDocument/2006/relationships/hyperlink" Target="https://www.exhaustion.eu/" TargetMode="External"/><Relationship Id="rId36" Type="http://schemas.openxmlformats.org/officeDocument/2006/relationships/hyperlink" Target="http://www.tradeministersonclimate.org/" TargetMode="External"/><Relationship Id="rId10" Type="http://schemas.openxmlformats.org/officeDocument/2006/relationships/hyperlink" Target="https://commission.europa.eu/energy-climate-change-environment/implementation-eu-countries/energy-and-climate-governance-and-reporting/national-energy-and-climate-plans_en" TargetMode="External"/><Relationship Id="rId19" Type="http://schemas.openxmlformats.org/officeDocument/2006/relationships/hyperlink" Target="https://climate-adapt.eea.europa.eu/en/knowledge/european-climate-data-explorer/" TargetMode="External"/><Relationship Id="rId31" Type="http://schemas.openxmlformats.org/officeDocument/2006/relationships/hyperlink" Target="https://www.who.int/europe/publications/i/item/EURO-Budapest2023-6" TargetMode="External"/><Relationship Id="rId44" Type="http://schemas.openxmlformats.org/officeDocument/2006/relationships/hyperlink" Target="https://eur-lex.europa.eu/legal-content/HR/TXT/?uri=CELEX%3A52023PC0240" TargetMode="External"/><Relationship Id="rId4" Type="http://schemas.openxmlformats.org/officeDocument/2006/relationships/hyperlink" Target="https://www.weforum.org/publications/global-risks-report-2024/" TargetMode="External"/><Relationship Id="rId9" Type="http://schemas.openxmlformats.org/officeDocument/2006/relationships/hyperlink" Target="https://climate.ec.europa.eu/system/files/2023-12/SWD_2023_932_1_EN.pdf" TargetMode="External"/><Relationship Id="rId14" Type="http://schemas.openxmlformats.org/officeDocument/2006/relationships/hyperlink" Target="https://climate.ec.europa.eu/document/download/768bc81f-5f48-48e3-b4d4-e02ba09faca1_en" TargetMode="External"/><Relationship Id="rId22" Type="http://schemas.openxmlformats.org/officeDocument/2006/relationships/hyperlink" Target="https://eur-lex.europa.eu/legal-content/HR/ALL/?uri=COM:2023:667:FIN" TargetMode="External"/><Relationship Id="rId27" Type="http://schemas.openxmlformats.org/officeDocument/2006/relationships/hyperlink" Target="https://research-and-innovation.ec.europa.eu/funding/funding-opportunities/funding-programmes-and-open-calls/horizon-europe/eu-missions-horizon-europe/restore-our-ocean-and-waters_en" TargetMode="External"/><Relationship Id="rId30" Type="http://schemas.openxmlformats.org/officeDocument/2006/relationships/hyperlink" Target="https://eur-lex.europa.eu/legal-content/HR/TXT/PDF/?uri=CELEX:52023DC0298" TargetMode="External"/><Relationship Id="rId35" Type="http://schemas.openxmlformats.org/officeDocument/2006/relationships/hyperlink" Target="https://climate.ec.europa.eu/document/download/768bc81f-5f48-48e3-b4d4-e02ba09faca1_en" TargetMode="External"/><Relationship Id="rId43" Type="http://schemas.openxmlformats.org/officeDocument/2006/relationships/hyperlink" Target="https://eur-lex.europa.eu/legal-content/HR/TXT/?uri=COM%3A2023%3A535%3AF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FDF3D715AA394A9B15E0E0FAA07E37" ma:contentTypeVersion="19" ma:contentTypeDescription="Create a new document." ma:contentTypeScope="" ma:versionID="5bf29b2a3c6ecafbb31bdd03e5262a3d">
  <xsd:schema xmlns:xsd="http://www.w3.org/2001/XMLSchema" xmlns:xs="http://www.w3.org/2001/XMLSchema" xmlns:p="http://schemas.microsoft.com/office/2006/metadata/properties" xmlns:ns1="http://schemas.microsoft.com/sharepoint/v3" xmlns:ns2="33e07890-6196-4e26-9dd2-53178dae8e48" xmlns:ns3="faa54b14-608b-44ba-8621-4287d9574b27" targetNamespace="http://schemas.microsoft.com/office/2006/metadata/properties" ma:root="true" ma:fieldsID="cc6c822d7742d136d6b2ce621399e9cf" ns1:_="" ns2:_="" ns3:_="">
    <xsd:import namespace="http://schemas.microsoft.com/sharepoint/v3"/>
    <xsd:import namespace="33e07890-6196-4e26-9dd2-53178dae8e48"/>
    <xsd:import namespace="faa54b14-608b-44ba-8621-4287d9574b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e07890-6196-4e26-9dd2-53178dae8e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a54b14-608b-44ba-8621-4287d9574b2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e2d1171-1b20-46c7-b5af-210c5dce4f7c}" ma:internalName="TaxCatchAll" ma:showField="CatchAllData" ma:web="faa54b14-608b-44ba-8621-4287d9574b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33e07890-6196-4e26-9dd2-53178dae8e48">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faa54b14-608b-44ba-8621-4287d9574b2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E9AAA-56B9-46EF-B05C-1F80F5D0FD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e07890-6196-4e26-9dd2-53178dae8e48"/>
    <ds:schemaRef ds:uri="faa54b14-608b-44ba-8621-4287d9574b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FF0186-E0D7-4E5E-B46D-6F54AD0AB0DF}">
  <ds:schemaRefs>
    <ds:schemaRef ds:uri="http://schemas.microsoft.com/office/2006/metadata/properties"/>
    <ds:schemaRef ds:uri="http://schemas.microsoft.com/office/infopath/2007/PartnerControls"/>
    <ds:schemaRef ds:uri="http://schemas.microsoft.com/sharepoint/v3"/>
    <ds:schemaRef ds:uri="33e07890-6196-4e26-9dd2-53178dae8e48"/>
    <ds:schemaRef ds:uri="faa54b14-608b-44ba-8621-4287d9574b27"/>
  </ds:schemaRefs>
</ds:datastoreItem>
</file>

<file path=customXml/itemProps3.xml><?xml version="1.0" encoding="utf-8"?>
<ds:datastoreItem xmlns:ds="http://schemas.openxmlformats.org/officeDocument/2006/customXml" ds:itemID="{09ED45BD-9959-4C35-B33C-C6B8397C3E22}">
  <ds:schemaRefs>
    <ds:schemaRef ds:uri="http://schemas.microsoft.com/sharepoint/v3/contenttype/forms"/>
  </ds:schemaRefs>
</ds:datastoreItem>
</file>

<file path=customXml/itemProps4.xml><?xml version="1.0" encoding="utf-8"?>
<ds:datastoreItem xmlns:ds="http://schemas.openxmlformats.org/officeDocument/2006/customXml" ds:itemID="{035B049B-D96E-424F-97B3-D204F3AF8E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9924</Words>
  <Characters>56569</Characters>
  <Application>Microsoft Office Word</Application>
  <DocSecurity>0</DocSecurity>
  <Lines>471</Lines>
  <Paragraphs>132</Paragraphs>
  <ScaleCrop>false</ScaleCrop>
  <Manager/>
  <Company/>
  <LinksUpToDate>false</LinksUpToDate>
  <CharactersWithSpaces>66361</CharactersWithSpaces>
  <SharedDoc>false</SharedDoc>
  <HLinks>
    <vt:vector size="264" baseType="variant">
      <vt:variant>
        <vt:i4>7208998</vt:i4>
      </vt:variant>
      <vt:variant>
        <vt:i4>132</vt:i4>
      </vt:variant>
      <vt:variant>
        <vt:i4>0</vt:i4>
      </vt:variant>
      <vt:variant>
        <vt:i4>5</vt:i4>
      </vt:variant>
      <vt:variant>
        <vt:lpwstr>https://eur-lex.europa.eu/legal-content/EN/TXT/?uri=CELEX%3A52023PC0240</vt:lpwstr>
      </vt:variant>
      <vt:variant>
        <vt:lpwstr/>
      </vt:variant>
      <vt:variant>
        <vt:i4>8257634</vt:i4>
      </vt:variant>
      <vt:variant>
        <vt:i4>129</vt:i4>
      </vt:variant>
      <vt:variant>
        <vt:i4>0</vt:i4>
      </vt:variant>
      <vt:variant>
        <vt:i4>5</vt:i4>
      </vt:variant>
      <vt:variant>
        <vt:lpwstr>https://eur-lex.europa.eu/legal-content/EN/TXT/?uri=COM%3A2023%3A535%3AFIN</vt:lpwstr>
      </vt:variant>
      <vt:variant>
        <vt:lpwstr/>
      </vt:variant>
      <vt:variant>
        <vt:i4>7471140</vt:i4>
      </vt:variant>
      <vt:variant>
        <vt:i4>126</vt:i4>
      </vt:variant>
      <vt:variant>
        <vt:i4>0</vt:i4>
      </vt:variant>
      <vt:variant>
        <vt:i4>5</vt:i4>
      </vt:variant>
      <vt:variant>
        <vt:lpwstr>https://eur-lex.europa.eu/legal-content/EN/TXT/?uri=CELEX%3A52023JC0020</vt:lpwstr>
      </vt:variant>
      <vt:variant>
        <vt:lpwstr/>
      </vt:variant>
      <vt:variant>
        <vt:i4>7536690</vt:i4>
      </vt:variant>
      <vt:variant>
        <vt:i4>123</vt:i4>
      </vt:variant>
      <vt:variant>
        <vt:i4>0</vt:i4>
      </vt:variant>
      <vt:variant>
        <vt:i4>5</vt:i4>
      </vt:variant>
      <vt:variant>
        <vt:lpwstr>https://eur-lex.europa.eu/legal-content/en/ALL/?uri=CELEX%3A52020DC0103</vt:lpwstr>
      </vt:variant>
      <vt:variant>
        <vt:lpwstr/>
      </vt:variant>
      <vt:variant>
        <vt:i4>3407966</vt:i4>
      </vt:variant>
      <vt:variant>
        <vt:i4>120</vt:i4>
      </vt:variant>
      <vt:variant>
        <vt:i4>0</vt:i4>
      </vt:variant>
      <vt:variant>
        <vt:i4>5</vt:i4>
      </vt:variant>
      <vt:variant>
        <vt:lpwstr>https://www.ecb.europa.eu/pub/economic-bulletin/focus/2023/html/ecb.ebbox202306_05~f5ec994b9e.en.html</vt:lpwstr>
      </vt:variant>
      <vt:variant>
        <vt:lpwstr/>
      </vt:variant>
      <vt:variant>
        <vt:i4>131136</vt:i4>
      </vt:variant>
      <vt:variant>
        <vt:i4>117</vt:i4>
      </vt:variant>
      <vt:variant>
        <vt:i4>0</vt:i4>
      </vt:variant>
      <vt:variant>
        <vt:i4>5</vt:i4>
      </vt:variant>
      <vt:variant>
        <vt:lpwstr>https://publications.jrc.ec.europa.eu/repository/handle/JRC136274</vt:lpwstr>
      </vt:variant>
      <vt:variant>
        <vt:lpwstr/>
      </vt:variant>
      <vt:variant>
        <vt:i4>8257569</vt:i4>
      </vt:variant>
      <vt:variant>
        <vt:i4>114</vt:i4>
      </vt:variant>
      <vt:variant>
        <vt:i4>0</vt:i4>
      </vt:variant>
      <vt:variant>
        <vt:i4>5</vt:i4>
      </vt:variant>
      <vt:variant>
        <vt:lpwstr>https://eur-lex.europa.eu/legal-content/EN/TXT/?uri=CELEX%3A52022DC0409</vt:lpwstr>
      </vt:variant>
      <vt:variant>
        <vt:lpwstr/>
      </vt:variant>
      <vt:variant>
        <vt:i4>3407975</vt:i4>
      </vt:variant>
      <vt:variant>
        <vt:i4>111</vt:i4>
      </vt:variant>
      <vt:variant>
        <vt:i4>0</vt:i4>
      </vt:variant>
      <vt:variant>
        <vt:i4>5</vt:i4>
      </vt:variant>
      <vt:variant>
        <vt:lpwstr>http://www.tradeministersonclimate.org/</vt:lpwstr>
      </vt:variant>
      <vt:variant>
        <vt:lpwstr/>
      </vt:variant>
      <vt:variant>
        <vt:i4>5767227</vt:i4>
      </vt:variant>
      <vt:variant>
        <vt:i4>108</vt:i4>
      </vt:variant>
      <vt:variant>
        <vt:i4>0</vt:i4>
      </vt:variant>
      <vt:variant>
        <vt:i4>5</vt:i4>
      </vt:variant>
      <vt:variant>
        <vt:lpwstr>https://climate.ec.europa.eu/document/download/768bc81f-5f48-48e3-b4d4-e02ba09faca1_en</vt:lpwstr>
      </vt:variant>
      <vt:variant>
        <vt:lpwstr/>
      </vt:variant>
      <vt:variant>
        <vt:i4>3014781</vt:i4>
      </vt:variant>
      <vt:variant>
        <vt:i4>105</vt:i4>
      </vt:variant>
      <vt:variant>
        <vt:i4>0</vt:i4>
      </vt:variant>
      <vt:variant>
        <vt:i4>5</vt:i4>
      </vt:variant>
      <vt:variant>
        <vt:lpwstr>https://eurocodes.jrc.ec.europa.eu/2nd-generation/second-generation-eurocodes-what-new</vt:lpwstr>
      </vt:variant>
      <vt:variant>
        <vt:lpwstr/>
      </vt:variant>
      <vt:variant>
        <vt:i4>6422573</vt:i4>
      </vt:variant>
      <vt:variant>
        <vt:i4>102</vt:i4>
      </vt:variant>
      <vt:variant>
        <vt:i4>0</vt:i4>
      </vt:variant>
      <vt:variant>
        <vt:i4>5</vt:i4>
      </vt:variant>
      <vt:variant>
        <vt:lpwstr>https://osha.europa.eu/en/oshnews/heat-work-guidance-workplaces</vt:lpwstr>
      </vt:variant>
      <vt:variant>
        <vt:lpwstr/>
      </vt:variant>
      <vt:variant>
        <vt:i4>1441862</vt:i4>
      </vt:variant>
      <vt:variant>
        <vt:i4>99</vt:i4>
      </vt:variant>
      <vt:variant>
        <vt:i4>0</vt:i4>
      </vt:variant>
      <vt:variant>
        <vt:i4>5</vt:i4>
      </vt:variant>
      <vt:variant>
        <vt:lpwstr>https://www.cop28.com/en/cop28-uae-declaration-on-climate-and-health</vt:lpwstr>
      </vt:variant>
      <vt:variant>
        <vt:lpwstr/>
      </vt:variant>
      <vt:variant>
        <vt:i4>4063335</vt:i4>
      </vt:variant>
      <vt:variant>
        <vt:i4>96</vt:i4>
      </vt:variant>
      <vt:variant>
        <vt:i4>0</vt:i4>
      </vt:variant>
      <vt:variant>
        <vt:i4>5</vt:i4>
      </vt:variant>
      <vt:variant>
        <vt:lpwstr>https://www.who.int/europe/publications/i/item/EURO-Budapest2023-6</vt:lpwstr>
      </vt:variant>
      <vt:variant>
        <vt:lpwstr/>
      </vt:variant>
      <vt:variant>
        <vt:i4>7274505</vt:i4>
      </vt:variant>
      <vt:variant>
        <vt:i4>93</vt:i4>
      </vt:variant>
      <vt:variant>
        <vt:i4>0</vt:i4>
      </vt:variant>
      <vt:variant>
        <vt:i4>5</vt:i4>
      </vt:variant>
      <vt:variant>
        <vt:lpwstr>https://health.ec.europa.eu/publications/comprehensive-approach-mental-health_en</vt:lpwstr>
      </vt:variant>
      <vt:variant>
        <vt:lpwstr/>
      </vt:variant>
      <vt:variant>
        <vt:i4>7012420</vt:i4>
      </vt:variant>
      <vt:variant>
        <vt:i4>90</vt:i4>
      </vt:variant>
      <vt:variant>
        <vt:i4>0</vt:i4>
      </vt:variant>
      <vt:variant>
        <vt:i4>5</vt:i4>
      </vt:variant>
      <vt:variant>
        <vt:lpwstr>https://health.ec.europa.eu/non-communicable-diseases/healthier-together-eu-non-communicable-diseases-initiative_en</vt:lpwstr>
      </vt:variant>
      <vt:variant>
        <vt:lpwstr/>
      </vt:variant>
      <vt:variant>
        <vt:i4>7274616</vt:i4>
      </vt:variant>
      <vt:variant>
        <vt:i4>87</vt:i4>
      </vt:variant>
      <vt:variant>
        <vt:i4>0</vt:i4>
      </vt:variant>
      <vt:variant>
        <vt:i4>5</vt:i4>
      </vt:variant>
      <vt:variant>
        <vt:lpwstr>https://www.exhaustion.eu/</vt:lpwstr>
      </vt:variant>
      <vt:variant>
        <vt:lpwstr/>
      </vt:variant>
      <vt:variant>
        <vt:i4>1704042</vt:i4>
      </vt:variant>
      <vt:variant>
        <vt:i4>84</vt:i4>
      </vt:variant>
      <vt:variant>
        <vt:i4>0</vt:i4>
      </vt:variant>
      <vt:variant>
        <vt:i4>5</vt:i4>
      </vt:variant>
      <vt:variant>
        <vt:lpwstr>https://research-and-innovation.ec.europa.eu/funding/funding-opportunities/funding-programmes-and-open-calls/horizon-europe/eu-missions-horizon-europe/restore-our-ocean-and-waters_en</vt:lpwstr>
      </vt:variant>
      <vt:variant>
        <vt:lpwstr/>
      </vt:variant>
      <vt:variant>
        <vt:i4>8257573</vt:i4>
      </vt:variant>
      <vt:variant>
        <vt:i4>81</vt:i4>
      </vt:variant>
      <vt:variant>
        <vt:i4>0</vt:i4>
      </vt:variant>
      <vt:variant>
        <vt:i4>5</vt:i4>
      </vt:variant>
      <vt:variant>
        <vt:lpwstr>https://eur-lex.europa.eu/legal-content/EN/TXT/?uri=CELEX%3A52023DC0102</vt:lpwstr>
      </vt:variant>
      <vt:variant>
        <vt:lpwstr/>
      </vt:variant>
      <vt:variant>
        <vt:i4>2359411</vt:i4>
      </vt:variant>
      <vt:variant>
        <vt:i4>78</vt:i4>
      </vt:variant>
      <vt:variant>
        <vt:i4>0</vt:i4>
      </vt:variant>
      <vt:variant>
        <vt:i4>5</vt:i4>
      </vt:variant>
      <vt:variant>
        <vt:lpwstr>https://www.worldbank.org/en/publication/changing-wealth-of-nations</vt:lpwstr>
      </vt:variant>
      <vt:variant>
        <vt:lpwstr/>
      </vt:variant>
      <vt:variant>
        <vt:i4>6357098</vt:i4>
      </vt:variant>
      <vt:variant>
        <vt:i4>72</vt:i4>
      </vt:variant>
      <vt:variant>
        <vt:i4>0</vt:i4>
      </vt:variant>
      <vt:variant>
        <vt:i4>5</vt:i4>
      </vt:variant>
      <vt:variant>
        <vt:lpwstr>https://www.ipcc.ch/assessment-report/ar6/</vt:lpwstr>
      </vt:variant>
      <vt:variant>
        <vt:lpwstr/>
      </vt:variant>
      <vt:variant>
        <vt:i4>393239</vt:i4>
      </vt:variant>
      <vt:variant>
        <vt:i4>69</vt:i4>
      </vt:variant>
      <vt:variant>
        <vt:i4>0</vt:i4>
      </vt:variant>
      <vt:variant>
        <vt:i4>5</vt:i4>
      </vt:variant>
      <vt:variant>
        <vt:lpwstr>https://eur-lex.europa.eu/legal-content/EN/TXT/?uri=CELEX:52023DC0061</vt:lpwstr>
      </vt:variant>
      <vt:variant>
        <vt:lpwstr/>
      </vt:variant>
      <vt:variant>
        <vt:i4>5767203</vt:i4>
      </vt:variant>
      <vt:variant>
        <vt:i4>66</vt:i4>
      </vt:variant>
      <vt:variant>
        <vt:i4>0</vt:i4>
      </vt:variant>
      <vt:variant>
        <vt:i4>5</vt:i4>
      </vt:variant>
      <vt:variant>
        <vt:lpwstr>https://new-european-bauhaus.europa.eu/get-involved/use-compass_en</vt:lpwstr>
      </vt:variant>
      <vt:variant>
        <vt:lpwstr/>
      </vt:variant>
      <vt:variant>
        <vt:i4>786496</vt:i4>
      </vt:variant>
      <vt:variant>
        <vt:i4>63</vt:i4>
      </vt:variant>
      <vt:variant>
        <vt:i4>0</vt:i4>
      </vt:variant>
      <vt:variant>
        <vt:i4>5</vt:i4>
      </vt:variant>
      <vt:variant>
        <vt:lpwstr>https://eur-lex.europa.eu/legal-content/EN/ALL/?uri=COM:2023:667:FIN</vt:lpwstr>
      </vt:variant>
      <vt:variant>
        <vt:lpwstr/>
      </vt:variant>
      <vt:variant>
        <vt:i4>5439558</vt:i4>
      </vt:variant>
      <vt:variant>
        <vt:i4>60</vt:i4>
      </vt:variant>
      <vt:variant>
        <vt:i4>0</vt:i4>
      </vt:variant>
      <vt:variant>
        <vt:i4>5</vt:i4>
      </vt:variant>
      <vt:variant>
        <vt:lpwstr>https://climate-risk-dashboard.climateanalytics.org/</vt:lpwstr>
      </vt:variant>
      <vt:variant>
        <vt:lpwstr/>
      </vt:variant>
      <vt:variant>
        <vt:i4>196668</vt:i4>
      </vt:variant>
      <vt:variant>
        <vt:i4>57</vt:i4>
      </vt:variant>
      <vt:variant>
        <vt:i4>0</vt:i4>
      </vt:variant>
      <vt:variant>
        <vt:i4>5</vt:i4>
      </vt:variant>
      <vt:variant>
        <vt:lpwstr>https://drmkc.jrc.ec.europa.eu/risk-data-hub</vt:lpwstr>
      </vt:variant>
      <vt:variant>
        <vt:lpwstr>/</vt:lpwstr>
      </vt:variant>
      <vt:variant>
        <vt:i4>5046346</vt:i4>
      </vt:variant>
      <vt:variant>
        <vt:i4>54</vt:i4>
      </vt:variant>
      <vt:variant>
        <vt:i4>0</vt:i4>
      </vt:variant>
      <vt:variant>
        <vt:i4>5</vt:i4>
      </vt:variant>
      <vt:variant>
        <vt:lpwstr>https://climate-adapt.eea.europa.eu/en/knowledge/european-climate-data-explorer/</vt:lpwstr>
      </vt:variant>
      <vt:variant>
        <vt:lpwstr/>
      </vt:variant>
      <vt:variant>
        <vt:i4>7012384</vt:i4>
      </vt:variant>
      <vt:variant>
        <vt:i4>51</vt:i4>
      </vt:variant>
      <vt:variant>
        <vt:i4>0</vt:i4>
      </vt:variant>
      <vt:variant>
        <vt:i4>5</vt:i4>
      </vt:variant>
      <vt:variant>
        <vt:lpwstr>https://eur-lex.europa.eu/legal-content/EN/TXT/?uri=CELEX%3A52023PC0416</vt:lpwstr>
      </vt:variant>
      <vt:variant>
        <vt:lpwstr/>
      </vt:variant>
      <vt:variant>
        <vt:i4>7405667</vt:i4>
      </vt:variant>
      <vt:variant>
        <vt:i4>48</vt:i4>
      </vt:variant>
      <vt:variant>
        <vt:i4>0</vt:i4>
      </vt:variant>
      <vt:variant>
        <vt:i4>5</vt:i4>
      </vt:variant>
      <vt:variant>
        <vt:lpwstr>https://eur-lex.europa.eu/legal-content/EN/TXT/?uri=COM%3A2023%3A728%3AFIN</vt:lpwstr>
      </vt:variant>
      <vt:variant>
        <vt:lpwstr/>
      </vt:variant>
      <vt:variant>
        <vt:i4>1245270</vt:i4>
      </vt:variant>
      <vt:variant>
        <vt:i4>45</vt:i4>
      </vt:variant>
      <vt:variant>
        <vt:i4>0</vt:i4>
      </vt:variant>
      <vt:variant>
        <vt:i4>5</vt:i4>
      </vt:variant>
      <vt:variant>
        <vt:lpwstr>https://www.wekeo.eu/</vt:lpwstr>
      </vt:variant>
      <vt:variant>
        <vt:lpwstr/>
      </vt:variant>
      <vt:variant>
        <vt:i4>1179649</vt:i4>
      </vt:variant>
      <vt:variant>
        <vt:i4>42</vt:i4>
      </vt:variant>
      <vt:variant>
        <vt:i4>0</vt:i4>
      </vt:variant>
      <vt:variant>
        <vt:i4>5</vt:i4>
      </vt:variant>
      <vt:variant>
        <vt:lpwstr>https://dataspace.copernicus.eu/</vt:lpwstr>
      </vt:variant>
      <vt:variant>
        <vt:lpwstr/>
      </vt:variant>
      <vt:variant>
        <vt:i4>5767227</vt:i4>
      </vt:variant>
      <vt:variant>
        <vt:i4>39</vt:i4>
      </vt:variant>
      <vt:variant>
        <vt:i4>0</vt:i4>
      </vt:variant>
      <vt:variant>
        <vt:i4>5</vt:i4>
      </vt:variant>
      <vt:variant>
        <vt:lpwstr>https://climate.ec.europa.eu/document/download/768bc81f-5f48-48e3-b4d4-e02ba09faca1_en</vt:lpwstr>
      </vt:variant>
      <vt:variant>
        <vt:lpwstr/>
      </vt:variant>
      <vt:variant>
        <vt:i4>4325464</vt:i4>
      </vt:variant>
      <vt:variant>
        <vt:i4>36</vt:i4>
      </vt:variant>
      <vt:variant>
        <vt:i4>0</vt:i4>
      </vt:variant>
      <vt:variant>
        <vt:i4>5</vt:i4>
      </vt:variant>
      <vt:variant>
        <vt:lpwstr>https://eur-lex.europa.eu/legal-content/EN/TXT/PDF/?uri=CELEX:52021DC0082&amp;from=EN</vt:lpwstr>
      </vt:variant>
      <vt:variant>
        <vt:lpwstr/>
      </vt:variant>
      <vt:variant>
        <vt:i4>7405604</vt:i4>
      </vt:variant>
      <vt:variant>
        <vt:i4>33</vt:i4>
      </vt:variant>
      <vt:variant>
        <vt:i4>0</vt:i4>
      </vt:variant>
      <vt:variant>
        <vt:i4>5</vt:i4>
      </vt:variant>
      <vt:variant>
        <vt:lpwstr>https://eur-lex.europa.eu/legal-content/EN/TXT/?uri=CELEX%3A52023JC0019</vt:lpwstr>
      </vt:variant>
      <vt:variant>
        <vt:lpwstr/>
      </vt:variant>
      <vt:variant>
        <vt:i4>589885</vt:i4>
      </vt:variant>
      <vt:variant>
        <vt:i4>30</vt:i4>
      </vt:variant>
      <vt:variant>
        <vt:i4>0</vt:i4>
      </vt:variant>
      <vt:variant>
        <vt:i4>5</vt:i4>
      </vt:variant>
      <vt:variant>
        <vt:lpwstr>https://civil-protection-humanitarian-aid.ec.europa.eu/what/civil-protection/european-disaster-risk-management_en</vt:lpwstr>
      </vt:variant>
      <vt:variant>
        <vt:lpwstr/>
      </vt:variant>
      <vt:variant>
        <vt:i4>7798798</vt:i4>
      </vt:variant>
      <vt:variant>
        <vt:i4>27</vt:i4>
      </vt:variant>
      <vt:variant>
        <vt:i4>0</vt:i4>
      </vt:variant>
      <vt:variant>
        <vt:i4>5</vt:i4>
      </vt:variant>
      <vt:variant>
        <vt:lpwstr>https://commission.europa.eu/energy-climate-change-environment/implementation-eu-countries/energy-and-climate-governance-and-reporting/national-energy-and-climate-plans_en</vt:lpwstr>
      </vt:variant>
      <vt:variant>
        <vt:lpwstr/>
      </vt:variant>
      <vt:variant>
        <vt:i4>6226007</vt:i4>
      </vt:variant>
      <vt:variant>
        <vt:i4>24</vt:i4>
      </vt:variant>
      <vt:variant>
        <vt:i4>0</vt:i4>
      </vt:variant>
      <vt:variant>
        <vt:i4>5</vt:i4>
      </vt:variant>
      <vt:variant>
        <vt:lpwstr>https://climate.ec.europa.eu/system/files/2023-12/SWD_2023_932_1_EN.pdf</vt:lpwstr>
      </vt:variant>
      <vt:variant>
        <vt:lpwstr/>
      </vt:variant>
      <vt:variant>
        <vt:i4>1638400</vt:i4>
      </vt:variant>
      <vt:variant>
        <vt:i4>21</vt:i4>
      </vt:variant>
      <vt:variant>
        <vt:i4>0</vt:i4>
      </vt:variant>
      <vt:variant>
        <vt:i4>5</vt:i4>
      </vt:variant>
      <vt:variant>
        <vt:lpwstr>https://eur-lex.europa.eu/legal-content/EN/ALL/?uri=CELEX:52023SC0339</vt:lpwstr>
      </vt:variant>
      <vt:variant>
        <vt:lpwstr/>
      </vt:variant>
      <vt:variant>
        <vt:i4>131099</vt:i4>
      </vt:variant>
      <vt:variant>
        <vt:i4>18</vt:i4>
      </vt:variant>
      <vt:variant>
        <vt:i4>0</vt:i4>
      </vt:variant>
      <vt:variant>
        <vt:i4>5</vt:i4>
      </vt:variant>
      <vt:variant>
        <vt:lpwstr>https://www.consilium.europa.eu/media/67627/20241027-european-council-conclusions.pdf</vt:lpwstr>
      </vt:variant>
      <vt:variant>
        <vt:lpwstr/>
      </vt:variant>
      <vt:variant>
        <vt:i4>327717</vt:i4>
      </vt:variant>
      <vt:variant>
        <vt:i4>15</vt:i4>
      </vt:variant>
      <vt:variant>
        <vt:i4>0</vt:i4>
      </vt:variant>
      <vt:variant>
        <vt:i4>5</vt:i4>
      </vt:variant>
      <vt:variant>
        <vt:lpwstr>https://www.europarl.europa.eu/doceo/document/TA-9-2022-0330_EN.html</vt:lpwstr>
      </vt:variant>
      <vt:variant>
        <vt:lpwstr/>
      </vt:variant>
      <vt:variant>
        <vt:i4>6684748</vt:i4>
      </vt:variant>
      <vt:variant>
        <vt:i4>12</vt:i4>
      </vt:variant>
      <vt:variant>
        <vt:i4>0</vt:i4>
      </vt:variant>
      <vt:variant>
        <vt:i4>5</vt:i4>
      </vt:variant>
      <vt:variant>
        <vt:lpwstr>https://www.ecb.europa.eu/press/pr/date/2023/html/ecb.pr231218_1~6b3bea9532.en.html</vt:lpwstr>
      </vt:variant>
      <vt:variant>
        <vt:lpwstr/>
      </vt:variant>
      <vt:variant>
        <vt:i4>7077949</vt:i4>
      </vt:variant>
      <vt:variant>
        <vt:i4>9</vt:i4>
      </vt:variant>
      <vt:variant>
        <vt:i4>0</vt:i4>
      </vt:variant>
      <vt:variant>
        <vt:i4>5</vt:i4>
      </vt:variant>
      <vt:variant>
        <vt:lpwstr>https://www.weforum.org/publications/global-risks-report-2024/</vt:lpwstr>
      </vt:variant>
      <vt:variant>
        <vt:lpwstr/>
      </vt:variant>
      <vt:variant>
        <vt:i4>3342457</vt:i4>
      </vt:variant>
      <vt:variant>
        <vt:i4>6</vt:i4>
      </vt:variant>
      <vt:variant>
        <vt:i4>0</vt:i4>
      </vt:variant>
      <vt:variant>
        <vt:i4>5</vt:i4>
      </vt:variant>
      <vt:variant>
        <vt:lpwstr>https://www.eea.europa.eu/publications/european-climate-risk-assessment</vt:lpwstr>
      </vt:variant>
      <vt:variant>
        <vt:lpwstr/>
      </vt:variant>
      <vt:variant>
        <vt:i4>1835017</vt:i4>
      </vt:variant>
      <vt:variant>
        <vt:i4>3</vt:i4>
      </vt:variant>
      <vt:variant>
        <vt:i4>0</vt:i4>
      </vt:variant>
      <vt:variant>
        <vt:i4>5</vt:i4>
      </vt:variant>
      <vt:variant>
        <vt:lpwstr>https://climate.copernicus.eu/copernicus-2023-hottest-year-record</vt:lpwstr>
      </vt:variant>
      <vt:variant>
        <vt:lpwstr/>
      </vt:variant>
      <vt:variant>
        <vt:i4>5832730</vt:i4>
      </vt:variant>
      <vt:variant>
        <vt:i4>0</vt:i4>
      </vt:variant>
      <vt:variant>
        <vt:i4>0</vt:i4>
      </vt:variant>
      <vt:variant>
        <vt:i4>5</vt:i4>
      </vt:variant>
      <vt:variant>
        <vt:lpwstr>https://eur-lex.europa.eu/legal-content/EN/TXT/?uri=COM%3A2024%3A63%3AFIN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2024-03-11T21:25:00Z</dcterms:created>
  <dcterms:modified xsi:type="dcterms:W3CDTF">2024-03-18T22:02:00Z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9.0, Build 20230317</vt:lpwstr>
  </property>
  <property fmtid="{D5CDD505-2E9C-101B-9397-08002B2CF9AE}" pid="4" name="MSIP_Label_6bd9ddd1-4d20-43f6-abfa-fc3c07406f94_Name">
    <vt:lpwstr>Commission Use</vt:lpwstr>
  </property>
  <property fmtid="{D5CDD505-2E9C-101B-9397-08002B2CF9AE}" pid="5" name="Part">
    <vt:lpwstr>1</vt:lpwstr>
  </property>
  <property fmtid="{D5CDD505-2E9C-101B-9397-08002B2CF9AE}" pid="6" name="MediaServiceImageTags">
    <vt:lpwstr/>
  </property>
  <property fmtid="{D5CDD505-2E9C-101B-9397-08002B2CF9AE}" pid="7" name="ContentTypeId">
    <vt:lpwstr>0x010100ECFDF3D715AA394A9B15E0E0FAA07E37</vt:lpwstr>
  </property>
  <property fmtid="{D5CDD505-2E9C-101B-9397-08002B2CF9AE}" pid="8" name="MSIP_Label_6bd9ddd1-4d20-43f6-abfa-fc3c07406f94_ContentBits">
    <vt:lpwstr>0</vt:lpwstr>
  </property>
  <property fmtid="{D5CDD505-2E9C-101B-9397-08002B2CF9AE}" pid="9" name="CPTemplateID">
    <vt:lpwstr>CP-014</vt:lpwstr>
  </property>
  <property fmtid="{D5CDD505-2E9C-101B-9397-08002B2CF9AE}" pid="10" name="MSIP_Label_6bd9ddd1-4d20-43f6-abfa-fc3c07406f94_SiteId">
    <vt:lpwstr>b24c8b06-522c-46fe-9080-70926f8dddb1</vt:lpwstr>
  </property>
  <property fmtid="{D5CDD505-2E9C-101B-9397-08002B2CF9AE}" pid="11" name="MSIP_Label_6bd9ddd1-4d20-43f6-abfa-fc3c07406f94_Method">
    <vt:lpwstr>Standard</vt:lpwstr>
  </property>
  <property fmtid="{D5CDD505-2E9C-101B-9397-08002B2CF9AE}" pid="12" name="MSIP_Label_6bd9ddd1-4d20-43f6-abfa-fc3c07406f94_Enabled">
    <vt:lpwstr>true</vt:lpwstr>
  </property>
  <property fmtid="{D5CDD505-2E9C-101B-9397-08002B2CF9AE}" pid="13" name="Total parts">
    <vt:lpwstr>1</vt:lpwstr>
  </property>
  <property fmtid="{D5CDD505-2E9C-101B-9397-08002B2CF9AE}" pid="14" name="MSIP_Label_6bd9ddd1-4d20-43f6-abfa-fc3c07406f94_SetDate">
    <vt:lpwstr>2024-02-09T06:41:38Z</vt:lpwstr>
  </property>
  <property fmtid="{D5CDD505-2E9C-101B-9397-08002B2CF9AE}" pid="15" name="Level of sensitivity">
    <vt:lpwstr>Standard treatment</vt:lpwstr>
  </property>
  <property fmtid="{D5CDD505-2E9C-101B-9397-08002B2CF9AE}" pid="16" name="MSIP_Label_6bd9ddd1-4d20-43f6-abfa-fc3c07406f94_ActionId">
    <vt:lpwstr>823e5efc-0c59-42b9-b19c-7cfeca294b5c</vt:lpwstr>
  </property>
</Properties>
</file>