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DAD" w:rsidRDefault="001B4A1A" w:rsidP="001B4A1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421D61C-CB6A-46D8-B395-3E930E3366A6" style="width:455.25pt;height:441pt">
            <v:imagedata r:id="rId8" o:title=""/>
          </v:shape>
        </w:pict>
      </w:r>
    </w:p>
    <w:p w:rsidR="00EA5DAD" w:rsidRDefault="00EA5DAD" w:rsidP="00EA5DAD">
      <w:pPr>
        <w:rPr>
          <w:noProof/>
        </w:rPr>
        <w:sectPr w:rsidR="00EA5DAD" w:rsidSect="001B4A1A">
          <w:footerReference w:type="even" r:id="rId9"/>
          <w:footerReference w:type="default" r:id="rId10"/>
          <w:pgSz w:w="11907" w:h="16839"/>
          <w:pgMar w:top="1134" w:right="1417" w:bottom="1134" w:left="1417" w:header="709" w:footer="709" w:gutter="0"/>
          <w:pgNumType w:start="0"/>
          <w:cols w:space="720"/>
          <w:docGrid w:linePitch="360"/>
        </w:sectPr>
      </w:pPr>
    </w:p>
    <w:p w:rsidR="00EA5DAD" w:rsidRDefault="00EA5DAD" w:rsidP="00BB6B30">
      <w:pPr>
        <w:pStyle w:val="Exposdesmotifstitre"/>
        <w:rPr>
          <w:noProof/>
        </w:rPr>
      </w:pPr>
      <w:bookmarkStart w:id="0" w:name="_GoBack"/>
      <w:bookmarkEnd w:id="0"/>
      <w:r w:rsidRPr="006F770D">
        <w:rPr>
          <w:noProof/>
        </w:rPr>
        <w:lastRenderedPageBreak/>
        <w:t>EXPLANATORY MEMORANDUM</w:t>
      </w:r>
    </w:p>
    <w:p w:rsidR="00EA5DAD" w:rsidRPr="00E34F04" w:rsidRDefault="00EA5DAD" w:rsidP="002B4C16">
      <w:pPr>
        <w:pStyle w:val="ManualHeading1"/>
        <w:rPr>
          <w:rFonts w:eastAsia="Arial Unicode MS"/>
          <w:noProof/>
        </w:rPr>
      </w:pPr>
      <w:r>
        <w:rPr>
          <w:noProof/>
        </w:rPr>
        <w:t>1.</w:t>
      </w:r>
      <w:r>
        <w:rPr>
          <w:noProof/>
        </w:rPr>
        <w:tab/>
      </w:r>
      <w:r w:rsidRPr="00E34F04">
        <w:rPr>
          <w:rFonts w:eastAsia="Arial Unicode MS"/>
          <w:noProof/>
        </w:rPr>
        <w:t>Subject matter of the proposal</w:t>
      </w:r>
    </w:p>
    <w:p w:rsidR="00EA5DAD" w:rsidRPr="00E34F04" w:rsidRDefault="00EA5DAD" w:rsidP="00736AA9">
      <w:pPr>
        <w:rPr>
          <w:rFonts w:eastAsia="Arial Unicode MS"/>
          <w:noProof/>
        </w:rPr>
      </w:pPr>
      <w:r w:rsidRPr="00E34F04">
        <w:rPr>
          <w:rFonts w:eastAsia="Arial Unicode MS"/>
          <w:noProof/>
        </w:rPr>
        <w:t>This proposal concerns the decision establishing the position to be taken on the Union's behalf in th</w:t>
      </w:r>
      <w:r w:rsidR="00851288">
        <w:rPr>
          <w:rFonts w:eastAsia="Arial Unicode MS"/>
          <w:noProof/>
        </w:rPr>
        <w:t>e Joint Committee established by the Agreement between the European Union and the Swiss Confederation on the linking of their greenhouse gas emissions trading systems as regards the amendment of Annex II to the Agreement, the Common Operational Procedures and the Linking Technical Standards</w:t>
      </w:r>
      <w:r w:rsidRPr="00E34F04">
        <w:rPr>
          <w:rFonts w:eastAsia="Arial Unicode MS"/>
          <w:noProof/>
        </w:rPr>
        <w:t xml:space="preserve"> in connection with the envisaged adoption of</w:t>
      </w:r>
      <w:r w:rsidR="00851288">
        <w:rPr>
          <w:rFonts w:eastAsia="Arial Unicode MS"/>
          <w:noProof/>
        </w:rPr>
        <w:t xml:space="preserve"> a decision to amend Annex II to the Agreement, </w:t>
      </w:r>
      <w:r w:rsidR="00BB3FFC">
        <w:rPr>
          <w:rFonts w:eastAsia="Arial Unicode MS"/>
          <w:noProof/>
        </w:rPr>
        <w:t xml:space="preserve">the </w:t>
      </w:r>
      <w:r w:rsidR="00851288">
        <w:rPr>
          <w:rFonts w:eastAsia="Arial Unicode MS"/>
          <w:noProof/>
        </w:rPr>
        <w:t xml:space="preserve">Common Operational Procedures as </w:t>
      </w:r>
      <w:r w:rsidR="00BB3FFC">
        <w:rPr>
          <w:rFonts w:eastAsia="Arial Unicode MS"/>
          <w:noProof/>
        </w:rPr>
        <w:t>adopted</w:t>
      </w:r>
      <w:r w:rsidR="00851288">
        <w:rPr>
          <w:rFonts w:eastAsia="Arial Unicode MS"/>
          <w:noProof/>
        </w:rPr>
        <w:t xml:space="preserve"> by Decision No 1/2020 of the Joint Committee established by the Agreement between the European Union and the Swiss Confederation on the linking of their greenhouse gas emissions trading systems</w:t>
      </w:r>
      <w:r w:rsidR="00851288">
        <w:rPr>
          <w:rStyle w:val="FootnoteReference"/>
          <w:rFonts w:eastAsia="Arial Unicode MS"/>
          <w:noProof/>
        </w:rPr>
        <w:footnoteReference w:id="1"/>
      </w:r>
      <w:r w:rsidR="00851288">
        <w:rPr>
          <w:rFonts w:eastAsia="Arial Unicode MS"/>
          <w:noProof/>
        </w:rPr>
        <w:t xml:space="preserve"> and the Linking Technical Standard as </w:t>
      </w:r>
      <w:r w:rsidR="00BB3FFC">
        <w:rPr>
          <w:rFonts w:eastAsia="Arial Unicode MS"/>
          <w:noProof/>
        </w:rPr>
        <w:t>adopted by Decision No 2/2020 of the Joint Committee established by the Agreement between the European Union and the Swiss Confederation on the linking of their greenhouse gas emissions trading systems</w:t>
      </w:r>
      <w:r w:rsidR="00BB3FFC">
        <w:rPr>
          <w:rStyle w:val="FootnoteReference"/>
          <w:rFonts w:eastAsia="Arial Unicode MS"/>
          <w:noProof/>
        </w:rPr>
        <w:footnoteReference w:id="2"/>
      </w:r>
      <w:r w:rsidR="00BB3FFC">
        <w:rPr>
          <w:rFonts w:eastAsia="Arial Unicode MS"/>
          <w:noProof/>
        </w:rPr>
        <w:t>.</w:t>
      </w:r>
    </w:p>
    <w:p w:rsidR="00EA5DAD" w:rsidRPr="00E34F04" w:rsidRDefault="00EA5DAD" w:rsidP="00736AA9">
      <w:pPr>
        <w:pStyle w:val="ManualHeading1"/>
        <w:rPr>
          <w:noProof/>
        </w:rPr>
      </w:pPr>
      <w:r>
        <w:rPr>
          <w:noProof/>
        </w:rPr>
        <w:t>2.</w:t>
      </w:r>
      <w:r>
        <w:rPr>
          <w:noProof/>
        </w:rPr>
        <w:tab/>
      </w:r>
      <w:r w:rsidRPr="00E34F04">
        <w:rPr>
          <w:noProof/>
        </w:rPr>
        <w:t>Context of the proposal</w:t>
      </w:r>
    </w:p>
    <w:p w:rsidR="00EA5DAD" w:rsidRPr="00E34F04" w:rsidRDefault="00EA5DAD" w:rsidP="00736AA9">
      <w:pPr>
        <w:pStyle w:val="ManualHeading2"/>
        <w:rPr>
          <w:noProof/>
        </w:rPr>
      </w:pPr>
      <w:r>
        <w:rPr>
          <w:noProof/>
        </w:rPr>
        <w:t>2.1.</w:t>
      </w:r>
      <w:r>
        <w:rPr>
          <w:noProof/>
        </w:rPr>
        <w:tab/>
      </w:r>
      <w:r w:rsidRPr="00E34F04">
        <w:rPr>
          <w:noProof/>
        </w:rPr>
        <w:t>The</w:t>
      </w:r>
      <w:r w:rsidR="00BB3FFC">
        <w:rPr>
          <w:noProof/>
        </w:rPr>
        <w:t xml:space="preserve"> Agreement between the European Union and the Swiss Confederation on the linking of their greenhouse gas emissions trading systems</w:t>
      </w:r>
    </w:p>
    <w:p w:rsidR="00EA5DAD" w:rsidRPr="00E34F04" w:rsidRDefault="00EA5DAD" w:rsidP="00736AA9">
      <w:pPr>
        <w:rPr>
          <w:rFonts w:eastAsia="Arial Unicode MS"/>
          <w:noProof/>
        </w:rPr>
      </w:pPr>
      <w:r w:rsidRPr="00E34F04">
        <w:rPr>
          <w:rFonts w:eastAsia="Arial Unicode MS"/>
          <w:noProof/>
        </w:rPr>
        <w:t xml:space="preserve">The </w:t>
      </w:r>
      <w:r w:rsidR="00BB3FFC">
        <w:rPr>
          <w:rFonts w:eastAsia="Arial Unicode MS"/>
          <w:noProof/>
        </w:rPr>
        <w:t>Agreement between the European Union and the Swiss Confederation on the linking of their greenhouse gas emissions trading systems</w:t>
      </w:r>
      <w:r w:rsidRPr="00E34F04">
        <w:rPr>
          <w:rFonts w:eastAsia="Arial Unicode MS"/>
          <w:noProof/>
        </w:rPr>
        <w:t xml:space="preserve"> (‘the Agreement’) aims to </w:t>
      </w:r>
      <w:r w:rsidR="00BB3FFC" w:rsidRPr="00647DD8">
        <w:rPr>
          <w:noProof/>
        </w:rPr>
        <w:t>connect the EU Emissions Trading System (EU ETS) with the</w:t>
      </w:r>
      <w:r w:rsidR="00A450EB">
        <w:rPr>
          <w:noProof/>
        </w:rPr>
        <w:t xml:space="preserve"> Emissions Trading System of Switzerland,</w:t>
      </w:r>
      <w:r w:rsidR="00BB3FFC" w:rsidRPr="00647DD8">
        <w:rPr>
          <w:noProof/>
        </w:rPr>
        <w:t xml:space="preserve"> by allowing that allowances issued in one system can be traded and used for compliance in the other one, expanding the opportunities for climate change mitigation</w:t>
      </w:r>
      <w:r w:rsidR="00BB3FFC" w:rsidRPr="00647DD8">
        <w:rPr>
          <w:rFonts w:eastAsia="Arial Unicode MS"/>
          <w:noProof/>
        </w:rPr>
        <w:t>.</w:t>
      </w:r>
      <w:r w:rsidR="00BB3FFC">
        <w:rPr>
          <w:rFonts w:eastAsia="Arial Unicode MS"/>
          <w:noProof/>
        </w:rPr>
        <w:t xml:space="preserve"> </w:t>
      </w:r>
      <w:r w:rsidR="00BB3FFC" w:rsidRPr="00E34F04">
        <w:rPr>
          <w:rFonts w:eastAsia="Arial Unicode MS"/>
          <w:noProof/>
        </w:rPr>
        <w:t xml:space="preserve">The Agreement entered into force on </w:t>
      </w:r>
      <w:r w:rsidR="00BB3FFC">
        <w:rPr>
          <w:rFonts w:eastAsia="Arial Unicode MS"/>
          <w:noProof/>
        </w:rPr>
        <w:t>1 January 2020</w:t>
      </w:r>
      <w:r w:rsidR="00BB3FFC" w:rsidRPr="00A940D4">
        <w:rPr>
          <w:noProof/>
        </w:rPr>
        <w:t>.</w:t>
      </w:r>
    </w:p>
    <w:p w:rsidR="00EA5DAD" w:rsidRPr="00E34F04" w:rsidRDefault="00EA5DAD" w:rsidP="00736AA9">
      <w:pPr>
        <w:pStyle w:val="ManualHeading2"/>
        <w:rPr>
          <w:noProof/>
        </w:rPr>
      </w:pPr>
      <w:r>
        <w:rPr>
          <w:noProof/>
        </w:rPr>
        <w:t>2.2.</w:t>
      </w:r>
      <w:r>
        <w:rPr>
          <w:noProof/>
        </w:rPr>
        <w:tab/>
      </w:r>
      <w:r w:rsidRPr="00E34F04">
        <w:rPr>
          <w:noProof/>
        </w:rPr>
        <w:t>The</w:t>
      </w:r>
      <w:r w:rsidR="00BB3FFC">
        <w:rPr>
          <w:noProof/>
        </w:rPr>
        <w:t xml:space="preserve"> Joint Committee</w:t>
      </w:r>
    </w:p>
    <w:p w:rsidR="00BB3FFC" w:rsidRDefault="00EA5DAD" w:rsidP="00736AA9">
      <w:pPr>
        <w:rPr>
          <w:rFonts w:eastAsia="Arial Unicode MS"/>
          <w:noProof/>
        </w:rPr>
      </w:pPr>
      <w:r w:rsidRPr="00E34F04">
        <w:rPr>
          <w:rFonts w:eastAsia="Arial Unicode MS"/>
          <w:noProof/>
        </w:rPr>
        <w:t>The</w:t>
      </w:r>
      <w:r w:rsidR="00BB3FFC">
        <w:rPr>
          <w:rFonts w:eastAsia="Arial Unicode MS"/>
          <w:noProof/>
        </w:rPr>
        <w:t xml:space="preserve"> Joint Committee, </w:t>
      </w:r>
      <w:r w:rsidR="00BB3FFC" w:rsidRPr="00647DD8">
        <w:rPr>
          <w:rFonts w:eastAsia="Arial Unicode MS"/>
          <w:noProof/>
        </w:rPr>
        <w:t xml:space="preserve">established by Article 12 of the Agreement, is responsible for administering the Agreement and ensuring its implementation. It </w:t>
      </w:r>
      <w:r w:rsidR="00BB3FFC" w:rsidRPr="00FC33EE">
        <w:rPr>
          <w:rFonts w:eastAsia="Arial Unicode MS"/>
          <w:noProof/>
        </w:rPr>
        <w:t>can decide to adopt new annexes to the Agreement or amend existing ones. It can also discuss amendments to the Articles of the Agreement, facilitate the exchange of views on the Parties' legislation and conduct reviews of the Agreement.</w:t>
      </w:r>
    </w:p>
    <w:p w:rsidR="00BB3FFC" w:rsidRDefault="00BB3FFC" w:rsidP="00BB3FFC">
      <w:pPr>
        <w:rPr>
          <w:rFonts w:eastAsia="Arial Unicode MS"/>
          <w:noProof/>
        </w:rPr>
      </w:pPr>
      <w:r w:rsidRPr="00FC33EE">
        <w:rPr>
          <w:rFonts w:eastAsia="Arial Unicode MS"/>
          <w:noProof/>
        </w:rPr>
        <w:t>The Joint Committee is</w:t>
      </w:r>
      <w:r w:rsidRPr="00647DD8">
        <w:rPr>
          <w:rFonts w:eastAsia="Arial Unicode MS"/>
          <w:noProof/>
        </w:rPr>
        <w:t xml:space="preserve"> a bilateral body composed by representatives of the Parties (the EU and Switzerland). Decisions taken by the Joint Committee shall be agreed by both Parties</w:t>
      </w:r>
      <w:r>
        <w:rPr>
          <w:rFonts w:eastAsia="Arial Unicode MS"/>
          <w:noProof/>
        </w:rPr>
        <w:t xml:space="preserve"> and once adopted, are legally binding to both Parties</w:t>
      </w:r>
      <w:r w:rsidRPr="00647DD8">
        <w:rPr>
          <w:rFonts w:eastAsia="Arial Unicode MS"/>
          <w:noProof/>
        </w:rPr>
        <w:t>.</w:t>
      </w:r>
    </w:p>
    <w:p w:rsidR="00EA5DAD" w:rsidRPr="00E34F04" w:rsidRDefault="00BB3FFC" w:rsidP="001542E9">
      <w:pPr>
        <w:rPr>
          <w:rFonts w:eastAsia="Arial Unicode MS"/>
          <w:noProof/>
        </w:rPr>
      </w:pPr>
      <w:r>
        <w:rPr>
          <w:rFonts w:eastAsia="Arial Unicode MS"/>
          <w:noProof/>
        </w:rPr>
        <w:t>Article 13(2) of the Agreement provides that the Joint Committee may decide to adopt a new Annex or to amend an existing Annex to th</w:t>
      </w:r>
      <w:r w:rsidR="00E1453D">
        <w:rPr>
          <w:rFonts w:eastAsia="Arial Unicode MS"/>
          <w:noProof/>
        </w:rPr>
        <w:t>e</w:t>
      </w:r>
      <w:r>
        <w:rPr>
          <w:rFonts w:eastAsia="Arial Unicode MS"/>
          <w:noProof/>
        </w:rPr>
        <w:t xml:space="preserve"> Agreement. </w:t>
      </w:r>
      <w:r w:rsidR="00333E75">
        <w:rPr>
          <w:rFonts w:eastAsia="Arial Unicode MS"/>
          <w:noProof/>
        </w:rPr>
        <w:t>Furthermore,</w:t>
      </w:r>
      <w:r w:rsidR="001542E9">
        <w:rPr>
          <w:rFonts w:eastAsia="Arial Unicode MS"/>
          <w:noProof/>
        </w:rPr>
        <w:t xml:space="preserve"> and in accordance with Article 3(6) and (7) of the Agreement, the Joint Committee has adopted decisions 1/2020</w:t>
      </w:r>
      <w:r w:rsidR="00DA2AF9">
        <w:rPr>
          <w:rStyle w:val="FootnoteReference"/>
          <w:rFonts w:eastAsia="Arial Unicode MS"/>
          <w:noProof/>
        </w:rPr>
        <w:footnoteReference w:id="3"/>
      </w:r>
      <w:r w:rsidR="001542E9">
        <w:rPr>
          <w:rFonts w:eastAsia="Arial Unicode MS"/>
          <w:noProof/>
        </w:rPr>
        <w:t xml:space="preserve"> and 2/2020</w:t>
      </w:r>
      <w:r w:rsidR="00DA2AF9">
        <w:rPr>
          <w:rStyle w:val="FootnoteReference"/>
          <w:rFonts w:eastAsia="Arial Unicode MS"/>
          <w:noProof/>
        </w:rPr>
        <w:footnoteReference w:id="4"/>
      </w:r>
      <w:r w:rsidR="001542E9">
        <w:rPr>
          <w:rFonts w:eastAsia="Arial Unicode MS"/>
          <w:noProof/>
        </w:rPr>
        <w:t xml:space="preserve"> to establish the Common Operational Procedures (COP) and the Linking Technical Standards (LTS). </w:t>
      </w:r>
    </w:p>
    <w:p w:rsidR="00EA5DAD" w:rsidRPr="00E34F04" w:rsidRDefault="00EA5DAD" w:rsidP="00736AA9">
      <w:pPr>
        <w:pStyle w:val="ManualHeading2"/>
        <w:rPr>
          <w:noProof/>
        </w:rPr>
      </w:pPr>
      <w:r>
        <w:rPr>
          <w:noProof/>
        </w:rPr>
        <w:lastRenderedPageBreak/>
        <w:t>2.3.</w:t>
      </w:r>
      <w:r>
        <w:rPr>
          <w:noProof/>
        </w:rPr>
        <w:tab/>
      </w:r>
      <w:r w:rsidRPr="00E34F04">
        <w:rPr>
          <w:noProof/>
        </w:rPr>
        <w:t>The envisaged act of the</w:t>
      </w:r>
      <w:r w:rsidR="001542E9">
        <w:rPr>
          <w:noProof/>
        </w:rPr>
        <w:t xml:space="preserve"> Joint Committee</w:t>
      </w:r>
    </w:p>
    <w:p w:rsidR="00EA5DAD" w:rsidRPr="00E34F04" w:rsidRDefault="00333E75" w:rsidP="00736AA9">
      <w:pPr>
        <w:rPr>
          <w:rFonts w:eastAsia="Arial Unicode MS"/>
          <w:noProof/>
        </w:rPr>
      </w:pPr>
      <w:r>
        <w:rPr>
          <w:rFonts w:eastAsia="Arial Unicode MS"/>
          <w:noProof/>
        </w:rPr>
        <w:t>D</w:t>
      </w:r>
      <w:r w:rsidR="00EA5DAD" w:rsidRPr="00E34F04">
        <w:rPr>
          <w:rFonts w:eastAsia="Arial Unicode MS"/>
          <w:noProof/>
        </w:rPr>
        <w:t>uring its</w:t>
      </w:r>
      <w:r>
        <w:rPr>
          <w:rFonts w:eastAsia="Arial Unicode MS"/>
          <w:noProof/>
        </w:rPr>
        <w:t xml:space="preserve"> seventh </w:t>
      </w:r>
      <w:r w:rsidR="00EA5DAD" w:rsidRPr="00E34F04">
        <w:rPr>
          <w:rFonts w:eastAsia="Arial Unicode MS"/>
          <w:noProof/>
        </w:rPr>
        <w:t xml:space="preserve">meeting, </w:t>
      </w:r>
      <w:r>
        <w:rPr>
          <w:rFonts w:eastAsia="Arial Unicode MS"/>
          <w:noProof/>
        </w:rPr>
        <w:t>which will be held in 2024, or earlier by means of the written procedure pursuant to Article 8(4) of the Rules of Procedure of the Joint Committee</w:t>
      </w:r>
      <w:r>
        <w:rPr>
          <w:rStyle w:val="FootnoteReference"/>
          <w:rFonts w:eastAsia="Arial Unicode MS"/>
          <w:noProof/>
        </w:rPr>
        <w:footnoteReference w:id="5"/>
      </w:r>
      <w:r>
        <w:rPr>
          <w:rFonts w:eastAsia="Arial Unicode MS"/>
          <w:noProof/>
        </w:rPr>
        <w:t xml:space="preserve">, </w:t>
      </w:r>
      <w:r w:rsidR="00EA5DAD" w:rsidRPr="00E34F04">
        <w:rPr>
          <w:rFonts w:eastAsia="Arial Unicode MS"/>
          <w:noProof/>
        </w:rPr>
        <w:t>the</w:t>
      </w:r>
      <w:r>
        <w:rPr>
          <w:rFonts w:eastAsia="Arial Unicode MS"/>
          <w:noProof/>
        </w:rPr>
        <w:t xml:space="preserve"> Joint Committee </w:t>
      </w:r>
      <w:r w:rsidR="00EA5DAD" w:rsidRPr="00E34F04">
        <w:rPr>
          <w:rFonts w:eastAsia="Arial Unicode MS"/>
          <w:noProof/>
        </w:rPr>
        <w:t>is to adopt a</w:t>
      </w:r>
      <w:r>
        <w:rPr>
          <w:rFonts w:eastAsia="Arial Unicode MS"/>
          <w:noProof/>
        </w:rPr>
        <w:t xml:space="preserve"> decision</w:t>
      </w:r>
      <w:r w:rsidR="00E1453D">
        <w:rPr>
          <w:rFonts w:eastAsia="Arial Unicode MS"/>
          <w:noProof/>
        </w:rPr>
        <w:t xml:space="preserve"> </w:t>
      </w:r>
      <w:r w:rsidR="00EA5DAD" w:rsidRPr="00E34F04">
        <w:rPr>
          <w:rFonts w:eastAsia="Arial Unicode MS"/>
          <w:noProof/>
        </w:rPr>
        <w:t>regarding</w:t>
      </w:r>
      <w:r>
        <w:rPr>
          <w:rFonts w:eastAsia="Arial Unicode MS"/>
          <w:noProof/>
        </w:rPr>
        <w:t xml:space="preserve"> amendments to Annex II to the Agreement, the Common Operational Procedures and the Linking Technical Standards</w:t>
      </w:r>
      <w:r w:rsidR="00EA5DAD" w:rsidRPr="00E34F04">
        <w:rPr>
          <w:rFonts w:eastAsia="Arial Unicode MS"/>
          <w:noProof/>
        </w:rPr>
        <w:t xml:space="preserve"> (‘the envisaged act’).</w:t>
      </w:r>
      <w:r>
        <w:rPr>
          <w:rFonts w:eastAsia="Arial Unicode MS"/>
          <w:noProof/>
        </w:rPr>
        <w:t xml:space="preserve"> The Common Operational Procedures and the Linking Technical Standards have been adopted by the Joint Committee through its Decisions No 1/2020</w:t>
      </w:r>
      <w:r w:rsidR="008F7505">
        <w:rPr>
          <w:rStyle w:val="FootnoteReference"/>
          <w:rFonts w:eastAsia="Arial Unicode MS"/>
          <w:noProof/>
        </w:rPr>
        <w:footnoteReference w:id="6"/>
      </w:r>
      <w:r>
        <w:rPr>
          <w:rFonts w:eastAsia="Arial Unicode MS"/>
          <w:noProof/>
        </w:rPr>
        <w:t xml:space="preserve"> and 2/2020</w:t>
      </w:r>
      <w:r w:rsidR="008F7505">
        <w:rPr>
          <w:rStyle w:val="FootnoteReference"/>
          <w:rFonts w:eastAsia="Arial Unicode MS"/>
          <w:noProof/>
        </w:rPr>
        <w:footnoteReference w:id="7"/>
      </w:r>
      <w:r>
        <w:rPr>
          <w:rFonts w:eastAsia="Arial Unicode MS"/>
          <w:noProof/>
        </w:rPr>
        <w:t xml:space="preserve"> respectively. </w:t>
      </w:r>
    </w:p>
    <w:p w:rsidR="00554CFF" w:rsidRDefault="00EA5DAD" w:rsidP="00C64C75">
      <w:pPr>
        <w:rPr>
          <w:rFonts w:eastAsia="Arial Unicode MS"/>
          <w:noProof/>
        </w:rPr>
      </w:pPr>
      <w:r w:rsidRPr="00E34F04">
        <w:rPr>
          <w:rFonts w:eastAsia="Arial Unicode MS"/>
          <w:noProof/>
        </w:rPr>
        <w:t>The purpose of the envisaged act is to</w:t>
      </w:r>
      <w:r w:rsidR="00C64C75">
        <w:rPr>
          <w:rFonts w:eastAsia="Arial Unicode MS"/>
          <w:noProof/>
        </w:rPr>
        <w:t xml:space="preserve"> </w:t>
      </w:r>
      <w:r w:rsidR="00087D22">
        <w:rPr>
          <w:rFonts w:eastAsia="Arial Unicode MS"/>
          <w:noProof/>
        </w:rPr>
        <w:t xml:space="preserve">update Annex II </w:t>
      </w:r>
      <w:r w:rsidR="00C64C75">
        <w:rPr>
          <w:rFonts w:eastAsia="Arial Unicode MS"/>
          <w:noProof/>
        </w:rPr>
        <w:t>(“</w:t>
      </w:r>
      <w:r w:rsidR="00087D22">
        <w:rPr>
          <w:rFonts w:eastAsia="Arial Unicode MS"/>
          <w:noProof/>
        </w:rPr>
        <w:t>Linking Technical Standards</w:t>
      </w:r>
      <w:r w:rsidR="00C64C75">
        <w:rPr>
          <w:rFonts w:eastAsia="Arial Unicode MS"/>
          <w:noProof/>
        </w:rPr>
        <w:t>”)</w:t>
      </w:r>
      <w:r w:rsidR="00087D22">
        <w:rPr>
          <w:rFonts w:eastAsia="Arial Unicode MS"/>
          <w:noProof/>
        </w:rPr>
        <w:t xml:space="preserve"> to the Agreement in order to reflect developments agreed by the Joint Committee in accordance with J</w:t>
      </w:r>
      <w:r w:rsidR="00C64C75">
        <w:rPr>
          <w:rFonts w:eastAsia="Arial Unicode MS"/>
          <w:noProof/>
        </w:rPr>
        <w:t xml:space="preserve">oint </w:t>
      </w:r>
      <w:r w:rsidR="00087D22">
        <w:rPr>
          <w:rFonts w:eastAsia="Arial Unicode MS"/>
          <w:noProof/>
        </w:rPr>
        <w:t>C</w:t>
      </w:r>
      <w:r w:rsidR="00C64C75">
        <w:rPr>
          <w:rFonts w:eastAsia="Arial Unicode MS"/>
          <w:noProof/>
        </w:rPr>
        <w:t xml:space="preserve">ommittee </w:t>
      </w:r>
      <w:r w:rsidR="00087D22">
        <w:rPr>
          <w:rFonts w:eastAsia="Arial Unicode MS"/>
          <w:noProof/>
        </w:rPr>
        <w:t>D</w:t>
      </w:r>
      <w:r w:rsidR="00C64C75">
        <w:rPr>
          <w:rFonts w:eastAsia="Arial Unicode MS"/>
          <w:noProof/>
        </w:rPr>
        <w:t>ecision</w:t>
      </w:r>
      <w:r w:rsidR="00087D22">
        <w:rPr>
          <w:rFonts w:eastAsia="Arial Unicode MS"/>
          <w:noProof/>
        </w:rPr>
        <w:t xml:space="preserve"> 2/2019</w:t>
      </w:r>
      <w:r w:rsidR="00C64C75">
        <w:rPr>
          <w:rStyle w:val="FootnoteReference"/>
          <w:rFonts w:eastAsia="Arial Unicode MS"/>
          <w:noProof/>
        </w:rPr>
        <w:footnoteReference w:id="8"/>
      </w:r>
      <w:r w:rsidR="00C64C75">
        <w:rPr>
          <w:rFonts w:eastAsia="Arial Unicode MS"/>
          <w:noProof/>
        </w:rPr>
        <w:t>,</w:t>
      </w:r>
      <w:r w:rsidR="00087D22">
        <w:rPr>
          <w:rFonts w:eastAsia="Arial Unicode MS"/>
          <w:noProof/>
        </w:rPr>
        <w:t xml:space="preserve"> which </w:t>
      </w:r>
      <w:r w:rsidR="00C64C75">
        <w:rPr>
          <w:rFonts w:eastAsia="Arial Unicode MS"/>
          <w:noProof/>
        </w:rPr>
        <w:t xml:space="preserve">required to replace the provisional solution to operationalise the link between the EU ETS and the ETS of Switzerland with a permanent registry link as soon as possible. </w:t>
      </w:r>
      <w:r w:rsidR="00554CFF">
        <w:rPr>
          <w:rFonts w:eastAsia="Arial Unicode MS"/>
          <w:noProof/>
        </w:rPr>
        <w:t xml:space="preserve">Furthermore, the evolution of relevant technologies should also be taken into account, when amending Annex </w:t>
      </w:r>
      <w:r w:rsidR="00C238BE">
        <w:rPr>
          <w:rFonts w:eastAsia="Arial Unicode MS"/>
          <w:noProof/>
        </w:rPr>
        <w:t xml:space="preserve">II </w:t>
      </w:r>
      <w:r w:rsidR="00554CFF">
        <w:rPr>
          <w:rFonts w:eastAsia="Arial Unicode MS"/>
          <w:noProof/>
        </w:rPr>
        <w:t>to the Agreement.</w:t>
      </w:r>
    </w:p>
    <w:p w:rsidR="00EA5DAD" w:rsidRPr="00E34F04" w:rsidRDefault="00C64C75" w:rsidP="00C64C75">
      <w:pPr>
        <w:rPr>
          <w:rFonts w:eastAsia="Arial Unicode MS"/>
          <w:noProof/>
        </w:rPr>
      </w:pPr>
      <w:r>
        <w:rPr>
          <w:rFonts w:eastAsia="Arial Unicode MS"/>
          <w:noProof/>
        </w:rPr>
        <w:t xml:space="preserve">To ensure consistency and compatibility of the Common Operational Procedures and the Linking Technical Standards with Annex II to the Agreement, these documents should be aligned accordingly. </w:t>
      </w:r>
    </w:p>
    <w:p w:rsidR="00EA5DAD" w:rsidRPr="00E34F04" w:rsidRDefault="00EA5DAD" w:rsidP="00736AA9">
      <w:pPr>
        <w:rPr>
          <w:rFonts w:eastAsia="Arial Unicode MS"/>
          <w:noProof/>
        </w:rPr>
      </w:pPr>
      <w:r w:rsidRPr="00E34F04">
        <w:rPr>
          <w:rFonts w:eastAsia="Arial Unicode MS"/>
          <w:noProof/>
        </w:rPr>
        <w:t>The envisaged act will become binding on the parties in accordance with Article</w:t>
      </w:r>
      <w:r w:rsidR="00C64C75">
        <w:rPr>
          <w:rFonts w:eastAsia="Arial Unicode MS"/>
          <w:noProof/>
        </w:rPr>
        <w:t xml:space="preserve"> 13(2) o</w:t>
      </w:r>
      <w:r w:rsidRPr="00E34F04">
        <w:rPr>
          <w:rFonts w:eastAsia="Arial Unicode MS"/>
          <w:noProof/>
        </w:rPr>
        <w:t>f the Agreement, which provides: ‘</w:t>
      </w:r>
      <w:r w:rsidR="00C64C75">
        <w:rPr>
          <w:rFonts w:eastAsia="Arial Unicode MS"/>
          <w:noProof/>
        </w:rPr>
        <w:t>The Joint Committee may decide to adopt a new Annex or to amend an existing Annex to this Agreement</w:t>
      </w:r>
      <w:r w:rsidRPr="00E34F04">
        <w:rPr>
          <w:rFonts w:eastAsia="Arial Unicode MS"/>
          <w:noProof/>
        </w:rPr>
        <w:t>’</w:t>
      </w:r>
      <w:r w:rsidR="00C64C75">
        <w:rPr>
          <w:rFonts w:eastAsia="Arial Unicode MS"/>
          <w:noProof/>
        </w:rPr>
        <w:t xml:space="preserve">. </w:t>
      </w:r>
      <w:r w:rsidR="00DA2AF9">
        <w:rPr>
          <w:rFonts w:eastAsia="Arial Unicode MS"/>
          <w:noProof/>
        </w:rPr>
        <w:t>Furthermore,</w:t>
      </w:r>
      <w:r w:rsidR="00C64C75">
        <w:rPr>
          <w:rFonts w:eastAsia="Arial Unicode MS"/>
          <w:noProof/>
        </w:rPr>
        <w:t xml:space="preserve"> and in accordance with Article 12(3) of the Agreement, decisions taken by the Joint Committee in the cases provided for in this Agreement will, upon their entry into force, be binding on the Parties</w:t>
      </w:r>
      <w:r w:rsidRPr="00E34F04">
        <w:rPr>
          <w:rFonts w:eastAsia="Arial Unicode MS"/>
          <w:noProof/>
        </w:rPr>
        <w:t xml:space="preserve">. </w:t>
      </w:r>
    </w:p>
    <w:p w:rsidR="00EA5DAD" w:rsidRPr="00E34F04" w:rsidRDefault="00EA5DAD" w:rsidP="00EA5DAD">
      <w:pPr>
        <w:pStyle w:val="ManualHeading1"/>
        <w:rPr>
          <w:rFonts w:eastAsia="Arial Unicode MS"/>
          <w:noProof/>
        </w:rPr>
      </w:pPr>
      <w:r>
        <w:rPr>
          <w:noProof/>
        </w:rPr>
        <w:t>3.</w:t>
      </w:r>
      <w:r>
        <w:rPr>
          <w:noProof/>
        </w:rPr>
        <w:tab/>
      </w:r>
      <w:r w:rsidRPr="00E34F04">
        <w:rPr>
          <w:rFonts w:eastAsia="Arial Unicode MS"/>
          <w:noProof/>
        </w:rPr>
        <w:t>Position to be taken on the Union's behalf</w:t>
      </w:r>
    </w:p>
    <w:p w:rsidR="00DA2AF9" w:rsidRPr="00ED7C1A" w:rsidRDefault="00DA2AF9" w:rsidP="00736AA9">
      <w:pPr>
        <w:rPr>
          <w:noProof/>
        </w:rPr>
      </w:pPr>
      <w:r w:rsidRPr="00ED7C1A">
        <w:rPr>
          <w:noProof/>
        </w:rPr>
        <w:t xml:space="preserve">The Council Decision based on this proposal from the Commission determines the position of the European Union on the Decision of the Joint Committee to be taken on amending Annex II to the Agreement as well as the Common Operational Procedures and the Linking Technical Standards. </w:t>
      </w:r>
    </w:p>
    <w:p w:rsidR="001B1503" w:rsidRPr="00ED7C1A" w:rsidRDefault="00DA2AF9" w:rsidP="00736AA9">
      <w:pPr>
        <w:rPr>
          <w:noProof/>
        </w:rPr>
      </w:pPr>
      <w:r w:rsidRPr="00ED7C1A">
        <w:rPr>
          <w:noProof/>
        </w:rPr>
        <w:t xml:space="preserve">The position of the European Union </w:t>
      </w:r>
      <w:r w:rsidR="001B1503" w:rsidRPr="00ED7C1A">
        <w:rPr>
          <w:noProof/>
        </w:rPr>
        <w:t xml:space="preserve">should reflect the evolution of the registry link between the EU ETS and the ETS of Switzerland that is developing into a permanent registry link that will be implemented not later than 2024. It will enable the functioning of the linked markets with respect to benefits from market liquidity and execution of transactions between the two linked systems in a manner that is equivalent to one market made up of two systems and which allows market participants to act as if they were in one market, subject only to individual regulatory provisions of the Parties. </w:t>
      </w:r>
    </w:p>
    <w:p w:rsidR="00DA2AF9" w:rsidRPr="00ED7C1A" w:rsidRDefault="001B1503" w:rsidP="00736AA9">
      <w:pPr>
        <w:rPr>
          <w:noProof/>
        </w:rPr>
      </w:pPr>
      <w:r w:rsidRPr="00ED7C1A">
        <w:rPr>
          <w:noProof/>
        </w:rPr>
        <w:t xml:space="preserve">The position of the European Union should also </w:t>
      </w:r>
      <w:r w:rsidR="00682FFD" w:rsidRPr="00ED7C1A">
        <w:rPr>
          <w:noProof/>
        </w:rPr>
        <w:t>streamline the provisions of Annex II to the Agreement in the light of the above developments and align the Common Operational Procedures and the Linking Technical Standards so as to reflect the evolution of the registry link.</w:t>
      </w:r>
    </w:p>
    <w:p w:rsidR="00682FFD" w:rsidRPr="00E34F04" w:rsidRDefault="00682FFD" w:rsidP="00682FFD">
      <w:pPr>
        <w:rPr>
          <w:rFonts w:eastAsia="Arial Unicode MS"/>
          <w:noProof/>
        </w:rPr>
      </w:pPr>
      <w:r w:rsidRPr="00DB0FC2">
        <w:rPr>
          <w:rFonts w:eastAsia="Arial Unicode MS"/>
          <w:noProof/>
        </w:rPr>
        <w:lastRenderedPageBreak/>
        <w:t>The development of a well-functioning international carbon market through bottom-up linking of emissions trading systems is a long</w:t>
      </w:r>
      <w:r>
        <w:rPr>
          <w:rFonts w:eastAsia="Arial Unicode MS"/>
          <w:noProof/>
        </w:rPr>
        <w:t>-</w:t>
      </w:r>
      <w:r w:rsidRPr="00DB0FC2">
        <w:rPr>
          <w:rFonts w:eastAsia="Arial Unicode MS"/>
          <w:noProof/>
        </w:rPr>
        <w:t>term policy goal of the EU and the international community, notably as a means to achieve the climate objectives of the Paris Agreement. In this respect, Article 25 of the Directive establishing the EU's Emissions Trading System (EU ETS) allows for the EU ETS to be linked with other emissions trading systems provided they are mandatory, have an absolute cap on emissions and are compatible, as it is the case with the Swiss system.</w:t>
      </w:r>
      <w:r>
        <w:rPr>
          <w:rFonts w:eastAsia="Arial Unicode MS"/>
          <w:noProof/>
        </w:rPr>
        <w:t xml:space="preserve"> Following the entry into force of the Agreement on 1 January 2020, restoring compatibility and consistency represents an important </w:t>
      </w:r>
      <w:r w:rsidR="00DC173C">
        <w:rPr>
          <w:rFonts w:eastAsia="Arial Unicode MS"/>
          <w:noProof/>
        </w:rPr>
        <w:t>element</w:t>
      </w:r>
      <w:r>
        <w:rPr>
          <w:rFonts w:eastAsia="Arial Unicode MS"/>
          <w:noProof/>
        </w:rPr>
        <w:t xml:space="preserve"> towards the implementation of the Agreement.</w:t>
      </w:r>
    </w:p>
    <w:p w:rsidR="00EA5DAD" w:rsidRPr="00E34F04" w:rsidRDefault="00EA5DAD" w:rsidP="00736AA9">
      <w:pPr>
        <w:pStyle w:val="ManualHeading1"/>
        <w:rPr>
          <w:noProof/>
        </w:rPr>
      </w:pPr>
      <w:r>
        <w:rPr>
          <w:noProof/>
        </w:rPr>
        <w:t>4.</w:t>
      </w:r>
      <w:r>
        <w:rPr>
          <w:noProof/>
        </w:rPr>
        <w:tab/>
      </w:r>
      <w:r w:rsidRPr="00E34F04">
        <w:rPr>
          <w:noProof/>
        </w:rPr>
        <w:t>Legal basis</w:t>
      </w:r>
    </w:p>
    <w:p w:rsidR="00EA5DAD" w:rsidRPr="00E34F04" w:rsidRDefault="00EA5DAD" w:rsidP="00736AA9">
      <w:pPr>
        <w:pStyle w:val="ManualHeading2"/>
        <w:rPr>
          <w:noProof/>
        </w:rPr>
      </w:pPr>
      <w:r>
        <w:rPr>
          <w:noProof/>
        </w:rPr>
        <w:t>4.1.</w:t>
      </w:r>
      <w:r>
        <w:rPr>
          <w:noProof/>
        </w:rPr>
        <w:tab/>
      </w:r>
      <w:r w:rsidRPr="00E34F04">
        <w:rPr>
          <w:noProof/>
        </w:rPr>
        <w:t>Procedural legal basis</w:t>
      </w:r>
    </w:p>
    <w:p w:rsidR="00EA5DAD" w:rsidRPr="00E34F04" w:rsidRDefault="00EA5DAD" w:rsidP="00ED7C1A">
      <w:pPr>
        <w:pStyle w:val="ManualHeading3"/>
        <w:rPr>
          <w:noProof/>
        </w:rPr>
      </w:pPr>
      <w:r>
        <w:rPr>
          <w:noProof/>
        </w:rPr>
        <w:t>4.1.1.</w:t>
      </w:r>
      <w:r>
        <w:rPr>
          <w:noProof/>
        </w:rPr>
        <w:tab/>
      </w:r>
      <w:r w:rsidRPr="00E34F04">
        <w:rPr>
          <w:noProof/>
        </w:rPr>
        <w:t>Principles</w:t>
      </w:r>
    </w:p>
    <w:p w:rsidR="00EA5DAD" w:rsidRPr="00E34F04" w:rsidRDefault="00EA5DAD" w:rsidP="00736AA9">
      <w:pPr>
        <w:rPr>
          <w:noProof/>
        </w:rPr>
      </w:pPr>
      <w:r w:rsidRPr="00E34F04">
        <w:rPr>
          <w:noProof/>
        </w:rPr>
        <w:t>Article 218(9) of the Treaty on the Functioning of the European Union (TFEU) provides for decisions establishing ‘</w:t>
      </w:r>
      <w:r w:rsidRPr="00E34F04">
        <w:rPr>
          <w:i/>
          <w:noProof/>
        </w:rPr>
        <w:t>the positions to be adopted on the Union’s behalf in a body set up by an agreement, when that body is called upon to adopt acts having legal effects, with the exception of acts supplementing or amending the institutional framework of the agreement</w:t>
      </w:r>
      <w:r w:rsidRPr="00E34F04">
        <w:rPr>
          <w:noProof/>
        </w:rPr>
        <w:t>.’</w:t>
      </w:r>
    </w:p>
    <w:p w:rsidR="00EA5DAD" w:rsidRPr="00E34F04" w:rsidRDefault="00EA5DAD" w:rsidP="00736AA9">
      <w:pPr>
        <w:rPr>
          <w:noProof/>
        </w:rPr>
      </w:pPr>
      <w:r w:rsidRPr="00E34F04">
        <w:rPr>
          <w:noProof/>
        </w:rPr>
        <w:t>The concept of ‘</w:t>
      </w:r>
      <w:r w:rsidRPr="00E34F04">
        <w:rPr>
          <w:i/>
          <w:noProof/>
        </w:rPr>
        <w:t>acts having legal effects</w:t>
      </w:r>
      <w:r w:rsidRPr="00E34F04">
        <w:rPr>
          <w:noProof/>
        </w:rPr>
        <w:t>’ includes acts that have legal effects by virtue of the rules of international law governing the body in question. It also includes instruments that do not have a binding effect under international law, but that are ‘</w:t>
      </w:r>
      <w:r w:rsidRPr="00E34F04">
        <w:rPr>
          <w:i/>
          <w:noProof/>
        </w:rPr>
        <w:t>capable of decisively influencing the content of the legislation adopted by the EU legislature</w:t>
      </w:r>
      <w:r w:rsidRPr="00E34F04">
        <w:rPr>
          <w:noProof/>
        </w:rPr>
        <w:t>’</w:t>
      </w:r>
      <w:r w:rsidRPr="00E34F04">
        <w:rPr>
          <w:rStyle w:val="FootnoteReference"/>
          <w:noProof/>
        </w:rPr>
        <w:footnoteReference w:id="9"/>
      </w:r>
      <w:r w:rsidRPr="00E34F04">
        <w:rPr>
          <w:noProof/>
        </w:rPr>
        <w:t>.</w:t>
      </w:r>
    </w:p>
    <w:p w:rsidR="00EA5DAD" w:rsidRPr="00E34F04" w:rsidRDefault="00EA5DAD" w:rsidP="00ED7C1A">
      <w:pPr>
        <w:pStyle w:val="ManualHeading3"/>
        <w:rPr>
          <w:noProof/>
        </w:rPr>
      </w:pPr>
      <w:r>
        <w:rPr>
          <w:noProof/>
        </w:rPr>
        <w:t>4.1.2.</w:t>
      </w:r>
      <w:r>
        <w:rPr>
          <w:noProof/>
        </w:rPr>
        <w:tab/>
      </w:r>
      <w:r w:rsidRPr="00E34F04">
        <w:rPr>
          <w:noProof/>
        </w:rPr>
        <w:t>Application to the present case</w:t>
      </w:r>
    </w:p>
    <w:p w:rsidR="00EA5DAD" w:rsidRPr="00E34F04" w:rsidRDefault="00EA5DAD" w:rsidP="00736AA9">
      <w:pPr>
        <w:rPr>
          <w:noProof/>
        </w:rPr>
      </w:pPr>
      <w:r w:rsidRPr="00E34F04">
        <w:rPr>
          <w:noProof/>
        </w:rPr>
        <w:t xml:space="preserve">The </w:t>
      </w:r>
      <w:r w:rsidR="00DC173C">
        <w:rPr>
          <w:noProof/>
        </w:rPr>
        <w:t>Joint Committee</w:t>
      </w:r>
      <w:r w:rsidRPr="00E34F04">
        <w:rPr>
          <w:noProof/>
        </w:rPr>
        <w:t xml:space="preserve"> is a body set up by an agreement, namely the </w:t>
      </w:r>
      <w:r w:rsidR="00DC173C">
        <w:rPr>
          <w:noProof/>
        </w:rPr>
        <w:t>Agreement between the European Union and the Swiss Confederation on the linking of their greenhouse gas emissions trading systems</w:t>
      </w:r>
      <w:r w:rsidRPr="00E34F04">
        <w:rPr>
          <w:noProof/>
        </w:rPr>
        <w:t>.</w:t>
      </w:r>
    </w:p>
    <w:p w:rsidR="00EA5DAD" w:rsidRPr="00E34F04" w:rsidRDefault="00EA5DAD" w:rsidP="00736AA9">
      <w:pPr>
        <w:rPr>
          <w:noProof/>
        </w:rPr>
      </w:pPr>
      <w:r w:rsidRPr="00E34F04">
        <w:rPr>
          <w:noProof/>
        </w:rPr>
        <w:t xml:space="preserve">The act which the </w:t>
      </w:r>
      <w:r w:rsidR="00DC173C">
        <w:rPr>
          <w:noProof/>
        </w:rPr>
        <w:t>Joint Committee</w:t>
      </w:r>
      <w:r w:rsidRPr="00E34F04">
        <w:rPr>
          <w:noProof/>
        </w:rPr>
        <w:t xml:space="preserve"> is called upon to adopt constitutes an act having legal effects. The envisaged act will be binding under international law in accordance with Article </w:t>
      </w:r>
      <w:r w:rsidR="00DC173C">
        <w:rPr>
          <w:noProof/>
        </w:rPr>
        <w:t xml:space="preserve">12(3) </w:t>
      </w:r>
      <w:r w:rsidRPr="00E34F04">
        <w:rPr>
          <w:noProof/>
        </w:rPr>
        <w:t xml:space="preserve">of the </w:t>
      </w:r>
      <w:r w:rsidR="00DC173C">
        <w:rPr>
          <w:noProof/>
        </w:rPr>
        <w:t>Agreement between the European Union and the Swiss Confederation on the linking of their greenhouse gas emissions trading systems</w:t>
      </w:r>
      <w:r w:rsidRPr="00E34F04">
        <w:rPr>
          <w:noProof/>
        </w:rPr>
        <w:t xml:space="preserve">. </w:t>
      </w:r>
    </w:p>
    <w:p w:rsidR="00EA5DAD" w:rsidRPr="00E34F04" w:rsidRDefault="00EA5DAD" w:rsidP="00736AA9">
      <w:pPr>
        <w:rPr>
          <w:noProof/>
        </w:rPr>
      </w:pPr>
      <w:r w:rsidRPr="00E34F04">
        <w:rPr>
          <w:noProof/>
        </w:rPr>
        <w:t>The envisaged act does not supplement or amend the institutional framework of the Agreement.</w:t>
      </w:r>
    </w:p>
    <w:p w:rsidR="00EA5DAD" w:rsidRPr="00E34F04" w:rsidRDefault="00EA5DAD" w:rsidP="00736AA9">
      <w:pPr>
        <w:rPr>
          <w:noProof/>
        </w:rPr>
      </w:pPr>
      <w:r w:rsidRPr="00E34F04">
        <w:rPr>
          <w:noProof/>
        </w:rPr>
        <w:t>Therefore, the procedural legal basis for the proposed decision is Article 218(9) TFEU.</w:t>
      </w:r>
    </w:p>
    <w:p w:rsidR="00EA5DAD" w:rsidRPr="00E34F04" w:rsidRDefault="00EA5DAD" w:rsidP="00736AA9">
      <w:pPr>
        <w:pStyle w:val="ManualHeading2"/>
        <w:rPr>
          <w:noProof/>
        </w:rPr>
      </w:pPr>
      <w:r>
        <w:rPr>
          <w:noProof/>
        </w:rPr>
        <w:t>4.2.</w:t>
      </w:r>
      <w:r>
        <w:rPr>
          <w:noProof/>
        </w:rPr>
        <w:tab/>
      </w:r>
      <w:r w:rsidRPr="00E34F04">
        <w:rPr>
          <w:noProof/>
        </w:rPr>
        <w:t>Substantive legal basis</w:t>
      </w:r>
    </w:p>
    <w:p w:rsidR="00EA5DAD" w:rsidRPr="00E34F04" w:rsidRDefault="00EA5DAD" w:rsidP="00ED7C1A">
      <w:pPr>
        <w:pStyle w:val="ManualHeading3"/>
        <w:rPr>
          <w:noProof/>
        </w:rPr>
      </w:pPr>
      <w:r>
        <w:rPr>
          <w:noProof/>
        </w:rPr>
        <w:t>4.2.1.</w:t>
      </w:r>
      <w:r>
        <w:rPr>
          <w:noProof/>
        </w:rPr>
        <w:tab/>
      </w:r>
      <w:r w:rsidRPr="00E34F04">
        <w:rPr>
          <w:noProof/>
        </w:rPr>
        <w:t>Principles</w:t>
      </w:r>
    </w:p>
    <w:p w:rsidR="00EA5DAD" w:rsidRPr="00E34F04" w:rsidRDefault="00EA5DAD" w:rsidP="00736AA9">
      <w:pPr>
        <w:rPr>
          <w:noProof/>
        </w:rPr>
      </w:pPr>
      <w:r w:rsidRPr="00E34F04">
        <w:rPr>
          <w:noProof/>
        </w:rPr>
        <w:t>The substantive legal basis for a decision under Article 218(9) TFEU depends primarily on the objective and content of the envisaged act in respect of which a position is taken on the Union's behalf.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rsidR="00EA5DAD" w:rsidRPr="00E34F04" w:rsidRDefault="00EA5DAD" w:rsidP="00ED7C1A">
      <w:pPr>
        <w:pStyle w:val="ManualHeading3"/>
        <w:rPr>
          <w:noProof/>
        </w:rPr>
      </w:pPr>
      <w:r>
        <w:rPr>
          <w:noProof/>
        </w:rPr>
        <w:lastRenderedPageBreak/>
        <w:t>4.2.2.</w:t>
      </w:r>
      <w:r>
        <w:rPr>
          <w:noProof/>
        </w:rPr>
        <w:tab/>
      </w:r>
      <w:r w:rsidRPr="00E34F04">
        <w:rPr>
          <w:noProof/>
        </w:rPr>
        <w:t>Application to the present case</w:t>
      </w:r>
    </w:p>
    <w:p w:rsidR="00EA5DAD" w:rsidRPr="00E34F04" w:rsidRDefault="00EA5DAD" w:rsidP="00736AA9">
      <w:pPr>
        <w:rPr>
          <w:noProof/>
        </w:rPr>
      </w:pPr>
      <w:r w:rsidRPr="00E34F04">
        <w:rPr>
          <w:noProof/>
        </w:rPr>
        <w:t xml:space="preserve">The main objective and content of the envisaged act relate to </w:t>
      </w:r>
      <w:r w:rsidR="001F0164">
        <w:rPr>
          <w:noProof/>
        </w:rPr>
        <w:t>environment</w:t>
      </w:r>
      <w:r w:rsidRPr="00E34F04">
        <w:rPr>
          <w:noProof/>
        </w:rPr>
        <w:t>.</w:t>
      </w:r>
    </w:p>
    <w:p w:rsidR="00EA5DAD" w:rsidRPr="00E34F04" w:rsidRDefault="00EA5DAD" w:rsidP="00736AA9">
      <w:pPr>
        <w:rPr>
          <w:noProof/>
        </w:rPr>
      </w:pPr>
      <w:r w:rsidRPr="00E34F04">
        <w:rPr>
          <w:noProof/>
        </w:rPr>
        <w:t>Therefore, the substantive legal basis of the proposed decision is</w:t>
      </w:r>
      <w:r w:rsidR="001F0164">
        <w:rPr>
          <w:noProof/>
        </w:rPr>
        <w:t xml:space="preserve"> Article 192(1) TFEU.</w:t>
      </w:r>
    </w:p>
    <w:p w:rsidR="00EA5DAD" w:rsidRPr="00E34F04" w:rsidRDefault="00EA5DAD" w:rsidP="00736AA9">
      <w:pPr>
        <w:pStyle w:val="ManualHeading2"/>
        <w:rPr>
          <w:noProof/>
        </w:rPr>
      </w:pPr>
      <w:r>
        <w:rPr>
          <w:noProof/>
        </w:rPr>
        <w:t>4.3.</w:t>
      </w:r>
      <w:r>
        <w:rPr>
          <w:noProof/>
        </w:rPr>
        <w:tab/>
      </w:r>
      <w:r w:rsidRPr="00E34F04">
        <w:rPr>
          <w:noProof/>
        </w:rPr>
        <w:t>Conclusion</w:t>
      </w:r>
    </w:p>
    <w:p w:rsidR="00EA5DAD" w:rsidRPr="00E34F04" w:rsidRDefault="00EA5DAD" w:rsidP="00736AA9">
      <w:pPr>
        <w:rPr>
          <w:noProof/>
        </w:rPr>
      </w:pPr>
      <w:r w:rsidRPr="00E34F04">
        <w:rPr>
          <w:noProof/>
        </w:rPr>
        <w:t xml:space="preserve">The legal basis of the proposed decision should be </w:t>
      </w:r>
      <w:r w:rsidR="001F0164">
        <w:rPr>
          <w:noProof/>
        </w:rPr>
        <w:t>Article 192(1) TFEU</w:t>
      </w:r>
      <w:r w:rsidRPr="00E34F04">
        <w:rPr>
          <w:noProof/>
        </w:rPr>
        <w:t>, in conjunction with Article 218(9) TFEU.</w:t>
      </w:r>
    </w:p>
    <w:p w:rsidR="00EA5DAD" w:rsidRPr="00E34F04" w:rsidRDefault="00EA5DAD" w:rsidP="00736AA9">
      <w:pPr>
        <w:pStyle w:val="ManualHeading1"/>
        <w:rPr>
          <w:noProof/>
        </w:rPr>
      </w:pPr>
      <w:r>
        <w:rPr>
          <w:noProof/>
        </w:rPr>
        <w:t>5.</w:t>
      </w:r>
      <w:r>
        <w:rPr>
          <w:noProof/>
        </w:rPr>
        <w:tab/>
      </w:r>
      <w:r w:rsidRPr="00E34F04">
        <w:rPr>
          <w:noProof/>
        </w:rPr>
        <w:t>Publication of the envisaged act</w:t>
      </w:r>
    </w:p>
    <w:p w:rsidR="00EA5DAD" w:rsidRDefault="00EA5DAD" w:rsidP="00736AA9">
      <w:pPr>
        <w:rPr>
          <w:noProof/>
        </w:rPr>
      </w:pPr>
      <w:r w:rsidRPr="00E34F04">
        <w:rPr>
          <w:noProof/>
        </w:rPr>
        <w:t xml:space="preserve">As the act of the </w:t>
      </w:r>
      <w:r w:rsidR="001F0164">
        <w:rPr>
          <w:noProof/>
        </w:rPr>
        <w:t>Joint Committee</w:t>
      </w:r>
      <w:r w:rsidRPr="00E34F04">
        <w:rPr>
          <w:noProof/>
        </w:rPr>
        <w:t xml:space="preserve"> will amend</w:t>
      </w:r>
      <w:r w:rsidR="001F0164">
        <w:rPr>
          <w:noProof/>
        </w:rPr>
        <w:t xml:space="preserve"> Annex II to the Agreement between </w:t>
      </w:r>
      <w:r w:rsidR="001F0164">
        <w:rPr>
          <w:noProof/>
          <w:sz w:val="23"/>
          <w:szCs w:val="23"/>
        </w:rPr>
        <w:t>the European Union and the Swiss Confederation on the linking of their greenhouse gas emissions trading systems</w:t>
      </w:r>
      <w:r w:rsidRPr="00E34F04">
        <w:rPr>
          <w:noProof/>
        </w:rPr>
        <w:t xml:space="preserve">, it is appropriate to publish it in the </w:t>
      </w:r>
      <w:r w:rsidRPr="00E34F04">
        <w:rPr>
          <w:i/>
          <w:noProof/>
        </w:rPr>
        <w:t xml:space="preserve">Official Journal of the European Union </w:t>
      </w:r>
      <w:r w:rsidRPr="00E34F04">
        <w:rPr>
          <w:noProof/>
        </w:rPr>
        <w:t>after its adoption.</w:t>
      </w:r>
    </w:p>
    <w:p w:rsidR="00EA5DAD" w:rsidRPr="00FD40BA" w:rsidRDefault="00EA5DAD" w:rsidP="00FD40BA">
      <w:pPr>
        <w:rPr>
          <w:noProof/>
        </w:rPr>
        <w:sectPr w:rsidR="00EA5DAD" w:rsidRPr="00FD40BA" w:rsidSect="001B4A1A">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0B4D1B" w:rsidRDefault="00663427">
      <w:pPr>
        <w:pStyle w:val="Rfrenceinterinstitutionnelle"/>
        <w:rPr>
          <w:noProof/>
        </w:rPr>
      </w:pPr>
      <w:r>
        <w:rPr>
          <w:noProof/>
        </w:rPr>
        <w:lastRenderedPageBreak/>
        <w:t>2024/0067 (NLE)</w:t>
      </w:r>
    </w:p>
    <w:p w:rsidR="00EA5DAD" w:rsidRPr="00E34F04" w:rsidRDefault="00CD7BCA" w:rsidP="00CD7BCA">
      <w:pPr>
        <w:pStyle w:val="Statut"/>
        <w:rPr>
          <w:noProof/>
        </w:rPr>
      </w:pPr>
      <w:r w:rsidRPr="00CD7BCA">
        <w:rPr>
          <w:noProof/>
        </w:rPr>
        <w:t>Proposal for a</w:t>
      </w:r>
    </w:p>
    <w:p w:rsidR="00EA5DAD" w:rsidRPr="00E34F04" w:rsidRDefault="00CD7BCA" w:rsidP="00CD7BCA">
      <w:pPr>
        <w:pStyle w:val="Typedudocument"/>
        <w:rPr>
          <w:noProof/>
        </w:rPr>
      </w:pPr>
      <w:r w:rsidRPr="00CD7BCA">
        <w:rPr>
          <w:noProof/>
        </w:rPr>
        <w:t>COUNCIL DECISION</w:t>
      </w:r>
    </w:p>
    <w:p w:rsidR="00EA5DAD" w:rsidRPr="00E34F04" w:rsidRDefault="00CD7BCA" w:rsidP="00CD7BCA">
      <w:pPr>
        <w:pStyle w:val="Titreobjet"/>
        <w:rPr>
          <w:noProof/>
        </w:rPr>
      </w:pPr>
      <w:r w:rsidRPr="00CD7BCA">
        <w:rPr>
          <w:noProof/>
        </w:rPr>
        <w:t>on the position to be taken on behalf of the European Union in the Joint Committee established by the Agreement between the European Union and the Swiss Confederation on the linking of their greenhouse gas emissions trading systems as regards amending Annex II to the Agreement, the Common Operational Procedures and the Linking Technical Standards</w:t>
      </w:r>
    </w:p>
    <w:p w:rsidR="00EA5DAD" w:rsidRPr="00EA5DAD" w:rsidRDefault="00CD7BCA" w:rsidP="00CD7BCA">
      <w:pPr>
        <w:pStyle w:val="IntrtEEE"/>
        <w:rPr>
          <w:noProof/>
        </w:rPr>
      </w:pPr>
      <w:r w:rsidRPr="00CD7BCA">
        <w:rPr>
          <w:noProof/>
        </w:rPr>
        <w:t>(Text with EEA relevance)</w:t>
      </w:r>
    </w:p>
    <w:p w:rsidR="00EA5DAD" w:rsidRPr="00AD2A67" w:rsidRDefault="00EA5DAD" w:rsidP="00BE7CB9">
      <w:pPr>
        <w:pStyle w:val="Institutionquiagit"/>
        <w:rPr>
          <w:noProof/>
        </w:rPr>
      </w:pPr>
      <w:r w:rsidRPr="00AD2A67">
        <w:rPr>
          <w:noProof/>
        </w:rPr>
        <w:t>THE COUNCIL OF THE EUROPEAN UNION,</w:t>
      </w:r>
    </w:p>
    <w:p w:rsidR="00EA5DAD" w:rsidRPr="00E34F04" w:rsidRDefault="00EA5DAD" w:rsidP="00BE7CB9">
      <w:pPr>
        <w:rPr>
          <w:noProof/>
        </w:rPr>
      </w:pPr>
      <w:r w:rsidRPr="00E34F04">
        <w:rPr>
          <w:noProof/>
        </w:rPr>
        <w:t>Having regard to the Treaty on the Functioning of the European Union, and in particular Article</w:t>
      </w:r>
      <w:r w:rsidR="00987ED7">
        <w:rPr>
          <w:noProof/>
        </w:rPr>
        <w:t xml:space="preserve"> 192(1)</w:t>
      </w:r>
      <w:r w:rsidRPr="00E34F04">
        <w:rPr>
          <w:noProof/>
        </w:rPr>
        <w:t>, in conjunction with Article 218(9) thereof,</w:t>
      </w:r>
    </w:p>
    <w:p w:rsidR="00EA5DAD" w:rsidRPr="00E34F04" w:rsidRDefault="00EA5DAD" w:rsidP="00BE7CB9">
      <w:pPr>
        <w:rPr>
          <w:noProof/>
        </w:rPr>
      </w:pPr>
      <w:r w:rsidRPr="00E34F04">
        <w:rPr>
          <w:noProof/>
        </w:rPr>
        <w:t>Having regard to the proposal from the European Commission,</w:t>
      </w:r>
    </w:p>
    <w:p w:rsidR="00EA5DAD" w:rsidRPr="00E34F04" w:rsidRDefault="00EA5DAD" w:rsidP="00BE7CB9">
      <w:pPr>
        <w:rPr>
          <w:noProof/>
        </w:rPr>
      </w:pPr>
      <w:r w:rsidRPr="00E34F04">
        <w:rPr>
          <w:noProof/>
        </w:rPr>
        <w:t>Whereas:</w:t>
      </w:r>
    </w:p>
    <w:p w:rsidR="00987ED7" w:rsidRDefault="00987ED7" w:rsidP="002B4C16">
      <w:pPr>
        <w:pStyle w:val="ManualConsidrant"/>
        <w:rPr>
          <w:noProof/>
        </w:rPr>
      </w:pPr>
      <w:r>
        <w:rPr>
          <w:noProof/>
        </w:rPr>
        <w:t>(1)</w:t>
      </w:r>
      <w:r>
        <w:rPr>
          <w:noProof/>
        </w:rPr>
        <w:tab/>
      </w:r>
      <w:r w:rsidRPr="00ED7C1A">
        <w:rPr>
          <w:noProof/>
        </w:rPr>
        <w:t>The Agreement between the European Union and the Swiss Confederation on the linking of their greenhouse gas emissions trading systems</w:t>
      </w:r>
      <w:r>
        <w:rPr>
          <w:rStyle w:val="FootnoteReference"/>
          <w:noProof/>
        </w:rPr>
        <w:footnoteReference w:id="10"/>
      </w:r>
      <w:r w:rsidRPr="00ED7C1A">
        <w:rPr>
          <w:noProof/>
        </w:rPr>
        <w:t xml:space="preserve"> </w:t>
      </w:r>
      <w:r w:rsidR="00EA5DAD" w:rsidRPr="00E34F04">
        <w:rPr>
          <w:noProof/>
        </w:rPr>
        <w:t xml:space="preserve">(‘the Agreement’) was </w:t>
      </w:r>
      <w:r>
        <w:rPr>
          <w:noProof/>
        </w:rPr>
        <w:t>signed on 23 November 2017 in accordance with Council Decision (EU) 2017/2240</w:t>
      </w:r>
      <w:r>
        <w:rPr>
          <w:rStyle w:val="FootnoteReference"/>
          <w:noProof/>
        </w:rPr>
        <w:footnoteReference w:id="11"/>
      </w:r>
      <w:r>
        <w:rPr>
          <w:noProof/>
        </w:rPr>
        <w:t xml:space="preserve">. </w:t>
      </w:r>
    </w:p>
    <w:p w:rsidR="00EA5DAD" w:rsidRPr="00E34F04" w:rsidRDefault="00987ED7" w:rsidP="00BE7CB9">
      <w:pPr>
        <w:pStyle w:val="ManualConsidrant"/>
        <w:rPr>
          <w:noProof/>
        </w:rPr>
      </w:pPr>
      <w:r>
        <w:rPr>
          <w:noProof/>
        </w:rPr>
        <w:t>(2)</w:t>
      </w:r>
      <w:r>
        <w:rPr>
          <w:noProof/>
        </w:rPr>
        <w:tab/>
        <w:t xml:space="preserve">The Agreement was </w:t>
      </w:r>
      <w:r w:rsidR="00EA5DAD" w:rsidRPr="00E34F04">
        <w:rPr>
          <w:noProof/>
        </w:rPr>
        <w:t>concluded by Council Decision</w:t>
      </w:r>
      <w:r>
        <w:rPr>
          <w:noProof/>
        </w:rPr>
        <w:t xml:space="preserve"> 2018/219</w:t>
      </w:r>
      <w:r w:rsidR="00EA5DAD" w:rsidRPr="00E34F04">
        <w:rPr>
          <w:rStyle w:val="FootnoteReference"/>
          <w:noProof/>
        </w:rPr>
        <w:footnoteReference w:id="12"/>
      </w:r>
      <w:r w:rsidR="00EA5DAD" w:rsidRPr="00E34F04">
        <w:rPr>
          <w:noProof/>
        </w:rPr>
        <w:t xml:space="preserve"> and entered into force on</w:t>
      </w:r>
      <w:r>
        <w:rPr>
          <w:noProof/>
        </w:rPr>
        <w:t xml:space="preserve"> 1 January 2020</w:t>
      </w:r>
      <w:r w:rsidR="00EA5DAD" w:rsidRPr="00E34F04">
        <w:rPr>
          <w:noProof/>
        </w:rPr>
        <w:t xml:space="preserve">. </w:t>
      </w:r>
    </w:p>
    <w:p w:rsidR="00EA5DAD" w:rsidRPr="00ED7C1A" w:rsidRDefault="00EA5DAD" w:rsidP="00EA5DAD">
      <w:pPr>
        <w:pStyle w:val="ManualConsidrant"/>
        <w:rPr>
          <w:noProof/>
        </w:rPr>
      </w:pPr>
      <w:r>
        <w:rPr>
          <w:noProof/>
        </w:rPr>
        <w:t>(3)</w:t>
      </w:r>
      <w:r>
        <w:rPr>
          <w:noProof/>
        </w:rPr>
        <w:tab/>
      </w:r>
      <w:r w:rsidRPr="00E34F04">
        <w:rPr>
          <w:noProof/>
        </w:rPr>
        <w:t>Pursuant to Article</w:t>
      </w:r>
      <w:r w:rsidR="00987ED7">
        <w:rPr>
          <w:noProof/>
        </w:rPr>
        <w:t xml:space="preserve"> 12(3)</w:t>
      </w:r>
      <w:r w:rsidRPr="00E34F04">
        <w:rPr>
          <w:noProof/>
        </w:rPr>
        <w:t xml:space="preserve"> of the Agreement, the</w:t>
      </w:r>
      <w:r w:rsidR="00987ED7">
        <w:rPr>
          <w:noProof/>
        </w:rPr>
        <w:t xml:space="preserve"> Joint Committee</w:t>
      </w:r>
      <w:r w:rsidRPr="00E34F04">
        <w:rPr>
          <w:noProof/>
        </w:rPr>
        <w:t xml:space="preserve"> may adopt </w:t>
      </w:r>
      <w:r w:rsidR="005B7A4D">
        <w:rPr>
          <w:noProof/>
        </w:rPr>
        <w:t xml:space="preserve">decisions that </w:t>
      </w:r>
      <w:r w:rsidR="00824F5F">
        <w:rPr>
          <w:noProof/>
        </w:rPr>
        <w:t>shall</w:t>
      </w:r>
      <w:r w:rsidR="005B7A4D" w:rsidRPr="00F8383B">
        <w:rPr>
          <w:noProof/>
        </w:rPr>
        <w:t>, upon their entry into force, be</w:t>
      </w:r>
      <w:r w:rsidR="005B7A4D">
        <w:rPr>
          <w:noProof/>
        </w:rPr>
        <w:t xml:space="preserve"> binding on the Parties</w:t>
      </w:r>
      <w:r w:rsidRPr="00E34F04">
        <w:rPr>
          <w:noProof/>
        </w:rPr>
        <w:t>.</w:t>
      </w:r>
    </w:p>
    <w:p w:rsidR="005B7A4D" w:rsidRDefault="005B7A4D" w:rsidP="00EA5DAD">
      <w:pPr>
        <w:pStyle w:val="ManualConsidrant"/>
        <w:rPr>
          <w:noProof/>
        </w:rPr>
      </w:pPr>
      <w:r>
        <w:rPr>
          <w:noProof/>
        </w:rPr>
        <w:t>(4)</w:t>
      </w:r>
      <w:r>
        <w:rPr>
          <w:noProof/>
        </w:rPr>
        <w:tab/>
        <w:t xml:space="preserve">Article 13(2) of the Agreement provides that the Joint Committee may amend the Annexes to the Agreement. </w:t>
      </w:r>
    </w:p>
    <w:p w:rsidR="005B7A4D" w:rsidRDefault="005B7A4D" w:rsidP="00EA5DAD">
      <w:pPr>
        <w:pStyle w:val="ManualConsidrant"/>
        <w:rPr>
          <w:noProof/>
        </w:rPr>
      </w:pPr>
      <w:r>
        <w:rPr>
          <w:noProof/>
        </w:rPr>
        <w:t>(5)</w:t>
      </w:r>
      <w:r>
        <w:rPr>
          <w:noProof/>
        </w:rPr>
        <w:tab/>
        <w:t>Articles 3(6) and (7) provide that the Common Operational Procedures and the Linking Technical Standards should take effect when adopted by decision of the Joint Committee. By Decision No 1/2020</w:t>
      </w:r>
      <w:r>
        <w:rPr>
          <w:rStyle w:val="FootnoteReference"/>
          <w:noProof/>
        </w:rPr>
        <w:footnoteReference w:id="13"/>
      </w:r>
      <w:r>
        <w:rPr>
          <w:noProof/>
        </w:rPr>
        <w:t xml:space="preserve"> and 2/2020</w:t>
      </w:r>
      <w:r>
        <w:rPr>
          <w:rStyle w:val="FootnoteReference"/>
          <w:noProof/>
        </w:rPr>
        <w:footnoteReference w:id="14"/>
      </w:r>
      <w:r>
        <w:rPr>
          <w:noProof/>
        </w:rPr>
        <w:t>, the Joint Committee adopted the Common Operational Procedures and the Linking Technical Standards.</w:t>
      </w:r>
    </w:p>
    <w:p w:rsidR="00CE7B6D" w:rsidRPr="005B7A4D" w:rsidRDefault="00CE7B6D" w:rsidP="00EA5DAD">
      <w:pPr>
        <w:pStyle w:val="ManualConsidrant"/>
        <w:rPr>
          <w:noProof/>
        </w:rPr>
      </w:pPr>
      <w:r>
        <w:rPr>
          <w:noProof/>
        </w:rPr>
        <w:t>(6)</w:t>
      </w:r>
      <w:r>
        <w:rPr>
          <w:noProof/>
        </w:rPr>
        <w:tab/>
        <w:t xml:space="preserve">It is appropriate to amend Annex II to the Agreement to reflect the </w:t>
      </w:r>
      <w:r w:rsidRPr="00ED7C1A">
        <w:rPr>
          <w:noProof/>
        </w:rPr>
        <w:t>evolution of the registry link between the EU E</w:t>
      </w:r>
      <w:r w:rsidR="00554CFF" w:rsidRPr="00ED7C1A">
        <w:rPr>
          <w:noProof/>
        </w:rPr>
        <w:t xml:space="preserve">mission Trading </w:t>
      </w:r>
      <w:r w:rsidRPr="00ED7C1A">
        <w:rPr>
          <w:noProof/>
        </w:rPr>
        <w:t>S</w:t>
      </w:r>
      <w:r w:rsidR="00554CFF" w:rsidRPr="00ED7C1A">
        <w:rPr>
          <w:noProof/>
        </w:rPr>
        <w:t>ystem</w:t>
      </w:r>
      <w:r w:rsidRPr="00ED7C1A">
        <w:rPr>
          <w:noProof/>
        </w:rPr>
        <w:t xml:space="preserve"> and the E</w:t>
      </w:r>
      <w:r w:rsidR="00554CFF" w:rsidRPr="00ED7C1A">
        <w:rPr>
          <w:noProof/>
        </w:rPr>
        <w:t xml:space="preserve">mission </w:t>
      </w:r>
      <w:r w:rsidRPr="00ED7C1A">
        <w:rPr>
          <w:noProof/>
        </w:rPr>
        <w:t>T</w:t>
      </w:r>
      <w:r w:rsidR="00554CFF" w:rsidRPr="00ED7C1A">
        <w:rPr>
          <w:noProof/>
        </w:rPr>
        <w:t xml:space="preserve">rading </w:t>
      </w:r>
      <w:r w:rsidRPr="00ED7C1A">
        <w:rPr>
          <w:noProof/>
        </w:rPr>
        <w:t>S</w:t>
      </w:r>
      <w:r w:rsidR="00554CFF" w:rsidRPr="00ED7C1A">
        <w:rPr>
          <w:noProof/>
        </w:rPr>
        <w:t>ystem</w:t>
      </w:r>
      <w:r w:rsidRPr="00ED7C1A">
        <w:rPr>
          <w:noProof/>
        </w:rPr>
        <w:t xml:space="preserve"> of Switzerland and to</w:t>
      </w:r>
      <w:r>
        <w:rPr>
          <w:noProof/>
        </w:rPr>
        <w:t xml:space="preserve"> </w:t>
      </w:r>
      <w:r w:rsidR="00554CFF">
        <w:rPr>
          <w:noProof/>
        </w:rPr>
        <w:t xml:space="preserve">streamline the provisions of Annex II in the light of technological developments. </w:t>
      </w:r>
      <w:r w:rsidR="00875CCF">
        <w:rPr>
          <w:noProof/>
        </w:rPr>
        <w:t>To ensure c</w:t>
      </w:r>
      <w:r>
        <w:rPr>
          <w:noProof/>
        </w:rPr>
        <w:t xml:space="preserve">onsistency of the Common Operational </w:t>
      </w:r>
      <w:r>
        <w:rPr>
          <w:noProof/>
        </w:rPr>
        <w:lastRenderedPageBreak/>
        <w:t>Procedures and the Linking Technical Standards</w:t>
      </w:r>
      <w:r w:rsidR="00554CFF">
        <w:rPr>
          <w:noProof/>
        </w:rPr>
        <w:t xml:space="preserve"> </w:t>
      </w:r>
      <w:r w:rsidR="00875CCF">
        <w:rPr>
          <w:noProof/>
        </w:rPr>
        <w:t xml:space="preserve">with Annex II, those documents </w:t>
      </w:r>
      <w:r w:rsidR="00554CFF">
        <w:rPr>
          <w:noProof/>
        </w:rPr>
        <w:t xml:space="preserve">should also be </w:t>
      </w:r>
      <w:r w:rsidR="00875CCF">
        <w:rPr>
          <w:noProof/>
        </w:rPr>
        <w:t>amended</w:t>
      </w:r>
      <w:r>
        <w:rPr>
          <w:noProof/>
        </w:rPr>
        <w:t>.</w:t>
      </w:r>
    </w:p>
    <w:p w:rsidR="00EA5DAD" w:rsidRPr="008814A0" w:rsidRDefault="00EA5DAD" w:rsidP="00EA5DAD">
      <w:pPr>
        <w:pStyle w:val="ManualConsidrant"/>
        <w:rPr>
          <w:noProof/>
        </w:rPr>
      </w:pPr>
      <w:r>
        <w:rPr>
          <w:noProof/>
        </w:rPr>
        <w:t>(7)</w:t>
      </w:r>
      <w:r>
        <w:rPr>
          <w:noProof/>
        </w:rPr>
        <w:tab/>
      </w:r>
      <w:r w:rsidRPr="00E34F04">
        <w:rPr>
          <w:noProof/>
        </w:rPr>
        <w:t>The</w:t>
      </w:r>
      <w:r w:rsidR="00CE7B6D">
        <w:rPr>
          <w:noProof/>
        </w:rPr>
        <w:t xml:space="preserve"> Joint Committee, </w:t>
      </w:r>
      <w:r w:rsidR="00F04E81">
        <w:rPr>
          <w:noProof/>
        </w:rPr>
        <w:t xml:space="preserve">in </w:t>
      </w:r>
      <w:r w:rsidRPr="00E34F04">
        <w:rPr>
          <w:noProof/>
        </w:rPr>
        <w:t>its</w:t>
      </w:r>
      <w:r w:rsidR="00CE7B6D">
        <w:rPr>
          <w:noProof/>
        </w:rPr>
        <w:t xml:space="preserve"> seventh </w:t>
      </w:r>
      <w:r w:rsidRPr="00E34F04">
        <w:rPr>
          <w:noProof/>
        </w:rPr>
        <w:t>meeting</w:t>
      </w:r>
      <w:r w:rsidR="00C949BE">
        <w:rPr>
          <w:noProof/>
        </w:rPr>
        <w:t>, or earlier by means of the written procedure pursuant to Article 8(4) of the Rules of Procedure of the Joint Committee</w:t>
      </w:r>
      <w:r w:rsidR="00C949BE">
        <w:rPr>
          <w:rStyle w:val="FootnoteReference"/>
          <w:noProof/>
        </w:rPr>
        <w:footnoteReference w:id="15"/>
      </w:r>
      <w:r w:rsidRPr="00E34F04">
        <w:rPr>
          <w:noProof/>
        </w:rPr>
        <w:t>, is to adopt</w:t>
      </w:r>
      <w:r w:rsidR="00C949BE">
        <w:rPr>
          <w:noProof/>
        </w:rPr>
        <w:t xml:space="preserve"> a Decision</w:t>
      </w:r>
      <w:r w:rsidRPr="00E34F04">
        <w:rPr>
          <w:i/>
          <w:noProof/>
        </w:rPr>
        <w:t xml:space="preserve"> </w:t>
      </w:r>
      <w:r w:rsidR="00C949BE" w:rsidRPr="00C949BE">
        <w:rPr>
          <w:noProof/>
        </w:rPr>
        <w:t>amending Annex II to the Agreement, the Common Operational Procedures and the Linking Technical Standards</w:t>
      </w:r>
      <w:r w:rsidRPr="008814A0">
        <w:rPr>
          <w:noProof/>
        </w:rPr>
        <w:t>.</w:t>
      </w:r>
    </w:p>
    <w:p w:rsidR="00EA5DAD" w:rsidRPr="00E34F04" w:rsidRDefault="00EA5DAD" w:rsidP="00EA5DAD">
      <w:pPr>
        <w:pStyle w:val="ManualConsidrant"/>
        <w:rPr>
          <w:noProof/>
        </w:rPr>
      </w:pPr>
      <w:r>
        <w:rPr>
          <w:noProof/>
        </w:rPr>
        <w:t>(8)</w:t>
      </w:r>
      <w:r>
        <w:rPr>
          <w:noProof/>
        </w:rPr>
        <w:tab/>
      </w:r>
      <w:r w:rsidRPr="00E34F04">
        <w:rPr>
          <w:noProof/>
        </w:rPr>
        <w:t>It is appropriate to establish the position to be taken on the Union's behalf in the</w:t>
      </w:r>
      <w:r w:rsidR="00F04E81">
        <w:rPr>
          <w:noProof/>
        </w:rPr>
        <w:t xml:space="preserve"> Joint Committee</w:t>
      </w:r>
      <w:r w:rsidRPr="00E34F04">
        <w:rPr>
          <w:noProof/>
        </w:rPr>
        <w:t>, as the</w:t>
      </w:r>
      <w:r w:rsidR="00F04E81">
        <w:rPr>
          <w:noProof/>
        </w:rPr>
        <w:t xml:space="preserve"> Decision</w:t>
      </w:r>
      <w:r w:rsidRPr="00E34F04">
        <w:rPr>
          <w:noProof/>
        </w:rPr>
        <w:t xml:space="preserve"> will be binding on the Union</w:t>
      </w:r>
      <w:r w:rsidR="00F811A6">
        <w:rPr>
          <w:noProof/>
        </w:rPr>
        <w:t>,</w:t>
      </w:r>
    </w:p>
    <w:p w:rsidR="00EA5DAD" w:rsidRPr="00E34F04" w:rsidRDefault="00EA5DAD" w:rsidP="00BE7CB9">
      <w:pPr>
        <w:pStyle w:val="Formuledadoption"/>
        <w:rPr>
          <w:noProof/>
        </w:rPr>
      </w:pPr>
      <w:r w:rsidRPr="00E34F04">
        <w:rPr>
          <w:noProof/>
        </w:rPr>
        <w:t>HAS ADOPTED THIS DECISION:</w:t>
      </w:r>
    </w:p>
    <w:p w:rsidR="00EA5DAD" w:rsidRPr="00E34F04" w:rsidRDefault="00EA5DAD" w:rsidP="00BE7CB9">
      <w:pPr>
        <w:pStyle w:val="Titrearticle"/>
        <w:rPr>
          <w:noProof/>
        </w:rPr>
      </w:pPr>
      <w:r w:rsidRPr="00E34F04">
        <w:rPr>
          <w:noProof/>
        </w:rPr>
        <w:t>Article 1</w:t>
      </w:r>
    </w:p>
    <w:p w:rsidR="00EA5DAD" w:rsidRPr="00E34F04" w:rsidRDefault="00EA5DAD" w:rsidP="00F04E81">
      <w:pPr>
        <w:rPr>
          <w:i/>
          <w:noProof/>
        </w:rPr>
      </w:pPr>
      <w:r w:rsidRPr="00E34F04">
        <w:rPr>
          <w:noProof/>
        </w:rPr>
        <w:t xml:space="preserve">The position to be taken on the Union's behalf in </w:t>
      </w:r>
      <w:r w:rsidR="00CD1B98">
        <w:rPr>
          <w:noProof/>
        </w:rPr>
        <w:t>the</w:t>
      </w:r>
      <w:r w:rsidR="00F04E81">
        <w:rPr>
          <w:noProof/>
        </w:rPr>
        <w:t xml:space="preserve"> seventh </w:t>
      </w:r>
      <w:r w:rsidRPr="00E34F04">
        <w:rPr>
          <w:noProof/>
        </w:rPr>
        <w:t>meeting of the</w:t>
      </w:r>
      <w:r w:rsidR="00CD1B98">
        <w:rPr>
          <w:noProof/>
        </w:rPr>
        <w:t xml:space="preserve"> Joint Committee, or earlier by means of the written procedure pursuant to Article 8(4) of the Rules of Procedure of the Joint Committee,</w:t>
      </w:r>
      <w:r w:rsidRPr="00E34F04">
        <w:rPr>
          <w:noProof/>
        </w:rPr>
        <w:t xml:space="preserve"> shall be </w:t>
      </w:r>
      <w:r w:rsidR="00F04E81">
        <w:rPr>
          <w:noProof/>
        </w:rPr>
        <w:t>based on the draft Decision of the Joint Committee attached to this Decision</w:t>
      </w:r>
      <w:r w:rsidRPr="00E34F04">
        <w:rPr>
          <w:noProof/>
        </w:rPr>
        <w:t>.</w:t>
      </w:r>
    </w:p>
    <w:p w:rsidR="00EA5DAD" w:rsidRPr="00E34F04" w:rsidRDefault="00EA5DAD" w:rsidP="00B256EC">
      <w:pPr>
        <w:pStyle w:val="Titrearticle"/>
        <w:rPr>
          <w:noProof/>
        </w:rPr>
      </w:pPr>
      <w:r w:rsidRPr="00E34F04">
        <w:rPr>
          <w:noProof/>
        </w:rPr>
        <w:t>Article</w:t>
      </w:r>
      <w:r w:rsidR="00CD1B98">
        <w:rPr>
          <w:noProof/>
        </w:rPr>
        <w:t xml:space="preserve"> 2</w:t>
      </w:r>
    </w:p>
    <w:p w:rsidR="00EA5DAD" w:rsidRPr="00E34F04" w:rsidRDefault="00EA5DAD" w:rsidP="00BE7CB9">
      <w:pPr>
        <w:rPr>
          <w:noProof/>
        </w:rPr>
      </w:pPr>
      <w:r w:rsidRPr="00E34F04">
        <w:rPr>
          <w:noProof/>
        </w:rPr>
        <w:t>This Decision is addressed to the Commission.</w:t>
      </w:r>
    </w:p>
    <w:p w:rsidR="00EA5DAD" w:rsidRDefault="00CD7BCA" w:rsidP="00B256EC">
      <w:pPr>
        <w:pStyle w:val="Fait"/>
        <w:rPr>
          <w:noProof/>
        </w:rPr>
      </w:pPr>
      <w:r>
        <w:rPr>
          <w:noProof/>
        </w:rPr>
        <w:t>Done at Brussels,</w:t>
      </w:r>
    </w:p>
    <w:p w:rsidR="00EA5DAD" w:rsidRDefault="00EA5DAD" w:rsidP="00B256EC">
      <w:pPr>
        <w:pStyle w:val="Institutionquisigne"/>
        <w:rPr>
          <w:noProof/>
        </w:rPr>
      </w:pPr>
      <w:r w:rsidRPr="00EA5DAD">
        <w:rPr>
          <w:noProof/>
        </w:rPr>
        <w:tab/>
        <w:t>For the Council</w:t>
      </w:r>
    </w:p>
    <w:p w:rsidR="00EA5DAD" w:rsidRPr="00EA5DAD" w:rsidRDefault="00EA5DAD" w:rsidP="00EA5DAD">
      <w:pPr>
        <w:pStyle w:val="Personnequisigne"/>
        <w:rPr>
          <w:noProof/>
        </w:rPr>
      </w:pPr>
      <w:r w:rsidRPr="00EA5DAD">
        <w:rPr>
          <w:noProof/>
        </w:rPr>
        <w:tab/>
        <w:t>The President</w:t>
      </w:r>
    </w:p>
    <w:sectPr w:rsidR="00EA5DAD" w:rsidRPr="00EA5DAD" w:rsidSect="001B4A1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DAD" w:rsidRDefault="00EA5DAD" w:rsidP="00EA5DAD">
      <w:pPr>
        <w:spacing w:before="0" w:after="0"/>
      </w:pPr>
      <w:r>
        <w:separator/>
      </w:r>
    </w:p>
  </w:endnote>
  <w:endnote w:type="continuationSeparator" w:id="0">
    <w:p w:rsidR="00EA5DAD" w:rsidRDefault="00EA5DAD" w:rsidP="00EA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1A" w:rsidRPr="001B4A1A" w:rsidRDefault="001B4A1A" w:rsidP="001B4A1A">
    <w:pPr>
      <w:pStyle w:val="Footer"/>
      <w:rPr>
        <w:rFonts w:ascii="Arial" w:hAnsi="Arial" w:cs="Arial"/>
        <w:b/>
        <w:sz w:val="48"/>
      </w:rPr>
    </w:pPr>
    <w:r w:rsidRPr="001B4A1A">
      <w:rPr>
        <w:rFonts w:ascii="Arial" w:hAnsi="Arial" w:cs="Arial"/>
        <w:b/>
        <w:sz w:val="48"/>
      </w:rPr>
      <w:t>EN</w:t>
    </w:r>
    <w:r w:rsidRPr="001B4A1A">
      <w:rPr>
        <w:rFonts w:ascii="Arial" w:hAnsi="Arial" w:cs="Arial"/>
        <w:b/>
        <w:sz w:val="48"/>
      </w:rPr>
      <w:tab/>
    </w:r>
    <w:r w:rsidRPr="001B4A1A">
      <w:rPr>
        <w:rFonts w:ascii="Arial" w:hAnsi="Arial" w:cs="Arial"/>
        <w:b/>
        <w:sz w:val="48"/>
      </w:rPr>
      <w:tab/>
    </w:r>
    <w:r w:rsidRPr="001B4A1A">
      <w:tab/>
    </w:r>
    <w:r w:rsidRPr="001B4A1A">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1A" w:rsidRPr="001B4A1A" w:rsidRDefault="001B4A1A" w:rsidP="001B4A1A">
    <w:pPr>
      <w:pStyle w:val="Footer"/>
      <w:rPr>
        <w:rFonts w:ascii="Arial" w:hAnsi="Arial" w:cs="Arial"/>
        <w:b/>
        <w:sz w:val="48"/>
      </w:rPr>
    </w:pPr>
    <w:r w:rsidRPr="001B4A1A">
      <w:rPr>
        <w:rFonts w:ascii="Arial" w:hAnsi="Arial" w:cs="Arial"/>
        <w:b/>
        <w:sz w:val="48"/>
      </w:rPr>
      <w:t>EN</w:t>
    </w:r>
    <w:r w:rsidRPr="001B4A1A">
      <w:rPr>
        <w:rFonts w:ascii="Arial" w:hAnsi="Arial" w:cs="Arial"/>
        <w:b/>
        <w:sz w:val="48"/>
      </w:rPr>
      <w:tab/>
    </w:r>
    <w:r w:rsidRPr="001B4A1A">
      <w:rPr>
        <w:rFonts w:ascii="Arial" w:hAnsi="Arial" w:cs="Arial"/>
        <w:b/>
        <w:sz w:val="48"/>
      </w:rPr>
      <w:tab/>
    </w:r>
    <w:r w:rsidRPr="001B4A1A">
      <w:tab/>
    </w:r>
    <w:r w:rsidRPr="001B4A1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1A" w:rsidRDefault="001B4A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1A" w:rsidRPr="001B4A1A" w:rsidRDefault="001B4A1A" w:rsidP="001B4A1A">
    <w:pPr>
      <w:pStyle w:val="Footer"/>
      <w:rPr>
        <w:rFonts w:ascii="Arial" w:hAnsi="Arial" w:cs="Arial"/>
        <w:b/>
        <w:sz w:val="48"/>
      </w:rPr>
    </w:pPr>
    <w:r w:rsidRPr="001B4A1A">
      <w:rPr>
        <w:rFonts w:ascii="Arial" w:hAnsi="Arial" w:cs="Arial"/>
        <w:b/>
        <w:sz w:val="48"/>
      </w:rPr>
      <w:t>EN</w:t>
    </w:r>
    <w:r w:rsidRPr="001B4A1A">
      <w:rPr>
        <w:rFonts w:ascii="Arial" w:hAnsi="Arial" w:cs="Arial"/>
        <w:b/>
        <w:sz w:val="48"/>
      </w:rPr>
      <w:tab/>
    </w:r>
    <w:r>
      <w:fldChar w:fldCharType="begin"/>
    </w:r>
    <w:r>
      <w:instrText xml:space="preserve"> PAGE  \* MERGEFORMAT </w:instrText>
    </w:r>
    <w:r>
      <w:fldChar w:fldCharType="separate"/>
    </w:r>
    <w:r w:rsidR="00B256EC">
      <w:rPr>
        <w:noProof/>
      </w:rPr>
      <w:t>6</w:t>
    </w:r>
    <w:r>
      <w:fldChar w:fldCharType="end"/>
    </w:r>
    <w:r>
      <w:tab/>
    </w:r>
    <w:r w:rsidRPr="001B4A1A">
      <w:tab/>
    </w:r>
    <w:r w:rsidRPr="001B4A1A">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1A" w:rsidRDefault="001B4A1A" w:rsidP="001B4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DAD" w:rsidRDefault="00EA5DAD" w:rsidP="00EA5DAD">
      <w:pPr>
        <w:spacing w:before="0" w:after="0"/>
      </w:pPr>
      <w:r>
        <w:separator/>
      </w:r>
    </w:p>
  </w:footnote>
  <w:footnote w:type="continuationSeparator" w:id="0">
    <w:p w:rsidR="00EA5DAD" w:rsidRDefault="00EA5DAD" w:rsidP="00EA5DAD">
      <w:pPr>
        <w:spacing w:before="0" w:after="0"/>
      </w:pPr>
      <w:r>
        <w:continuationSeparator/>
      </w:r>
    </w:p>
  </w:footnote>
  <w:footnote w:id="1">
    <w:p w:rsidR="00851288" w:rsidRPr="00BB3FFC" w:rsidRDefault="00851288">
      <w:pPr>
        <w:pStyle w:val="FootnoteText"/>
        <w:rPr>
          <w:lang w:val="en-US"/>
        </w:rPr>
      </w:pPr>
      <w:r w:rsidRPr="00ED7C1A">
        <w:rPr>
          <w:rStyle w:val="FootnoteReference"/>
        </w:rPr>
        <w:footnoteRef/>
      </w:r>
      <w:r w:rsidR="00ED7C1A">
        <w:tab/>
      </w:r>
      <w:r w:rsidRPr="00BB3FFC">
        <w:rPr>
          <w:lang w:val="en-US"/>
        </w:rPr>
        <w:t>OJ L 226 of 25.6.2021, p. 2</w:t>
      </w:r>
    </w:p>
  </w:footnote>
  <w:footnote w:id="2">
    <w:p w:rsidR="00BB3FFC" w:rsidRPr="00BB3FFC" w:rsidRDefault="00BB3FFC">
      <w:pPr>
        <w:pStyle w:val="FootnoteText"/>
        <w:rPr>
          <w:lang w:val="en-US"/>
        </w:rPr>
      </w:pPr>
      <w:r w:rsidRPr="00ED7C1A">
        <w:rPr>
          <w:rStyle w:val="FootnoteReference"/>
        </w:rPr>
        <w:footnoteRef/>
      </w:r>
      <w:r w:rsidR="00ED7C1A">
        <w:tab/>
      </w:r>
      <w:r w:rsidRPr="00BB3FFC">
        <w:rPr>
          <w:lang w:val="en-US"/>
        </w:rPr>
        <w:t>OJ L 226 o</w:t>
      </w:r>
      <w:r>
        <w:rPr>
          <w:lang w:val="en-US"/>
        </w:rPr>
        <w:t>f 25.6.2021, p. 16</w:t>
      </w:r>
    </w:p>
  </w:footnote>
  <w:footnote w:id="3">
    <w:p w:rsidR="00DA2AF9" w:rsidRPr="00DA2AF9" w:rsidRDefault="00DA2AF9">
      <w:pPr>
        <w:pStyle w:val="FootnoteText"/>
      </w:pPr>
      <w:r w:rsidRPr="00ED7C1A">
        <w:rPr>
          <w:rStyle w:val="FootnoteReference"/>
        </w:rPr>
        <w:footnoteRef/>
      </w:r>
      <w:r w:rsidR="00ED7C1A">
        <w:tab/>
      </w:r>
      <w:r>
        <w:t>OJ L 226 of 25.6.2021, p. 2</w:t>
      </w:r>
    </w:p>
  </w:footnote>
  <w:footnote w:id="4">
    <w:p w:rsidR="00DA2AF9" w:rsidRPr="00DA2AF9" w:rsidRDefault="00DA2AF9">
      <w:pPr>
        <w:pStyle w:val="FootnoteText"/>
      </w:pPr>
      <w:r w:rsidRPr="00ED7C1A">
        <w:rPr>
          <w:rStyle w:val="FootnoteReference"/>
        </w:rPr>
        <w:footnoteRef/>
      </w:r>
      <w:r w:rsidR="00ED7C1A">
        <w:tab/>
      </w:r>
      <w:r>
        <w:t>OJ L 226 of 25.6.2021, p. 16</w:t>
      </w:r>
    </w:p>
  </w:footnote>
  <w:footnote w:id="5">
    <w:p w:rsidR="00333E75" w:rsidRPr="00333E75" w:rsidRDefault="00333E75">
      <w:pPr>
        <w:pStyle w:val="FootnoteText"/>
        <w:rPr>
          <w:lang w:val="en-US"/>
        </w:rPr>
      </w:pPr>
      <w:r w:rsidRPr="00ED7C1A">
        <w:rPr>
          <w:rStyle w:val="FootnoteReference"/>
        </w:rPr>
        <w:footnoteRef/>
      </w:r>
      <w:r w:rsidR="00ED7C1A">
        <w:tab/>
      </w:r>
      <w:r w:rsidRPr="00333E75">
        <w:t xml:space="preserve">Decision No 1/2019 of the Joint Committee established by the Agreement between the European Union and the Swiss Confederation on the Linking of their Greenhouse Gas Emissions Trading Systems of 25 January 2019 regarding the adoption of its Rules of Procedure, available from </w:t>
      </w:r>
      <w:hyperlink r:id="rId1" w:history="1">
        <w:r w:rsidRPr="0019546E">
          <w:rPr>
            <w:rStyle w:val="Hyperlink"/>
          </w:rPr>
          <w:t>https://ec.europa.eu/clima/system/files/2021-07/20191201_jc_dec_rop_en.pdf</w:t>
        </w:r>
      </w:hyperlink>
      <w:r>
        <w:t xml:space="preserve"> </w:t>
      </w:r>
      <w:r w:rsidRPr="00333E75">
        <w:t>and Council Decision (EU) 2018/1279 of 18 September 2018, OJ L 239 of 24.9.2018, p.8.</w:t>
      </w:r>
      <w:r>
        <w:t xml:space="preserve"> </w:t>
      </w:r>
    </w:p>
  </w:footnote>
  <w:footnote w:id="6">
    <w:p w:rsidR="008F7505" w:rsidRPr="008F7505" w:rsidRDefault="008F7505">
      <w:pPr>
        <w:pStyle w:val="FootnoteText"/>
        <w:rPr>
          <w:lang w:val="en-US"/>
        </w:rPr>
      </w:pPr>
      <w:r w:rsidRPr="00ED7C1A">
        <w:rPr>
          <w:rStyle w:val="FootnoteReference"/>
        </w:rPr>
        <w:footnoteRef/>
      </w:r>
      <w:r w:rsidR="00ED7C1A">
        <w:tab/>
      </w:r>
      <w:r w:rsidRPr="008F7505">
        <w:rPr>
          <w:lang w:val="en-US"/>
        </w:rPr>
        <w:t>OJ L 226 of 25.6.2021, p.2</w:t>
      </w:r>
    </w:p>
  </w:footnote>
  <w:footnote w:id="7">
    <w:p w:rsidR="008F7505" w:rsidRPr="008F7505" w:rsidRDefault="008F7505">
      <w:pPr>
        <w:pStyle w:val="FootnoteText"/>
        <w:rPr>
          <w:lang w:val="en-US"/>
        </w:rPr>
      </w:pPr>
      <w:r w:rsidRPr="00ED7C1A">
        <w:rPr>
          <w:rStyle w:val="FootnoteReference"/>
        </w:rPr>
        <w:footnoteRef/>
      </w:r>
      <w:r w:rsidR="00ED7C1A">
        <w:tab/>
      </w:r>
      <w:r w:rsidRPr="008F7505">
        <w:rPr>
          <w:lang w:val="en-US"/>
        </w:rPr>
        <w:t>OJ L 226 o</w:t>
      </w:r>
      <w:r>
        <w:rPr>
          <w:lang w:val="en-US"/>
        </w:rPr>
        <w:t>f 25.6.2021, p. 16</w:t>
      </w:r>
    </w:p>
  </w:footnote>
  <w:footnote w:id="8">
    <w:p w:rsidR="00C64C75" w:rsidRPr="00987ED7" w:rsidRDefault="00C64C75">
      <w:pPr>
        <w:pStyle w:val="FootnoteText"/>
        <w:rPr>
          <w:lang w:val="en-US"/>
        </w:rPr>
      </w:pPr>
      <w:r w:rsidRPr="00ED7C1A">
        <w:rPr>
          <w:rStyle w:val="FootnoteReference"/>
        </w:rPr>
        <w:footnoteRef/>
      </w:r>
      <w:r w:rsidR="00ED7C1A">
        <w:tab/>
      </w:r>
      <w:r w:rsidRPr="00987ED7">
        <w:rPr>
          <w:lang w:val="en-US"/>
        </w:rPr>
        <w:t>OJ L 314 of 29.9.2020, p. 68</w:t>
      </w:r>
    </w:p>
  </w:footnote>
  <w:footnote w:id="9">
    <w:p w:rsidR="00EA5DAD" w:rsidRPr="00B035F8" w:rsidRDefault="00EA5DAD" w:rsidP="00736AA9">
      <w:pPr>
        <w:pStyle w:val="FootnoteText"/>
      </w:pPr>
      <w:r w:rsidRPr="00B035F8">
        <w:rPr>
          <w:rStyle w:val="FootnoteReference"/>
        </w:rPr>
        <w:footnoteRef/>
      </w:r>
      <w:r w:rsidRPr="00B035F8">
        <w:tab/>
        <w:t>Judgment of the Court of Justice of 7 October 2014, Germany v Council, C-399/12, ECLI:EU:C:2014:2258, paragraphs 61</w:t>
      </w:r>
      <w:r>
        <w:t xml:space="preserve"> </w:t>
      </w:r>
      <w:r w:rsidRPr="00B035F8">
        <w:t xml:space="preserve">to 64. </w:t>
      </w:r>
    </w:p>
  </w:footnote>
  <w:footnote w:id="10">
    <w:p w:rsidR="00987ED7" w:rsidRPr="00987ED7" w:rsidRDefault="00987ED7">
      <w:pPr>
        <w:pStyle w:val="FootnoteText"/>
        <w:rPr>
          <w:lang w:val="en-US"/>
        </w:rPr>
      </w:pPr>
      <w:r w:rsidRPr="00ED7C1A">
        <w:rPr>
          <w:rStyle w:val="FootnoteReference"/>
        </w:rPr>
        <w:footnoteRef/>
      </w:r>
      <w:r w:rsidR="00ED7C1A">
        <w:tab/>
      </w:r>
      <w:r w:rsidRPr="00987ED7">
        <w:rPr>
          <w:lang w:val="en-US"/>
        </w:rPr>
        <w:t>OJ L 322, 7.12.2017, p. 3.</w:t>
      </w:r>
    </w:p>
  </w:footnote>
  <w:footnote w:id="11">
    <w:p w:rsidR="00987ED7" w:rsidRPr="00987ED7" w:rsidRDefault="00987ED7">
      <w:pPr>
        <w:pStyle w:val="FootnoteText"/>
        <w:rPr>
          <w:lang w:val="en-US"/>
        </w:rPr>
      </w:pPr>
      <w:r w:rsidRPr="00ED7C1A">
        <w:rPr>
          <w:rStyle w:val="FootnoteReference"/>
        </w:rPr>
        <w:footnoteRef/>
      </w:r>
      <w:r w:rsidR="00ED7C1A">
        <w:tab/>
      </w:r>
      <w:r w:rsidRPr="00987ED7">
        <w:rPr>
          <w:lang w:val="en-US"/>
        </w:rPr>
        <w:t>Council Decision (EU) 2017/2240 of 10 November 2017 on the signing, on behalf of the Union, and provisional application of the Agreement between the European Union and the Swiss Confederation on the linking of their greenhouse gas emissions trading systems (OJ L 322, 7.12.2017, p. 1).</w:t>
      </w:r>
    </w:p>
  </w:footnote>
  <w:footnote w:id="12">
    <w:p w:rsidR="00EA5DAD" w:rsidRPr="00E1453D" w:rsidRDefault="00EA5DAD" w:rsidP="00BE7CB9">
      <w:pPr>
        <w:pStyle w:val="FootnoteText"/>
        <w:rPr>
          <w:lang w:val="nl-NL"/>
        </w:rPr>
      </w:pPr>
      <w:r w:rsidRPr="00B035F8">
        <w:rPr>
          <w:rStyle w:val="FootnoteReference"/>
        </w:rPr>
        <w:footnoteRef/>
      </w:r>
      <w:r w:rsidRPr="00E1453D">
        <w:rPr>
          <w:lang w:val="nl-NL"/>
        </w:rPr>
        <w:tab/>
        <w:t xml:space="preserve">OJ L </w:t>
      </w:r>
      <w:r w:rsidR="00987ED7" w:rsidRPr="00E1453D">
        <w:rPr>
          <w:lang w:val="nl-NL"/>
        </w:rPr>
        <w:t>43, 16.2.2018, p. 1.</w:t>
      </w:r>
    </w:p>
  </w:footnote>
  <w:footnote w:id="13">
    <w:p w:rsidR="005B7A4D" w:rsidRPr="00E1453D" w:rsidRDefault="005B7A4D">
      <w:pPr>
        <w:pStyle w:val="FootnoteText"/>
        <w:rPr>
          <w:lang w:val="nl-NL"/>
        </w:rPr>
      </w:pPr>
      <w:r w:rsidRPr="00ED7C1A">
        <w:rPr>
          <w:rStyle w:val="FootnoteReference"/>
        </w:rPr>
        <w:footnoteRef/>
      </w:r>
      <w:r w:rsidR="00ED7C1A" w:rsidRPr="00E1453D">
        <w:rPr>
          <w:lang w:val="nl-NL"/>
        </w:rPr>
        <w:tab/>
      </w:r>
      <w:r w:rsidRPr="00E1453D">
        <w:rPr>
          <w:lang w:val="nl-NL"/>
        </w:rPr>
        <w:t>OJ L 226, 25.6.2021, p. 2</w:t>
      </w:r>
    </w:p>
  </w:footnote>
  <w:footnote w:id="14">
    <w:p w:rsidR="005B7A4D" w:rsidRPr="00E1453D" w:rsidRDefault="005B7A4D">
      <w:pPr>
        <w:pStyle w:val="FootnoteText"/>
        <w:rPr>
          <w:lang w:val="nl-NL"/>
        </w:rPr>
      </w:pPr>
      <w:r w:rsidRPr="00ED7C1A">
        <w:rPr>
          <w:rStyle w:val="FootnoteReference"/>
        </w:rPr>
        <w:footnoteRef/>
      </w:r>
      <w:r w:rsidR="00ED7C1A" w:rsidRPr="00E1453D">
        <w:rPr>
          <w:lang w:val="nl-NL"/>
        </w:rPr>
        <w:tab/>
      </w:r>
      <w:r w:rsidRPr="00E1453D">
        <w:rPr>
          <w:lang w:val="nl-NL"/>
        </w:rPr>
        <w:t>OJ L 226, 25.6.2021, p. 16</w:t>
      </w:r>
    </w:p>
  </w:footnote>
  <w:footnote w:id="15">
    <w:p w:rsidR="00C949BE" w:rsidRPr="00C949BE" w:rsidRDefault="00C949BE">
      <w:pPr>
        <w:pStyle w:val="FootnoteText"/>
        <w:rPr>
          <w:lang w:val="en-US"/>
        </w:rPr>
      </w:pPr>
      <w:r w:rsidRPr="00ED7C1A">
        <w:rPr>
          <w:rStyle w:val="FootnoteReference"/>
        </w:rPr>
        <w:footnoteRef/>
      </w:r>
      <w:r w:rsidR="00ED7C1A">
        <w:tab/>
      </w:r>
      <w:r w:rsidRPr="00C949BE">
        <w:t>Decision No 1/2019 of the Joint Committee established by the Agreement between the European Union and the Swiss Confederation on the Linking of their Greenhouse Gas Emissions Trading Systems of 25 January 2019 regarding the adoption of its Rules of Procedure and Council Decision (EU) 2018/1279 of 18 September 2018 on the position to be taken on behalf of the European Union within the Joint Committee established by the Agreement between the European Union and the Swiss Confederation on the linking of their greenhouse gas emissions trading systems regarding the adoption of its Rules of Procedure (OJ L 239, 24.9.2018, p. 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1A" w:rsidRDefault="001B4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A1A" w:rsidRDefault="001B4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6EE13D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D30941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1C8538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3DA5F0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 w:numId="22">
    <w:abstractNumId w:val="15"/>
  </w:num>
  <w:num w:numId="23">
    <w:abstractNumId w:val="8"/>
  </w:num>
  <w:num w:numId="24">
    <w:abstractNumId w:val="17"/>
  </w:num>
  <w:num w:numId="25">
    <w:abstractNumId w:val="7"/>
  </w:num>
  <w:num w:numId="26">
    <w:abstractNumId w:val="9"/>
  </w:num>
  <w:num w:numId="27">
    <w:abstractNumId w:val="10"/>
  </w:num>
  <w:num w:numId="28">
    <w:abstractNumId w:val="5"/>
  </w:num>
  <w:num w:numId="29">
    <w:abstractNumId w:val="16"/>
  </w:num>
  <w:num w:numId="30">
    <w:abstractNumId w:val="4"/>
  </w:num>
  <w:num w:numId="31">
    <w:abstractNumId w:val="11"/>
  </w:num>
  <w:num w:numId="32">
    <w:abstractNumId w:val="13"/>
  </w:num>
  <w:num w:numId="33">
    <w:abstractNumId w:val="14"/>
  </w:num>
  <w:num w:numId="34">
    <w:abstractNumId w:val="6"/>
  </w:num>
  <w:num w:numId="35">
    <w:abstractNumId w:val="12"/>
  </w:num>
  <w:num w:numId="36">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nl-NL"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ttachedTemplate r:id="rId1"/>
  <w:revisionView w:markup="0"/>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3-13 08:25: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421D61C-CB6A-46D8-B395-3E930E3366A6"/>
    <w:docVar w:name="LW_COVERPAGE_TYPE" w:val="1"/>
    <w:docVar w:name="LW_CROSSREFERENCE" w:val="&lt;UNUSED&gt;"/>
    <w:docVar w:name="LW_DocType" w:val="COM"/>
    <w:docVar w:name="LW_EMISSION" w:val="20.3.2024"/>
    <w:docVar w:name="LW_EMISSION_ISODATE" w:val="2024-03-20"/>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67"/>
    <w:docVar w:name="LW_REF.II.NEW.CP_YEAR" w:val="2024"/>
    <w:docVar w:name="LW_REF.INST.NEW" w:val="COM"/>
    <w:docVar w:name="LW_REF.INST.NEW_ADOPTED" w:val="final"/>
    <w:docVar w:name="LW_REF.INST.NEW_TEXT" w:val="(2024) 12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in the Joint Committee established by the Agreement between the European Union and the Swiss Confederation on the linking of their greenhouse gas emissions trading systems as regards amending Annex II to the Agreement, the Common Operational Procedures and the Linking Technical Standards"/>
    <w:docVar w:name="LW_TYPE.DOC.CP" w:val="COUNCIL DECISION"/>
    <w:docVar w:name="LwApiVersions" w:val="LW4CoDe 1.24.5.0; LW 9.0, Build 20240221"/>
  </w:docVars>
  <w:rsids>
    <w:rsidRoot w:val="00EA5DAD"/>
    <w:rsid w:val="00087D22"/>
    <w:rsid w:val="000B4D1B"/>
    <w:rsid w:val="000F18D4"/>
    <w:rsid w:val="000F7A4D"/>
    <w:rsid w:val="001065F5"/>
    <w:rsid w:val="0011027F"/>
    <w:rsid w:val="001238EF"/>
    <w:rsid w:val="00126BA9"/>
    <w:rsid w:val="0013197F"/>
    <w:rsid w:val="001542E9"/>
    <w:rsid w:val="00173C9D"/>
    <w:rsid w:val="00197613"/>
    <w:rsid w:val="001B1503"/>
    <w:rsid w:val="001B4A1A"/>
    <w:rsid w:val="001C2DE1"/>
    <w:rsid w:val="001F0164"/>
    <w:rsid w:val="00216B59"/>
    <w:rsid w:val="00233DC7"/>
    <w:rsid w:val="00247779"/>
    <w:rsid w:val="00285BEE"/>
    <w:rsid w:val="0029533F"/>
    <w:rsid w:val="002B30AF"/>
    <w:rsid w:val="002B4C16"/>
    <w:rsid w:val="002D6250"/>
    <w:rsid w:val="002F2816"/>
    <w:rsid w:val="0033344A"/>
    <w:rsid w:val="00333E75"/>
    <w:rsid w:val="003C3B5B"/>
    <w:rsid w:val="004220DC"/>
    <w:rsid w:val="0042648E"/>
    <w:rsid w:val="00474B27"/>
    <w:rsid w:val="004936D2"/>
    <w:rsid w:val="004E3F74"/>
    <w:rsid w:val="00554CFF"/>
    <w:rsid w:val="00582BD2"/>
    <w:rsid w:val="005B1EB6"/>
    <w:rsid w:val="005B7A4D"/>
    <w:rsid w:val="00612301"/>
    <w:rsid w:val="00624F3F"/>
    <w:rsid w:val="00637D58"/>
    <w:rsid w:val="00682FFD"/>
    <w:rsid w:val="006B09CD"/>
    <w:rsid w:val="006D097D"/>
    <w:rsid w:val="007259A8"/>
    <w:rsid w:val="00773331"/>
    <w:rsid w:val="007932EF"/>
    <w:rsid w:val="007D4E6E"/>
    <w:rsid w:val="007E05B0"/>
    <w:rsid w:val="007E4A24"/>
    <w:rsid w:val="008021B3"/>
    <w:rsid w:val="00824F5F"/>
    <w:rsid w:val="00851288"/>
    <w:rsid w:val="00874D22"/>
    <w:rsid w:val="00875CCF"/>
    <w:rsid w:val="008A2914"/>
    <w:rsid w:val="008D5B57"/>
    <w:rsid w:val="008E4D8E"/>
    <w:rsid w:val="008F7505"/>
    <w:rsid w:val="0098769F"/>
    <w:rsid w:val="00987ED7"/>
    <w:rsid w:val="009B2FA0"/>
    <w:rsid w:val="00A450EB"/>
    <w:rsid w:val="00AF1101"/>
    <w:rsid w:val="00B256EC"/>
    <w:rsid w:val="00B43A55"/>
    <w:rsid w:val="00B51A47"/>
    <w:rsid w:val="00B61BA7"/>
    <w:rsid w:val="00B7132A"/>
    <w:rsid w:val="00BA43E9"/>
    <w:rsid w:val="00BB3FFC"/>
    <w:rsid w:val="00BD405F"/>
    <w:rsid w:val="00C06A08"/>
    <w:rsid w:val="00C12301"/>
    <w:rsid w:val="00C238BE"/>
    <w:rsid w:val="00C64C75"/>
    <w:rsid w:val="00C949BE"/>
    <w:rsid w:val="00C95C91"/>
    <w:rsid w:val="00CD1B98"/>
    <w:rsid w:val="00CD7BCA"/>
    <w:rsid w:val="00CE7B6D"/>
    <w:rsid w:val="00D20381"/>
    <w:rsid w:val="00D707CF"/>
    <w:rsid w:val="00D7526B"/>
    <w:rsid w:val="00D82E37"/>
    <w:rsid w:val="00DA2AF9"/>
    <w:rsid w:val="00DC173C"/>
    <w:rsid w:val="00DC7177"/>
    <w:rsid w:val="00E1453D"/>
    <w:rsid w:val="00E33081"/>
    <w:rsid w:val="00EA4934"/>
    <w:rsid w:val="00EA5DAD"/>
    <w:rsid w:val="00ED7C1A"/>
    <w:rsid w:val="00EE1C6C"/>
    <w:rsid w:val="00F04E81"/>
    <w:rsid w:val="00F24C9E"/>
    <w:rsid w:val="00F811A6"/>
    <w:rsid w:val="00F8383B"/>
    <w:rsid w:val="00FC3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255EAD35-862D-4C98-8D69-E7BBC853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B2FA0"/>
    <w:pPr>
      <w:numPr>
        <w:numId w:val="1"/>
      </w:numPr>
      <w:contextualSpacing/>
    </w:pPr>
  </w:style>
  <w:style w:type="paragraph" w:styleId="ListBullet2">
    <w:name w:val="List Bullet 2"/>
    <w:basedOn w:val="Normal"/>
    <w:uiPriority w:val="99"/>
    <w:semiHidden/>
    <w:unhideWhenUsed/>
    <w:rsid w:val="009B2FA0"/>
    <w:pPr>
      <w:numPr>
        <w:numId w:val="2"/>
      </w:numPr>
      <w:contextualSpacing/>
    </w:pPr>
  </w:style>
  <w:style w:type="paragraph" w:styleId="ListBullet3">
    <w:name w:val="List Bullet 3"/>
    <w:basedOn w:val="Normal"/>
    <w:uiPriority w:val="99"/>
    <w:semiHidden/>
    <w:unhideWhenUsed/>
    <w:rsid w:val="009B2FA0"/>
    <w:pPr>
      <w:numPr>
        <w:numId w:val="3"/>
      </w:numPr>
      <w:contextualSpacing/>
    </w:pPr>
  </w:style>
  <w:style w:type="paragraph" w:styleId="ListBullet4">
    <w:name w:val="List Bullet 4"/>
    <w:basedOn w:val="Normal"/>
    <w:uiPriority w:val="99"/>
    <w:semiHidden/>
    <w:unhideWhenUsed/>
    <w:rsid w:val="009B2FA0"/>
    <w:pPr>
      <w:numPr>
        <w:numId w:val="4"/>
      </w:numPr>
      <w:contextualSpacing/>
    </w:pPr>
  </w:style>
  <w:style w:type="character" w:styleId="Hyperlink">
    <w:name w:val="Hyperlink"/>
    <w:basedOn w:val="DefaultParagraphFont"/>
    <w:uiPriority w:val="99"/>
    <w:unhideWhenUsed/>
    <w:rsid w:val="00333E75"/>
    <w:rPr>
      <w:color w:val="0000FF" w:themeColor="hyperlink"/>
      <w:u w:val="single"/>
    </w:rPr>
  </w:style>
  <w:style w:type="character" w:customStyle="1" w:styleId="UnresolvedMention1">
    <w:name w:val="Unresolved Mention1"/>
    <w:basedOn w:val="DefaultParagraphFont"/>
    <w:uiPriority w:val="99"/>
    <w:semiHidden/>
    <w:unhideWhenUsed/>
    <w:rsid w:val="00333E75"/>
    <w:rPr>
      <w:color w:val="605E5C"/>
      <w:shd w:val="clear" w:color="auto" w:fill="E1DFDD"/>
    </w:rPr>
  </w:style>
  <w:style w:type="character" w:styleId="CommentReference">
    <w:name w:val="annotation reference"/>
    <w:basedOn w:val="DefaultParagraphFont"/>
    <w:uiPriority w:val="99"/>
    <w:semiHidden/>
    <w:unhideWhenUsed/>
    <w:rsid w:val="006D097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D5B57"/>
    <w:rPr>
      <w:b/>
      <w:bCs/>
    </w:rPr>
  </w:style>
  <w:style w:type="character" w:customStyle="1" w:styleId="CommentSubjectChar">
    <w:name w:val="Comment Subject Char"/>
    <w:basedOn w:val="CommentTextChar"/>
    <w:link w:val="CommentSubject"/>
    <w:uiPriority w:val="99"/>
    <w:semiHidden/>
    <w:rsid w:val="008D5B57"/>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1453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53D"/>
    <w:rPr>
      <w:rFonts w:ascii="Segoe UI" w:hAnsi="Segoe UI" w:cs="Segoe UI"/>
      <w:sz w:val="18"/>
      <w:szCs w:val="18"/>
      <w:lang w:val="en-GB"/>
    </w:rPr>
  </w:style>
  <w:style w:type="paragraph" w:styleId="Revision">
    <w:name w:val="Revision"/>
    <w:hidden/>
    <w:uiPriority w:val="99"/>
    <w:semiHidden/>
    <w:rsid w:val="008021B3"/>
    <w:pPr>
      <w:spacing w:after="0" w:line="240" w:lineRule="auto"/>
    </w:pPr>
    <w:rPr>
      <w:rFonts w:ascii="Times New Roman" w:hAnsi="Times New Roman" w:cs="Times New Roman"/>
      <w:sz w:val="24"/>
      <w:lang w:val="en-GB"/>
    </w:rPr>
  </w:style>
  <w:style w:type="character" w:customStyle="1" w:styleId="UnresolvedMention">
    <w:name w:val="Unresolved Mention"/>
    <w:basedOn w:val="DefaultParagraphFont"/>
    <w:uiPriority w:val="99"/>
    <w:semiHidden/>
    <w:unhideWhenUsed/>
    <w:rsid w:val="0013197F"/>
    <w:rPr>
      <w:color w:val="605E5C"/>
      <w:shd w:val="clear" w:color="auto" w:fill="E1DFDD"/>
    </w:rPr>
  </w:style>
  <w:style w:type="character" w:customStyle="1" w:styleId="HeaderChar">
    <w:name w:val="Header Char"/>
    <w:basedOn w:val="DefaultParagraphFont"/>
    <w:link w:val="Header"/>
    <w:uiPriority w:val="99"/>
    <w:rsid w:val="001B4A1A"/>
    <w:rPr>
      <w:rFonts w:ascii="Times New Roman" w:hAnsi="Times New Roman" w:cs="Times New Roman"/>
      <w:sz w:val="24"/>
      <w:lang w:val="en-GB"/>
    </w:rPr>
  </w:style>
  <w:style w:type="character" w:customStyle="1" w:styleId="FooterChar">
    <w:name w:val="Footer Char"/>
    <w:basedOn w:val="DefaultParagraphFont"/>
    <w:link w:val="Footer"/>
    <w:uiPriority w:val="99"/>
    <w:rsid w:val="001B4A1A"/>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B4A1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B4A1A"/>
    <w:pPr>
      <w:spacing w:before="0"/>
      <w:jc w:val="right"/>
    </w:pPr>
    <w:rPr>
      <w:sz w:val="28"/>
    </w:rPr>
  </w:style>
  <w:style w:type="paragraph" w:customStyle="1" w:styleId="FooterSensitivity">
    <w:name w:val="Footer Sensitivity"/>
    <w:basedOn w:val="Normal"/>
    <w:rsid w:val="001B4A1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B4A1A"/>
    <w:pPr>
      <w:tabs>
        <w:tab w:val="center" w:pos="4535"/>
        <w:tab w:val="right" w:pos="9071"/>
      </w:tabs>
      <w:spacing w:before="0"/>
    </w:pPr>
  </w:style>
  <w:style w:type="paragraph" w:customStyle="1" w:styleId="HeaderLandscape">
    <w:name w:val="HeaderLandscape"/>
    <w:basedOn w:val="Normal"/>
    <w:rsid w:val="001B4A1A"/>
    <w:pPr>
      <w:tabs>
        <w:tab w:val="center" w:pos="7285"/>
        <w:tab w:val="right" w:pos="14003"/>
      </w:tabs>
      <w:spacing w:before="0"/>
    </w:pPr>
  </w:style>
  <w:style w:type="paragraph" w:styleId="Footer">
    <w:name w:val="footer"/>
    <w:basedOn w:val="Normal"/>
    <w:link w:val="FooterChar"/>
    <w:uiPriority w:val="99"/>
    <w:unhideWhenUsed/>
    <w:rsid w:val="001B4A1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B4A1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lima/system/files/2021-07/20191201_jc_dec_rop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5F5FD-F4AD-4392-8AB3-B2E1C4AC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7</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12</cp:revision>
  <dcterms:created xsi:type="dcterms:W3CDTF">2024-01-16T15:15:00Z</dcterms:created>
  <dcterms:modified xsi:type="dcterms:W3CDTF">2024-03-13T07:25:00Z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2023-06-26T15:49:43Z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ce3240c2-d0d0-408b-89e4-0664dd952a9b</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SJ-043</vt:lpwstr>
  </property>
  <property fmtid="{D5CDD505-2E9C-101B-9397-08002B2CF9AE}" pid="17" name="DQCStatus">
    <vt:lpwstr>Green (DQC version 03)</vt:lpwstr>
  </property>
</Properties>
</file>