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6253B" w14:textId="772C6032" w:rsidR="00750070" w:rsidRPr="008D633B" w:rsidRDefault="00B776AB" w:rsidP="00B776AB">
      <w:pPr>
        <w:pStyle w:val="Pagedecouverture"/>
        <w:rPr>
          <w:noProof/>
        </w:rPr>
      </w:pPr>
      <w:r>
        <w:rPr>
          <w:noProof/>
        </w:rPr>
        <w:pict w14:anchorId="1B47A6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00CE4C03-7FC1-48F5-848D-6EC6E326C455" style="width:455.25pt;height:442.5pt">
            <v:imagedata r:id="rId7" o:title=""/>
          </v:shape>
        </w:pict>
      </w:r>
    </w:p>
    <w:p w14:paraId="060EEAAE" w14:textId="77777777" w:rsidR="00750070" w:rsidRPr="008D633B" w:rsidRDefault="00750070" w:rsidP="00750070">
      <w:pPr>
        <w:rPr>
          <w:noProof/>
        </w:rPr>
        <w:sectPr w:rsidR="00750070" w:rsidRPr="008D633B" w:rsidSect="00B776A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054DC911" w14:textId="77777777" w:rsidR="00750070" w:rsidRPr="008D633B" w:rsidRDefault="00750070" w:rsidP="00DE4380">
      <w:pPr>
        <w:pStyle w:val="Annexetitre"/>
        <w:spacing w:after="240"/>
        <w:rPr>
          <w:noProof/>
        </w:rPr>
      </w:pPr>
      <w:bookmarkStart w:id="0" w:name="_GoBack"/>
      <w:bookmarkEnd w:id="0"/>
      <w:r w:rsidRPr="008D633B">
        <w:rPr>
          <w:noProof/>
        </w:rPr>
        <w:lastRenderedPageBreak/>
        <w:t xml:space="preserve">ПРИЛОЖЕНИЕ </w:t>
      </w:r>
    </w:p>
    <w:p w14:paraId="3FC12084" w14:textId="77777777" w:rsidR="00FD328F" w:rsidRPr="008D633B" w:rsidRDefault="00430BBE" w:rsidP="00DE4380">
      <w:pPr>
        <w:spacing w:after="240"/>
        <w:jc w:val="center"/>
        <w:rPr>
          <w:b/>
          <w:bCs/>
          <w:noProof/>
        </w:rPr>
      </w:pPr>
      <w:r w:rsidRPr="008D633B">
        <w:rPr>
          <w:b/>
          <w:noProof/>
        </w:rPr>
        <w:t>ДЕКЛАРАЦИЯ</w:t>
      </w:r>
    </w:p>
    <w:p w14:paraId="6F09380D" w14:textId="77777777" w:rsidR="00FD328F" w:rsidRPr="008D633B" w:rsidRDefault="00FD328F" w:rsidP="00DE4380">
      <w:pPr>
        <w:spacing w:after="240"/>
        <w:jc w:val="center"/>
        <w:rPr>
          <w:b/>
          <w:bCs/>
          <w:noProof/>
        </w:rPr>
      </w:pPr>
      <w:r w:rsidRPr="008D633B">
        <w:rPr>
          <w:b/>
          <w:noProof/>
        </w:rPr>
        <w:t>от името на Европейския съюз, Европейската общност за атомна енергия (Евратом) и всички държави членки, които са договарящи се страни по Договора за Енергийната харта</w:t>
      </w:r>
    </w:p>
    <w:p w14:paraId="675F4E79" w14:textId="4FA06FBC" w:rsidR="00EF2005" w:rsidRPr="008D633B" w:rsidRDefault="00EF2005" w:rsidP="00DE4380">
      <w:pPr>
        <w:spacing w:after="240"/>
        <w:rPr>
          <w:noProof/>
        </w:rPr>
      </w:pPr>
      <w:r w:rsidRPr="008D633B">
        <w:rPr>
          <w:noProof/>
        </w:rPr>
        <w:t>С настоящото Европейският съюз, Европейската общност за атомна енергия (Евратом) и всички държави членки, които са договарящи се страни по Договора за Енергийната харта (ДЕХ), отказват предимствата по част III от ДЕХ на:</w:t>
      </w:r>
    </w:p>
    <w:p w14:paraId="498E5475" w14:textId="46D4B011" w:rsidR="00EF2005" w:rsidRPr="008D633B" w:rsidRDefault="00B559BA" w:rsidP="00B559BA">
      <w:pPr>
        <w:pStyle w:val="Point0"/>
        <w:rPr>
          <w:noProof/>
        </w:rPr>
      </w:pPr>
      <w:r>
        <w:rPr>
          <w:noProof/>
        </w:rPr>
        <w:t>1)</w:t>
      </w:r>
      <w:r>
        <w:rPr>
          <w:noProof/>
        </w:rPr>
        <w:tab/>
      </w:r>
      <w:r w:rsidR="0008579F" w:rsidRPr="008D633B">
        <w:rPr>
          <w:noProof/>
        </w:rPr>
        <w:t xml:space="preserve">всяко </w:t>
      </w:r>
      <w:bookmarkStart w:id="1" w:name="_Hlk156924556"/>
      <w:r w:rsidR="0008579F" w:rsidRPr="008D633B">
        <w:rPr>
          <w:noProof/>
        </w:rPr>
        <w:t>юридическо лице, което е притежавано или контролирано от граждани или поданици на Руската федерация или на Република Беларус и което няма съществена стопанска дейност в зоната на договарящата се страна, в която то е учредено</w:t>
      </w:r>
      <w:bookmarkEnd w:id="1"/>
      <w:r w:rsidR="0008579F" w:rsidRPr="008D633B">
        <w:rPr>
          <w:noProof/>
        </w:rPr>
        <w:t>, съгласно член 17, параграф 1 от ДЕХ; както и</w:t>
      </w:r>
    </w:p>
    <w:p w14:paraId="7B1CD0FD" w14:textId="4F33719A" w:rsidR="00EF2005" w:rsidRPr="008D633B" w:rsidRDefault="00B559BA" w:rsidP="00B559BA">
      <w:pPr>
        <w:pStyle w:val="Point0"/>
        <w:rPr>
          <w:noProof/>
        </w:rPr>
      </w:pPr>
      <w:r>
        <w:rPr>
          <w:noProof/>
        </w:rPr>
        <w:t>2)</w:t>
      </w:r>
      <w:r>
        <w:rPr>
          <w:noProof/>
        </w:rPr>
        <w:tab/>
      </w:r>
      <w:r w:rsidR="002F4509" w:rsidRPr="008D633B">
        <w:rPr>
          <w:noProof/>
        </w:rPr>
        <w:t>всяка инвестиция по смисъла на ДЕХ, която е инвестиция на инвеститор от Руската федерация или от Република Беларус, съгласно член 17, параграф 2, буква б) от ДЕХ.</w:t>
      </w:r>
    </w:p>
    <w:p w14:paraId="27C99B52" w14:textId="11A4D58E" w:rsidR="0008579F" w:rsidRPr="008D633B" w:rsidRDefault="00B20A2B" w:rsidP="00DE4380">
      <w:pPr>
        <w:spacing w:after="240"/>
        <w:rPr>
          <w:noProof/>
        </w:rPr>
      </w:pPr>
      <w:r w:rsidRPr="008D633B">
        <w:rPr>
          <w:noProof/>
        </w:rPr>
        <w:t>Европейският съюз и неговите държави членки приеха и поддържат санкции срещу Руската федерация във връзка с агресивната ѝ война срещу Украйна, както и срещу Република Беларус като съучастник в тази агресивна война. Санкциите включват мерки, които i) забраняват сделките с инвеститори от Руската федерация и от Република Беларус и ii) биха били нарушени или заобиколени, ако ползите по част III от ДЕХ бъдат предоставени на инвеститори от тези държави или на техните инвестиции.</w:t>
      </w:r>
    </w:p>
    <w:sectPr w:rsidR="0008579F" w:rsidRPr="008D633B" w:rsidSect="00B776AB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81D7B" w14:textId="77777777" w:rsidR="00FD328F" w:rsidRDefault="00FD328F" w:rsidP="00750070">
      <w:pPr>
        <w:spacing w:before="0" w:after="0"/>
      </w:pPr>
      <w:r>
        <w:separator/>
      </w:r>
    </w:p>
  </w:endnote>
  <w:endnote w:type="continuationSeparator" w:id="0">
    <w:p w14:paraId="355E02E3" w14:textId="77777777" w:rsidR="00FD328F" w:rsidRDefault="00FD328F" w:rsidP="0075007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2F21F" w14:textId="48EC35DD" w:rsidR="00B776AB" w:rsidRPr="00B776AB" w:rsidRDefault="00B776AB" w:rsidP="00B776AB">
    <w:pPr>
      <w:pStyle w:val="Footer"/>
      <w:rPr>
        <w:rFonts w:ascii="Arial" w:hAnsi="Arial" w:cs="Arial"/>
        <w:b/>
        <w:sz w:val="48"/>
      </w:rPr>
    </w:pPr>
    <w:r w:rsidRPr="00B776AB">
      <w:rPr>
        <w:rFonts w:ascii="Arial" w:hAnsi="Arial" w:cs="Arial"/>
        <w:b/>
        <w:sz w:val="48"/>
      </w:rPr>
      <w:t>BG</w:t>
    </w:r>
    <w:r w:rsidRPr="00B776AB">
      <w:rPr>
        <w:rFonts w:ascii="Arial" w:hAnsi="Arial" w:cs="Arial"/>
        <w:b/>
        <w:sz w:val="48"/>
      </w:rPr>
      <w:tab/>
    </w:r>
    <w:r w:rsidRPr="00B776AB">
      <w:rPr>
        <w:rFonts w:ascii="Arial" w:hAnsi="Arial" w:cs="Arial"/>
        <w:b/>
        <w:sz w:val="48"/>
      </w:rPr>
      <w:tab/>
    </w:r>
    <w:r w:rsidRPr="00B776AB">
      <w:tab/>
    </w:r>
    <w:r w:rsidRPr="00B776AB">
      <w:rPr>
        <w:rFonts w:ascii="Arial" w:hAnsi="Arial" w:cs="Arial"/>
        <w:b/>
        <w:sz w:val="48"/>
      </w:rPr>
      <w:t>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7F4F2" w14:textId="4F4F50E5" w:rsidR="00B776AB" w:rsidRPr="00B776AB" w:rsidRDefault="00B776AB" w:rsidP="00B776AB">
    <w:pPr>
      <w:pStyle w:val="Footer"/>
      <w:rPr>
        <w:rFonts w:ascii="Arial" w:hAnsi="Arial" w:cs="Arial"/>
        <w:b/>
        <w:sz w:val="48"/>
      </w:rPr>
    </w:pPr>
    <w:r w:rsidRPr="00B776AB">
      <w:rPr>
        <w:rFonts w:ascii="Arial" w:hAnsi="Arial" w:cs="Arial"/>
        <w:b/>
        <w:sz w:val="48"/>
      </w:rPr>
      <w:t>BG</w:t>
    </w:r>
    <w:r w:rsidRPr="00B776AB">
      <w:rPr>
        <w:rFonts w:ascii="Arial" w:hAnsi="Arial" w:cs="Arial"/>
        <w:b/>
        <w:sz w:val="48"/>
      </w:rPr>
      <w:tab/>
    </w:r>
    <w:r w:rsidRPr="00B776AB">
      <w:rPr>
        <w:rFonts w:ascii="Arial" w:hAnsi="Arial" w:cs="Arial"/>
        <w:b/>
        <w:sz w:val="48"/>
      </w:rPr>
      <w:tab/>
    </w:r>
    <w:r w:rsidRPr="00B776AB">
      <w:tab/>
    </w:r>
    <w:r w:rsidRPr="00B776AB"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F95EF" w14:textId="77777777" w:rsidR="00B776AB" w:rsidRPr="00B776AB" w:rsidRDefault="00B776AB" w:rsidP="00B776A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B12B1" w14:textId="77777777" w:rsidR="00B776AB" w:rsidRDefault="00B776A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3129A" w14:textId="37CD99C3" w:rsidR="00B776AB" w:rsidRPr="00B776AB" w:rsidRDefault="00B776AB" w:rsidP="00B776AB">
    <w:pPr>
      <w:pStyle w:val="Footer"/>
      <w:rPr>
        <w:rFonts w:ascii="Arial" w:hAnsi="Arial" w:cs="Arial"/>
        <w:b/>
        <w:sz w:val="48"/>
      </w:rPr>
    </w:pPr>
    <w:r w:rsidRPr="00B776AB">
      <w:rPr>
        <w:rFonts w:ascii="Arial" w:hAnsi="Arial" w:cs="Arial"/>
        <w:b/>
        <w:sz w:val="48"/>
      </w:rPr>
      <w:t>BG</w:t>
    </w:r>
    <w:r w:rsidRPr="00B776AB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 w:rsidRPr="00B776AB">
      <w:tab/>
    </w:r>
    <w:r w:rsidRPr="00B776AB">
      <w:rPr>
        <w:rFonts w:ascii="Arial" w:hAnsi="Arial" w:cs="Arial"/>
        <w:b/>
        <w:sz w:val="48"/>
      </w:rPr>
      <w:t>BG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8F97C" w14:textId="77777777" w:rsidR="00B776AB" w:rsidRDefault="00B776AB" w:rsidP="00B776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61318" w14:textId="77777777" w:rsidR="00FD328F" w:rsidRDefault="00FD328F" w:rsidP="00750070">
      <w:pPr>
        <w:spacing w:before="0" w:after="0"/>
      </w:pPr>
      <w:r>
        <w:separator/>
      </w:r>
    </w:p>
  </w:footnote>
  <w:footnote w:type="continuationSeparator" w:id="0">
    <w:p w14:paraId="3FDA0CCE" w14:textId="77777777" w:rsidR="00FD328F" w:rsidRDefault="00FD328F" w:rsidP="0075007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87577" w14:textId="77777777" w:rsidR="00B776AB" w:rsidRPr="00B776AB" w:rsidRDefault="00B776AB" w:rsidP="00B776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2EF3B" w14:textId="77777777" w:rsidR="00B776AB" w:rsidRPr="00B776AB" w:rsidRDefault="00B776AB" w:rsidP="00B776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87241" w14:textId="77777777" w:rsidR="00B776AB" w:rsidRPr="00B776AB" w:rsidRDefault="00B776AB" w:rsidP="00B776A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43BF3" w14:textId="77777777" w:rsidR="00B776AB" w:rsidRDefault="00B776A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30E7F" w14:textId="77777777" w:rsidR="00B776AB" w:rsidRDefault="00B776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2C980A8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6FEC14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6EDC56B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2F7060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4BE85B4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BFEA11B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A00B5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F3A42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2"/>
  </w:num>
  <w:num w:numId="12">
    <w:abstractNumId w:val="21"/>
  </w:num>
  <w:num w:numId="13">
    <w:abstractNumId w:val="11"/>
  </w:num>
  <w:num w:numId="14">
    <w:abstractNumId w:val="13"/>
  </w:num>
  <w:num w:numId="15">
    <w:abstractNumId w:val="14"/>
  </w:num>
  <w:num w:numId="16">
    <w:abstractNumId w:val="9"/>
  </w:num>
  <w:num w:numId="17">
    <w:abstractNumId w:val="20"/>
  </w:num>
  <w:num w:numId="18">
    <w:abstractNumId w:val="8"/>
  </w:num>
  <w:num w:numId="19">
    <w:abstractNumId w:val="15"/>
  </w:num>
  <w:num w:numId="20">
    <w:abstractNumId w:val="17"/>
  </w:num>
  <w:num w:numId="21">
    <w:abstractNumId w:val="18"/>
  </w:num>
  <w:num w:numId="22">
    <w:abstractNumId w:val="10"/>
  </w:num>
  <w:num w:numId="23">
    <w:abstractNumId w:val="16"/>
  </w:num>
  <w:num w:numId="24">
    <w:abstractNumId w:val="22"/>
  </w:num>
  <w:num w:numId="25">
    <w:abstractNumId w:val="19"/>
  </w:num>
  <w:num w:numId="26">
    <w:abstractNumId w:val="12"/>
  </w:num>
  <w:num w:numId="27">
    <w:abstractNumId w:val="21"/>
  </w:num>
  <w:num w:numId="28">
    <w:abstractNumId w:val="11"/>
  </w:num>
  <w:num w:numId="29">
    <w:abstractNumId w:val="13"/>
  </w:num>
  <w:num w:numId="30">
    <w:abstractNumId w:val="14"/>
  </w:num>
  <w:num w:numId="31">
    <w:abstractNumId w:val="9"/>
  </w:num>
  <w:num w:numId="32">
    <w:abstractNumId w:val="20"/>
  </w:num>
  <w:num w:numId="33">
    <w:abstractNumId w:val="8"/>
  </w:num>
  <w:num w:numId="34">
    <w:abstractNumId w:val="15"/>
  </w:num>
  <w:num w:numId="35">
    <w:abstractNumId w:val="17"/>
  </w:num>
  <w:num w:numId="36">
    <w:abstractNumId w:val="18"/>
  </w:num>
  <w:num w:numId="37">
    <w:abstractNumId w:val="10"/>
  </w:num>
  <w:num w:numId="38">
    <w:abstractNumId w:val="16"/>
  </w:num>
  <w:num w:numId="39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4-03-26 10:00:38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ACCOMPAGNANT" w:val="\u1082?\u1098?\u1084?"/>
    <w:docVar w:name="LW_ACCOMPAGNANT.CP" w:val="\u1082?\u1098?\u1084?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00CE4C03-7FC1-48F5-848D-6EC6E326C455"/>
    <w:docVar w:name="LW_COVERPAGE_TYPE" w:val="1"/>
    <w:docVar w:name="LW_CROSSREFERENCE" w:val="&lt;UNUSED&gt;"/>
    <w:docVar w:name="LW_DocType" w:val="ANNEX"/>
    <w:docVar w:name="LW_EMISSION" w:val="27.3.2024"/>
    <w:docVar w:name="LW_EMISSION_ISODATE" w:val="2024-03-27"/>
    <w:docVar w:name="LW_EMISSION_LOCATION" w:val="BRX"/>
    <w:docVar w:name="LW_EMISSION_PREFIX" w:val="\u1041?\u1088?\u1102?\u1082?\u1089?\u1077?\u1083?, "/>
    <w:docVar w:name="LW_EMISSION_SUFFIX" w:val=" \u1075?."/>
    <w:docVar w:name="LW_ID_DOCSTRUCTURE" w:val="COM/ANNEX"/>
    <w:docVar w:name="LW_ID_DOCTYPE" w:val="SG-017"/>
    <w:docVar w:name="LW_LANGUE" w:val="BG"/>
    <w:docVar w:name="LW_LEVEL_OF_SENSITIVITY" w:val="Standard treatment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" w:val="\u1079?\u1072? \u1095?\u1072?\u1089?\u1090?\u1080?\u1095?\u1085?\u1086? \u1089?\u1087?\u1080?\u1088?\u1072?\u1085?\u1077? \u1085?\u1072? \u1087?\u1088?\u1080?\u1083?\u1072?\u1075?\u1072?\u1085?\u1077?\u1090?\u1086? \u1085?\u1072? \u1044?\u1086?\u1075?\u1086?\u1074?\u1086?\u1088?\u1072? \u1079?\u1072? \u1045?\u1085?\u1077?\u1088?\u1075?\u1080?\u1081?\u1085?\u1072?\u1090?\u1072? \u1093?\u1072?\u1088?\u1090?\u1072? \u1084?\u1077?\u1078?\u1076?\u1091? \u1045?\u1074?\u1088?\u1086?\u1087?\u1077?\u1081?\u1089?\u1082?\u1072?\u1090?\u1072? \u1086?\u1073?\u1097?\u1085?\u1086?\u1089?\u1090? \u1079?\u1072? \u1072?\u1090?\u1086?\u1084?\u1085?\u1072? \u1077?\u1085?\u1077?\u1088?\u1075?\u1080?\u1103? (\u1045?\u1074?\u1088?\u1072?\u1090?\u1086?\u1084?) \u1080? \u1074?\u1089?\u1103?\u1082?\u1086? \u1102?\u1088?\u1080?\u1076?\u1080?\u1095?\u1077?\u1089?\u1082?\u1086? \u1083?\u1080?\u1094?\u1077?, \u1087?\u1088?\u1080?\u1090?\u1077?\u1078?\u1072?\u1074?\u1072?\u1085?\u1086? \u1080?\u1083?\u1080? \u1082?\u1086?\u1085?\u1090?\u1088?\u1086?\u1083?\u1080?\u1088?\u1072?\u1085?\u1086? \u1086?\u1090? \u1075?\u1088?\u1072?\u1078?\u1076?\u1072?\u1085?\u1080? \u1080?\u1083?\u1080? \u1087?\u1086?\u1076?\u1072?\u1085?\u1080?\u1094?\u1080? \u1085?\u1072? \u1056?\u1091?\u1089?\u1082?\u1072?\u1090?\u1072? \u1092?\u1077?\u1076?\u1077?\u1088?\u1072?\u1094?\u1080?\u1103? \u1080?\u1083?\u1080? \u1085?\u1072? \u1056?\u1077?\u1087?\u1091?\u1073?\u1083?\u1080?\u1082?\u1072? \u1041?\u1077?\u1083?\u1072?\u1088?\u1091?\u1089?, \u1082?\u1072?\u1082?\u1090?\u1086? \u1080? \u1074?\u1089?\u1103?\u1082?\u1072? \u1080?\u1085?\u1074?\u1077?\u1089?\u1090?\u1080?\u1094?\u1080?\u1103? \u1087?\u1086? \u1089?\u1084?\u1080?\u1089?\u1098?\u1083?\u1072? \u1085?\u1072? \u1044?\u1086?\u1075?\u1086?\u1074?\u1086?\u1088?\u1072? \u1079?\u1072? \u1045?\u1085?\u1077?\u1088?\u1075?\u1080?\u1081?\u1085?\u1072?\u1090?\u1072? \u1093?\u1072?\u1088?\u1090?\u1072?, \u1082?\u1086?\u1103?\u1090?\u1086? \u1077? \u1080?\u1085?\u1074?\u1077?\u1089?\u1090?\u1080?\u1094?\u1080?\u1103? \u1085?\u1072? \u1080?\u1085?\u1074?\u1077?\u1089?\u1090?\u1080?\u1090?\u1086?\u1088? \u1086?\u1090? \u1056?\u1091?\u1089?\u1082?\u1072?\u1090?\u1072? \u1092?\u1077?\u1076?\u1077?\u1088?\u1072?\u1094?\u1080?\u1103? \u1080?\u1083?\u1080? \u1086?\u1090? \u1056?\u1077?\u1087?\u1091?\u1073?\u1083?\u1080?\u1082?\u1072? \u1041?\u1077?\u1083?\u1072?\u1088?\u1091?\u1089?"/>
    <w:docVar w:name="LW_OBJETACTEPRINCIPAL.CP" w:val="\u1079?\u1072? \u1095?\u1072?\u1089?\u1090?\u1080?\u1095?\u1085?\u1086? \u1089?\u1087?\u1080?\u1088?\u1072?\u1085?\u1077? \u1085?\u1072? \u1087?\u1088?\u1080?\u1083?\u1072?\u1075?\u1072?\u1085?\u1077?\u1090?\u1086? \u1085?\u1072? \u1044?\u1086?\u1075?\u1086?\u1074?\u1086?\u1088?\u1072? \u1079?\u1072? \u1045?\u1085?\u1077?\u1088?\u1075?\u1080?\u1081?\u1085?\u1072?\u1090?\u1072? \u1093?\u1072?\u1088?\u1090?\u1072? \u1084?\u1077?\u1078?\u1076?\u1091? \u1045?\u1074?\u1088?\u1086?\u1087?\u1077?\u1081?\u1089?\u1082?\u1072?\u1090?\u1072? \u1086?\u1073?\u1097?\u1085?\u1086?\u1089?\u1090? \u1079?\u1072? \u1072?\u1090?\u1086?\u1084?\u1085?\u1072? \u1077?\u1085?\u1077?\u1088?\u1075?\u1080?\u1103? (\u1045?\u1074?\u1088?\u1072?\u1090?\u1086?\u1084?) \u1080? \u1074?\u1089?\u1103?\u1082?\u1086? \u1102?\u1088?\u1080?\u1076?\u1080?\u1095?\u1077?\u1089?\u1082?\u1086? \u1083?\u1080?\u1094?\u1077?, \u1087?\u1088?\u1080?\u1090?\u1077?\u1078?\u1072?\u1074?\u1072?\u1085?\u1086? \u1080?\u1083?\u1080? \u1082?\u1086?\u1085?\u1090?\u1088?\u1086?\u1083?\u1080?\u1088?\u1072?\u1085?\u1086? \u1086?\u1090? \u1075?\u1088?\u1072?\u1078?\u1076?\u1072?\u1085?\u1080? \u1080?\u1083?\u1080? \u1087?\u1086?\u1076?\u1072?\u1085?\u1080?\u1094?\u1080? \u1085?\u1072? \u1056?\u1091?\u1089?\u1082?\u1072?\u1090?\u1072? \u1092?\u1077?\u1076?\u1077?\u1088?\u1072?\u1094?\u1080?\u1103? \u1080?\u1083?\u1080? \u1085?\u1072? \u1056?\u1077?\u1087?\u1091?\u1073?\u1083?\u1080?\u1082?\u1072? \u1041?\u1077?\u1083?\u1072?\u1088?\u1091?\u1089?, \u1082?\u1072?\u1082?\u1090?\u1086? \u1080? \u1074?\u1089?\u1103?\u1082?\u1072? \u1080?\u1085?\u1074?\u1077?\u1089?\u1090?\u1080?\u1094?\u1080?\u1103? \u1087?\u1086? \u1089?\u1084?\u1080?\u1089?\u1098?\u1083?\u1072? \u1085?\u1072? \u1044?\u1086?\u1075?\u1086?\u1074?\u1086?\u1088?\u1072? \u1079?\u1072? \u1045?\u1085?\u1077?\u1088?\u1075?\u1080?\u1081?\u1085?\u1072?\u1090?\u1072? \u1093?\u1072?\u1088?\u1090?\u1072?, \u1082?\u1086?\u1103?\u1090?\u1086? \u1077? \u1080?\u1085?\u1074?\u1077?\u1089?\u1090?\u1080?\u1094?\u1080?\u1103? \u1085?\u1072? \u1080?\u1085?\u1074?\u1077?\u1089?\u1090?\u1080?\u1090?\u1086?\u1088? \u1086?\u1090? \u1056?\u1091?\u1089?\u1082?\u1072?\u1090?\u1072? \u1092?\u1077?\u1076?\u1077?\u1088?\u1072?\u1094?\u1080?\u1103? \u1080?\u1083?\u1080? \u1086?\u1090? \u1056?\u1077?\u1087?\u1091?\u1073?\u1083?\u1080?\u1082?\u1072? \u1041?\u1077?\u1083?\u1072?\u1088?\u1091?\u1089?"/>
    <w:docVar w:name="LW_PART_NBR" w:val="1"/>
    <w:docVar w:name="LW_PART_NBR_TOTAL" w:val="1"/>
    <w:docVar w:name="LW_REF.INST.NEW" w:val="COM"/>
    <w:docVar w:name="LW_REF.INST.NEW_ADOPTED" w:val="final"/>
    <w:docVar w:name="LW_REF.INST.NEW_TEXT" w:val="(2024) 143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" w:val="\u1055?\u1056?\u1048?\u1051?\u1054?\u1046?\u1045?\u1053?\u1048?\u1045?"/>
    <w:docVar w:name="LW_TYPE.DOC.CP" w:val="\u1055?\u1056?\u1048?\u1051?\u1054?\u1046?\u1045?\u1053?\u1048?\u1045?"/>
    <w:docVar w:name="LW_TYPEACTEPRINCIPAL" w:val="\u1055?\u1088?\u1077?\u1076?\u1083?\u1086?\u1078?\u1077?\u1085?\u1080?\u1077? \u1079?\u1072? \u1056?\u1077?\u1096?\u1077?\u1085?\u1080?\u1077? \u1085?\u1072? \u1057?\u1098?\u1074?\u1077?\u1090?\u1072?"/>
    <w:docVar w:name="LW_TYPEACTEPRINCIPAL.CP" w:val="\u1055?\u1088?\u1077?\u1076?\u1083?\u1086?\u1078?\u1077?\u1085?\u1080?\u1077? \u1079?\u1072? \u1056?\u1077?\u1096?\u1077?\u1085?\u1080?\u1077? \u1085?\u1072? \u1057?\u1098?\u1074?\u1077?\u1090?\u1072?"/>
    <w:docVar w:name="LwApiVersions" w:val="LW4CoDe 1.24.5.0; LW 9.0, Build 20240221"/>
  </w:docVars>
  <w:rsids>
    <w:rsidRoot w:val="00750070"/>
    <w:rsid w:val="00020F45"/>
    <w:rsid w:val="00024491"/>
    <w:rsid w:val="0008579F"/>
    <w:rsid w:val="000B367C"/>
    <w:rsid w:val="000F0764"/>
    <w:rsid w:val="00122305"/>
    <w:rsid w:val="00165C4F"/>
    <w:rsid w:val="0018375F"/>
    <w:rsid w:val="001C0BED"/>
    <w:rsid w:val="001C6D18"/>
    <w:rsid w:val="001F343E"/>
    <w:rsid w:val="001F45F5"/>
    <w:rsid w:val="002903EA"/>
    <w:rsid w:val="002F4509"/>
    <w:rsid w:val="00407D28"/>
    <w:rsid w:val="0041198F"/>
    <w:rsid w:val="00430BBE"/>
    <w:rsid w:val="004413E0"/>
    <w:rsid w:val="00492EB7"/>
    <w:rsid w:val="00502C55"/>
    <w:rsid w:val="00553CB0"/>
    <w:rsid w:val="00576BA3"/>
    <w:rsid w:val="005C4EA1"/>
    <w:rsid w:val="00626E37"/>
    <w:rsid w:val="00640E9E"/>
    <w:rsid w:val="006A6BCB"/>
    <w:rsid w:val="006C3A42"/>
    <w:rsid w:val="007124BB"/>
    <w:rsid w:val="00725156"/>
    <w:rsid w:val="00750070"/>
    <w:rsid w:val="0081660A"/>
    <w:rsid w:val="008D633B"/>
    <w:rsid w:val="008D6398"/>
    <w:rsid w:val="00905D22"/>
    <w:rsid w:val="009233C6"/>
    <w:rsid w:val="00925447"/>
    <w:rsid w:val="009E114C"/>
    <w:rsid w:val="00A05EFF"/>
    <w:rsid w:val="00A551B3"/>
    <w:rsid w:val="00A6243B"/>
    <w:rsid w:val="00A71F6D"/>
    <w:rsid w:val="00AA389F"/>
    <w:rsid w:val="00AC1DF1"/>
    <w:rsid w:val="00B151AE"/>
    <w:rsid w:val="00B20A2B"/>
    <w:rsid w:val="00B33C04"/>
    <w:rsid w:val="00B559BA"/>
    <w:rsid w:val="00B776AB"/>
    <w:rsid w:val="00BA4F3C"/>
    <w:rsid w:val="00BB30BC"/>
    <w:rsid w:val="00BC46C4"/>
    <w:rsid w:val="00BF1F24"/>
    <w:rsid w:val="00C31697"/>
    <w:rsid w:val="00C953CA"/>
    <w:rsid w:val="00CC5C73"/>
    <w:rsid w:val="00D328C4"/>
    <w:rsid w:val="00D33986"/>
    <w:rsid w:val="00D53365"/>
    <w:rsid w:val="00D5630A"/>
    <w:rsid w:val="00D904D5"/>
    <w:rsid w:val="00DE4380"/>
    <w:rsid w:val="00E0702A"/>
    <w:rsid w:val="00E91016"/>
    <w:rsid w:val="00E93163"/>
    <w:rsid w:val="00EF2005"/>
    <w:rsid w:val="00F7024E"/>
    <w:rsid w:val="00F82260"/>
    <w:rsid w:val="00F82B79"/>
    <w:rsid w:val="00FC2405"/>
    <w:rsid w:val="00FC332E"/>
    <w:rsid w:val="00FD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36CD333"/>
  <w15:docId w15:val="{57459EB6-9B52-4A1E-946F-4E495E60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bg-BG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2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2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2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2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32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32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32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objet">
    <w:name w:val="Titre objet"/>
    <w:basedOn w:val="Normal"/>
    <w:next w:val="Normal"/>
    <w:rsid w:val="00FD328F"/>
    <w:pPr>
      <w:spacing w:before="360" w:after="360"/>
      <w:jc w:val="center"/>
    </w:pPr>
    <w:rPr>
      <w:b/>
    </w:rPr>
  </w:style>
  <w:style w:type="paragraph" w:styleId="ListBullet">
    <w:name w:val="List Bullet"/>
    <w:basedOn w:val="Normal"/>
    <w:uiPriority w:val="99"/>
    <w:semiHidden/>
    <w:unhideWhenUsed/>
    <w:rsid w:val="006C3A4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C3A4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C3A4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C3A42"/>
    <w:pPr>
      <w:numPr>
        <w:numId w:val="4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AA389F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A389F"/>
    <w:pPr>
      <w:spacing w:after="0"/>
    </w:pPr>
  </w:style>
  <w:style w:type="paragraph" w:styleId="ListNumber">
    <w:name w:val="List Number"/>
    <w:basedOn w:val="Normal"/>
    <w:uiPriority w:val="99"/>
    <w:semiHidden/>
    <w:unhideWhenUsed/>
    <w:rsid w:val="00AA389F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A389F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A389F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A389F"/>
    <w:pPr>
      <w:numPr>
        <w:numId w:val="8"/>
      </w:numPr>
      <w:contextualSpacing/>
    </w:pPr>
  </w:style>
  <w:style w:type="paragraph" w:styleId="Revision">
    <w:name w:val="Revision"/>
    <w:hidden/>
    <w:uiPriority w:val="99"/>
    <w:semiHidden/>
    <w:rsid w:val="00A05EF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0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7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764"/>
    <w:rPr>
      <w:rFonts w:ascii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764"/>
    <w:rPr>
      <w:rFonts w:ascii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sid w:val="000F076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F0764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B776AB"/>
    <w:rPr>
      <w:rFonts w:ascii="Times New Roman" w:hAnsi="Times New Roman" w:cs="Times New Roman"/>
      <w:sz w:val="24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B776AB"/>
    <w:rPr>
      <w:rFonts w:ascii="Times New Roman" w:hAnsi="Times New Roman" w:cs="Times New Roman"/>
      <w:sz w:val="24"/>
      <w:lang w:val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B776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B776AB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B776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25"/>
      </w:numPr>
    </w:pPr>
  </w:style>
  <w:style w:type="paragraph" w:customStyle="1" w:styleId="Tiret1">
    <w:name w:val="Tiret 1"/>
    <w:basedOn w:val="Point1"/>
    <w:pPr>
      <w:numPr>
        <w:numId w:val="26"/>
      </w:numPr>
    </w:pPr>
  </w:style>
  <w:style w:type="paragraph" w:customStyle="1" w:styleId="Tiret2">
    <w:name w:val="Tiret 2"/>
    <w:basedOn w:val="Point2"/>
    <w:pPr>
      <w:numPr>
        <w:numId w:val="27"/>
      </w:numPr>
    </w:pPr>
  </w:style>
  <w:style w:type="paragraph" w:customStyle="1" w:styleId="Tiret3">
    <w:name w:val="Tiret 3"/>
    <w:basedOn w:val="Point3"/>
    <w:pPr>
      <w:numPr>
        <w:numId w:val="28"/>
      </w:numPr>
    </w:pPr>
  </w:style>
  <w:style w:type="paragraph" w:customStyle="1" w:styleId="Tiret4">
    <w:name w:val="Tiret 4"/>
    <w:basedOn w:val="Point4"/>
    <w:pPr>
      <w:numPr>
        <w:numId w:val="29"/>
      </w:numPr>
    </w:pPr>
  </w:style>
  <w:style w:type="paragraph" w:customStyle="1" w:styleId="Tiret5">
    <w:name w:val="Tiret 5"/>
    <w:basedOn w:val="Point5"/>
    <w:pPr>
      <w:numPr>
        <w:numId w:val="30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31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31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31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31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31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31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31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3"/>
      </w:numPr>
    </w:pPr>
  </w:style>
  <w:style w:type="paragraph" w:customStyle="1" w:styleId="Point1number">
    <w:name w:val="Point 1 (number)"/>
    <w:basedOn w:val="Normal"/>
    <w:pPr>
      <w:numPr>
        <w:ilvl w:val="2"/>
        <w:numId w:val="33"/>
      </w:numPr>
    </w:pPr>
  </w:style>
  <w:style w:type="paragraph" w:customStyle="1" w:styleId="Point2number">
    <w:name w:val="Point 2 (number)"/>
    <w:basedOn w:val="Normal"/>
    <w:pPr>
      <w:numPr>
        <w:ilvl w:val="4"/>
        <w:numId w:val="33"/>
      </w:numPr>
    </w:pPr>
  </w:style>
  <w:style w:type="paragraph" w:customStyle="1" w:styleId="Point3number">
    <w:name w:val="Point 3 (number)"/>
    <w:basedOn w:val="Normal"/>
    <w:pPr>
      <w:numPr>
        <w:ilvl w:val="6"/>
        <w:numId w:val="33"/>
      </w:numPr>
    </w:pPr>
  </w:style>
  <w:style w:type="paragraph" w:customStyle="1" w:styleId="Point0letter">
    <w:name w:val="Point 0 (letter)"/>
    <w:basedOn w:val="Normal"/>
    <w:pPr>
      <w:numPr>
        <w:ilvl w:val="1"/>
        <w:numId w:val="33"/>
      </w:numPr>
    </w:pPr>
  </w:style>
  <w:style w:type="paragraph" w:customStyle="1" w:styleId="Point1letter">
    <w:name w:val="Point 1 (letter)"/>
    <w:basedOn w:val="Normal"/>
    <w:pPr>
      <w:numPr>
        <w:ilvl w:val="3"/>
        <w:numId w:val="33"/>
      </w:numPr>
    </w:pPr>
  </w:style>
  <w:style w:type="paragraph" w:customStyle="1" w:styleId="Point2letter">
    <w:name w:val="Point 2 (letter)"/>
    <w:basedOn w:val="Normal"/>
    <w:pPr>
      <w:numPr>
        <w:ilvl w:val="5"/>
        <w:numId w:val="33"/>
      </w:numPr>
    </w:pPr>
  </w:style>
  <w:style w:type="paragraph" w:customStyle="1" w:styleId="Point3letter">
    <w:name w:val="Point 3 (letter)"/>
    <w:basedOn w:val="Normal"/>
    <w:pPr>
      <w:numPr>
        <w:ilvl w:val="7"/>
        <w:numId w:val="33"/>
      </w:numPr>
    </w:pPr>
  </w:style>
  <w:style w:type="paragraph" w:customStyle="1" w:styleId="Point4letter">
    <w:name w:val="Point 4 (letter)"/>
    <w:basedOn w:val="Normal"/>
    <w:pPr>
      <w:numPr>
        <w:ilvl w:val="8"/>
        <w:numId w:val="33"/>
      </w:numPr>
    </w:pPr>
  </w:style>
  <w:style w:type="paragraph" w:customStyle="1" w:styleId="Bullet0">
    <w:name w:val="Bullet 0"/>
    <w:basedOn w:val="Normal"/>
    <w:pPr>
      <w:numPr>
        <w:numId w:val="34"/>
      </w:numPr>
    </w:pPr>
  </w:style>
  <w:style w:type="paragraph" w:customStyle="1" w:styleId="Bullet1">
    <w:name w:val="Bullet 1"/>
    <w:basedOn w:val="Normal"/>
    <w:pPr>
      <w:numPr>
        <w:numId w:val="35"/>
      </w:numPr>
    </w:pPr>
  </w:style>
  <w:style w:type="paragraph" w:customStyle="1" w:styleId="Bullet2">
    <w:name w:val="Bullet 2"/>
    <w:basedOn w:val="Normal"/>
    <w:pPr>
      <w:numPr>
        <w:numId w:val="36"/>
      </w:numPr>
    </w:pPr>
  </w:style>
  <w:style w:type="paragraph" w:customStyle="1" w:styleId="Bullet3">
    <w:name w:val="Bullet 3"/>
    <w:basedOn w:val="Normal"/>
    <w:pPr>
      <w:numPr>
        <w:numId w:val="37"/>
      </w:numPr>
    </w:pPr>
  </w:style>
  <w:style w:type="paragraph" w:customStyle="1" w:styleId="Bullet4">
    <w:name w:val="Bullet 4"/>
    <w:basedOn w:val="Normal"/>
    <w:pPr>
      <w:numPr>
        <w:numId w:val="38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9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B776AB"/>
    <w:pPr>
      <w:tabs>
        <w:tab w:val="center" w:pos="4535"/>
        <w:tab w:val="right" w:pos="9071"/>
      </w:tabs>
      <w:spacing w:before="0"/>
    </w:pPr>
  </w:style>
  <w:style w:type="paragraph" w:customStyle="1" w:styleId="HeaderLandscape">
    <w:name w:val="HeaderLandscape"/>
    <w:basedOn w:val="Normal"/>
    <w:rsid w:val="00B776AB"/>
    <w:pPr>
      <w:tabs>
        <w:tab w:val="center" w:pos="7285"/>
        <w:tab w:val="right" w:pos="14003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B776AB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customStyle="1" w:styleId="FooterLandscape">
    <w:name w:val="FooterLandscape"/>
    <w:basedOn w:val="Normal"/>
    <w:rsid w:val="00B776AB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8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SCHUBERT Alexander (TRADE)</dc:creator>
  <cp:keywords/>
  <dc:description/>
  <cp:lastModifiedBy>EC CoDe</cp:lastModifiedBy>
  <cp:revision>22</cp:revision>
  <cp:lastPrinted>2024-02-15T16:50:00Z</cp:lastPrinted>
  <dcterms:created xsi:type="dcterms:W3CDTF">2024-02-15T16:50:00Z</dcterms:created>
  <dcterms:modified xsi:type="dcterms:W3CDTF">2024-03-26T09:00:00Z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8.0.25.0</vt:lpwstr>
  </property>
  <property fmtid="{D5CDD505-2E9C-101B-9397-08002B2CF9AE}" pid="4" name="Last edited using">
    <vt:lpwstr>LW 9.0, Build 20230317</vt:lpwstr>
  </property>
  <property fmtid="{D5CDD505-2E9C-101B-9397-08002B2CF9AE}" pid="5" name="Created using">
    <vt:lpwstr>LW 9.0, Build 20230317</vt:lpwstr>
  </property>
  <property fmtid="{D5CDD505-2E9C-101B-9397-08002B2CF9AE}" pid="6" name="First annex">
    <vt:lpwstr>1</vt:lpwstr>
  </property>
  <property fmtid="{D5CDD505-2E9C-101B-9397-08002B2CF9AE}" pid="7" name="Last annex">
    <vt:lpwstr>1</vt:lpwstr>
  </property>
  <property fmtid="{D5CDD505-2E9C-101B-9397-08002B2CF9AE}" pid="8" name="Unique annex">
    <vt:lpwstr>1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evel of sensitivity">
    <vt:lpwstr>Standard treatment</vt:lpwstr>
  </property>
  <property fmtid="{D5CDD505-2E9C-101B-9397-08002B2CF9AE}" pid="12" name="LWTemplateID">
    <vt:lpwstr>SG-017</vt:lpwstr>
  </property>
  <property fmtid="{D5CDD505-2E9C-101B-9397-08002B2CF9AE}" pid="13" name="MSIP_Label_6bd9ddd1-4d20-43f6-abfa-fc3c07406f94_Enabled">
    <vt:lpwstr>true</vt:lpwstr>
  </property>
  <property fmtid="{D5CDD505-2E9C-101B-9397-08002B2CF9AE}" pid="14" name="MSIP_Label_6bd9ddd1-4d20-43f6-abfa-fc3c07406f94_SetDate">
    <vt:lpwstr>2023-07-12T11:26:02Z</vt:lpwstr>
  </property>
  <property fmtid="{D5CDD505-2E9C-101B-9397-08002B2CF9AE}" pid="15" name="MSIP_Label_6bd9ddd1-4d20-43f6-abfa-fc3c07406f94_Method">
    <vt:lpwstr>Privileged</vt:lpwstr>
  </property>
  <property fmtid="{D5CDD505-2E9C-101B-9397-08002B2CF9AE}" pid="16" name="MSIP_Label_6bd9ddd1-4d20-43f6-abfa-fc3c07406f94_Name">
    <vt:lpwstr>Commission Use</vt:lpwstr>
  </property>
  <property fmtid="{D5CDD505-2E9C-101B-9397-08002B2CF9AE}" pid="17" name="MSIP_Label_6bd9ddd1-4d20-43f6-abfa-fc3c07406f94_SiteId">
    <vt:lpwstr>b24c8b06-522c-46fe-9080-70926f8dddb1</vt:lpwstr>
  </property>
  <property fmtid="{D5CDD505-2E9C-101B-9397-08002B2CF9AE}" pid="18" name="MSIP_Label_6bd9ddd1-4d20-43f6-abfa-fc3c07406f94_ActionId">
    <vt:lpwstr>d327615d-aa89-4d09-8663-593412a0e498</vt:lpwstr>
  </property>
  <property fmtid="{D5CDD505-2E9C-101B-9397-08002B2CF9AE}" pid="19" name="MSIP_Label_6bd9ddd1-4d20-43f6-abfa-fc3c07406f94_ContentBits">
    <vt:lpwstr>0</vt:lpwstr>
  </property>
  <property fmtid="{D5CDD505-2E9C-101B-9397-08002B2CF9AE}" pid="20" name="DQCStatus">
    <vt:lpwstr>Green (DQC version 03)</vt:lpwstr>
  </property>
</Properties>
</file>