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B1F06" w14:textId="2C22DD38" w:rsidR="002F72EE" w:rsidRDefault="00F12BC6" w:rsidP="00F12BC6">
      <w:pPr>
        <w:pStyle w:val="Pagedecouverture"/>
        <w:rPr>
          <w:noProof/>
          <w:lang w:val="en-IE"/>
        </w:rPr>
      </w:pPr>
      <w:bookmarkStart w:id="0" w:name="_Hlk158021590"/>
      <w:bookmarkStart w:id="1" w:name="LW_BM_COVERPAGE"/>
      <w:r>
        <w:rPr>
          <w:noProof/>
          <w:lang w:val="en-IE"/>
        </w:rPr>
        <w:pict w14:anchorId="23753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9269571-72C5-4D89-8B6B-AB213FB20505" style="width:455.25pt;height:324pt">
            <v:imagedata r:id="rId11" o:title=""/>
          </v:shape>
        </w:pict>
      </w:r>
    </w:p>
    <w:bookmarkEnd w:id="1"/>
    <w:p w14:paraId="3C1AF9E0" w14:textId="77777777" w:rsidR="00F12BC6" w:rsidRPr="00F12BC6" w:rsidRDefault="00F12BC6" w:rsidP="00F12BC6">
      <w:pPr>
        <w:pStyle w:val="Pagedecouverture"/>
        <w:rPr>
          <w:lang w:val="en-IE"/>
        </w:rPr>
        <w:sectPr w:rsidR="00F12BC6" w:rsidRPr="00F12BC6" w:rsidSect="00F12BC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7AF130D" w14:textId="1C8A464D" w:rsidR="0032594D" w:rsidRPr="00D33F79" w:rsidRDefault="00FA4BA5" w:rsidP="00A72FD2">
      <w:pPr>
        <w:rPr>
          <w:rFonts w:ascii="Times New Roman" w:eastAsia="Calibri" w:hAnsi="Times New Roman" w:cs="Times New Roman"/>
          <w:b/>
          <w:bCs/>
          <w:noProof/>
          <w:sz w:val="24"/>
          <w:szCs w:val="24"/>
          <w:lang w:val="en-IE"/>
        </w:rPr>
      </w:pPr>
      <w:bookmarkStart w:id="2" w:name="_GoBack"/>
      <w:bookmarkEnd w:id="2"/>
      <w:r w:rsidRPr="00D33F79">
        <w:rPr>
          <w:rFonts w:ascii="Times New Roman" w:eastAsia="Calibri" w:hAnsi="Times New Roman" w:cs="Times New Roman"/>
          <w:b/>
          <w:bCs/>
          <w:noProof/>
          <w:sz w:val="24"/>
          <w:szCs w:val="24"/>
          <w:lang w:val="en-IE"/>
        </w:rPr>
        <w:lastRenderedPageBreak/>
        <w:t>202</w:t>
      </w:r>
      <w:r w:rsidR="009D1ED2" w:rsidRPr="00D33F79">
        <w:rPr>
          <w:rFonts w:ascii="Times New Roman" w:eastAsia="Calibri" w:hAnsi="Times New Roman" w:cs="Times New Roman"/>
          <w:b/>
          <w:bCs/>
          <w:noProof/>
          <w:sz w:val="24"/>
          <w:szCs w:val="24"/>
          <w:lang w:val="en-IE"/>
        </w:rPr>
        <w:t>3</w:t>
      </w:r>
      <w:r w:rsidRPr="00D33F79">
        <w:rPr>
          <w:rFonts w:ascii="Times New Roman" w:eastAsia="Calibri" w:hAnsi="Times New Roman" w:cs="Times New Roman"/>
          <w:b/>
          <w:bCs/>
          <w:noProof/>
          <w:sz w:val="24"/>
          <w:szCs w:val="24"/>
          <w:lang w:val="en-IE"/>
        </w:rPr>
        <w:t xml:space="preserve"> </w:t>
      </w:r>
      <w:r w:rsidR="0032594D" w:rsidRPr="00D33F79">
        <w:rPr>
          <w:rFonts w:ascii="Times New Roman" w:eastAsia="Calibri" w:hAnsi="Times New Roman" w:cs="Times New Roman"/>
          <w:b/>
          <w:bCs/>
          <w:noProof/>
          <w:sz w:val="24"/>
          <w:szCs w:val="24"/>
          <w:lang w:val="en-IE"/>
        </w:rPr>
        <w:t>Report from the European Commission on CO</w:t>
      </w:r>
      <w:r w:rsidR="0032594D" w:rsidRPr="00D33F79">
        <w:rPr>
          <w:rFonts w:ascii="Times New Roman" w:eastAsia="Calibri" w:hAnsi="Times New Roman" w:cs="Times New Roman"/>
          <w:b/>
          <w:bCs/>
          <w:noProof/>
          <w:sz w:val="24"/>
          <w:szCs w:val="24"/>
          <w:vertAlign w:val="subscript"/>
          <w:lang w:val="en-IE"/>
        </w:rPr>
        <w:t>2</w:t>
      </w:r>
      <w:r w:rsidR="0032594D" w:rsidRPr="00D33F79">
        <w:rPr>
          <w:rFonts w:ascii="Times New Roman" w:eastAsia="Calibri" w:hAnsi="Times New Roman" w:cs="Times New Roman"/>
          <w:b/>
          <w:bCs/>
          <w:noProof/>
          <w:sz w:val="24"/>
          <w:szCs w:val="24"/>
          <w:lang w:val="en-IE"/>
        </w:rPr>
        <w:t xml:space="preserve"> Emissions from Marit</w:t>
      </w:r>
      <w:r w:rsidR="002F2A69" w:rsidRPr="00D33F79">
        <w:rPr>
          <w:rFonts w:ascii="Times New Roman" w:eastAsia="Calibri" w:hAnsi="Times New Roman" w:cs="Times New Roman"/>
          <w:b/>
          <w:bCs/>
          <w:noProof/>
          <w:sz w:val="24"/>
          <w:szCs w:val="24"/>
          <w:lang w:val="en-IE"/>
        </w:rPr>
        <w:t xml:space="preserve">ime Transport </w:t>
      </w:r>
    </w:p>
    <w:p w14:paraId="6D53FE75" w14:textId="05C7077F" w:rsidR="000417D9" w:rsidRPr="00D33F79" w:rsidRDefault="0032594D" w:rsidP="68D47371">
      <w:pPr>
        <w:numPr>
          <w:ilvl w:val="0"/>
          <w:numId w:val="3"/>
        </w:numPr>
        <w:spacing w:after="0" w:line="240" w:lineRule="auto"/>
        <w:contextualSpacing/>
        <w:textAlignment w:val="baseline"/>
        <w:rPr>
          <w:rFonts w:ascii="Times New Roman" w:eastAsia="Times New Roman" w:hAnsi="Times New Roman" w:cs="Times New Roman"/>
          <w:b/>
          <w:bCs/>
          <w:noProof/>
          <w:color w:val="000000" w:themeColor="text1"/>
          <w:sz w:val="24"/>
          <w:szCs w:val="24"/>
          <w:lang w:val="en-IE" w:eastAsia="en-IE"/>
        </w:rPr>
      </w:pPr>
      <w:r w:rsidRPr="00D33F79">
        <w:rPr>
          <w:rFonts w:ascii="Times New Roman" w:eastAsia="Calibri" w:hAnsi="Times New Roman" w:cs="Times New Roman"/>
          <w:b/>
          <w:bCs/>
          <w:noProof/>
          <w:sz w:val="24"/>
          <w:szCs w:val="24"/>
          <w:lang w:val="en-IE"/>
        </w:rPr>
        <w:t xml:space="preserve">Introduction </w:t>
      </w:r>
    </w:p>
    <w:p w14:paraId="3D76A75B" w14:textId="17DF7319" w:rsidR="000417D9" w:rsidRPr="00D33F79" w:rsidRDefault="000417D9" w:rsidP="0DFA728B">
      <w:pPr>
        <w:spacing w:after="0" w:line="240" w:lineRule="auto"/>
        <w:contextualSpacing/>
        <w:jc w:val="both"/>
        <w:textAlignment w:val="baseline"/>
        <w:rPr>
          <w:rFonts w:ascii="Times New Roman" w:eastAsia="Times New Roman" w:hAnsi="Times New Roman" w:cs="Times New Roman"/>
          <w:noProof/>
          <w:color w:val="000000" w:themeColor="text1"/>
          <w:sz w:val="24"/>
          <w:szCs w:val="24"/>
          <w:lang w:val="en-IE" w:eastAsia="en-IE"/>
        </w:rPr>
      </w:pPr>
    </w:p>
    <w:p w14:paraId="3692519A" w14:textId="2479C9B1" w:rsidR="0011358D" w:rsidRPr="00D33F79" w:rsidRDefault="00D33F79" w:rsidP="007A6AE6">
      <w:pPr>
        <w:jc w:val="both"/>
        <w:rPr>
          <w:rFonts w:ascii="Times New Roman" w:eastAsia="Calibri" w:hAnsi="Times New Roman" w:cs="Times New Roman"/>
          <w:noProof/>
          <w:sz w:val="24"/>
          <w:szCs w:val="24"/>
          <w:lang w:val="en-IE"/>
        </w:rPr>
      </w:pPr>
      <w:r>
        <w:rPr>
          <w:rFonts w:ascii="Times New Roman" w:eastAsia="Calibri" w:hAnsi="Times New Roman" w:cs="Times New Roman"/>
          <w:noProof/>
          <w:sz w:val="24"/>
          <w:szCs w:val="24"/>
          <w:lang w:val="en-IE"/>
        </w:rPr>
        <w:t>M</w:t>
      </w:r>
      <w:r w:rsidR="00223291" w:rsidRPr="00D33F79">
        <w:rPr>
          <w:rFonts w:ascii="Times New Roman" w:eastAsia="Calibri" w:hAnsi="Times New Roman" w:cs="Times New Roman"/>
          <w:noProof/>
          <w:sz w:val="24"/>
          <w:szCs w:val="24"/>
          <w:lang w:val="en-IE"/>
        </w:rPr>
        <w:t>aritime transport plays an essential role in the EU economy and is one of the most energy-efficient modes of transport</w:t>
      </w:r>
      <w:r>
        <w:rPr>
          <w:rFonts w:ascii="Times New Roman" w:eastAsia="Calibri" w:hAnsi="Times New Roman" w:cs="Times New Roman"/>
          <w:noProof/>
          <w:sz w:val="24"/>
          <w:szCs w:val="24"/>
          <w:lang w:val="en-IE"/>
        </w:rPr>
        <w:t>. However,</w:t>
      </w:r>
      <w:r w:rsidR="00223291" w:rsidRPr="00D33F79">
        <w:rPr>
          <w:rFonts w:ascii="Times New Roman" w:eastAsia="Calibri" w:hAnsi="Times New Roman" w:cs="Times New Roman"/>
          <w:noProof/>
          <w:sz w:val="24"/>
          <w:szCs w:val="24"/>
          <w:lang w:val="en-IE"/>
        </w:rPr>
        <w:t xml:space="preserve"> </w:t>
      </w:r>
      <w:r>
        <w:rPr>
          <w:rFonts w:ascii="Times New Roman" w:eastAsia="Calibri" w:hAnsi="Times New Roman" w:cs="Times New Roman"/>
          <w:noProof/>
          <w:sz w:val="24"/>
          <w:szCs w:val="24"/>
          <w:lang w:val="en-IE"/>
        </w:rPr>
        <w:t xml:space="preserve">it </w:t>
      </w:r>
      <w:r w:rsidR="00223291" w:rsidRPr="00D33F79">
        <w:rPr>
          <w:rFonts w:ascii="Times New Roman" w:eastAsia="Calibri" w:hAnsi="Times New Roman" w:cs="Times New Roman"/>
          <w:noProof/>
          <w:sz w:val="24"/>
          <w:szCs w:val="24"/>
          <w:lang w:val="en-IE"/>
        </w:rPr>
        <w:t xml:space="preserve">is also a </w:t>
      </w:r>
      <w:r>
        <w:rPr>
          <w:rFonts w:ascii="Times New Roman" w:eastAsia="Calibri" w:hAnsi="Times New Roman" w:cs="Times New Roman"/>
          <w:noProof/>
          <w:sz w:val="24"/>
          <w:szCs w:val="24"/>
          <w:lang w:val="en-IE"/>
        </w:rPr>
        <w:t>major</w:t>
      </w:r>
      <w:r w:rsidRPr="00D33F79">
        <w:rPr>
          <w:rFonts w:ascii="Times New Roman" w:eastAsia="Calibri" w:hAnsi="Times New Roman" w:cs="Times New Roman"/>
          <w:noProof/>
          <w:sz w:val="24"/>
          <w:szCs w:val="24"/>
          <w:lang w:val="en-IE"/>
        </w:rPr>
        <w:t xml:space="preserve"> </w:t>
      </w:r>
      <w:r w:rsidR="00223291" w:rsidRPr="00D33F79">
        <w:rPr>
          <w:rFonts w:ascii="Times New Roman" w:eastAsia="Calibri" w:hAnsi="Times New Roman" w:cs="Times New Roman"/>
          <w:noProof/>
          <w:sz w:val="24"/>
          <w:szCs w:val="24"/>
          <w:lang w:val="en-IE"/>
        </w:rPr>
        <w:t>and growing source of greenhouse gas emissions.</w:t>
      </w:r>
      <w:r w:rsidR="001163D0" w:rsidRPr="00D33F79">
        <w:rPr>
          <w:rFonts w:ascii="Times New Roman" w:eastAsia="Calibri" w:hAnsi="Times New Roman" w:cs="Times New Roman"/>
          <w:noProof/>
          <w:sz w:val="24"/>
          <w:szCs w:val="24"/>
          <w:lang w:val="en-IE"/>
        </w:rPr>
        <w:t xml:space="preserve"> </w:t>
      </w:r>
      <w:r w:rsidR="000417D9" w:rsidRPr="00D33F79">
        <w:rPr>
          <w:rFonts w:ascii="Times New Roman" w:eastAsia="Calibri" w:hAnsi="Times New Roman" w:cs="Times New Roman"/>
          <w:noProof/>
          <w:sz w:val="24"/>
          <w:szCs w:val="24"/>
          <w:lang w:val="en-IE"/>
        </w:rPr>
        <w:t xml:space="preserve">This is the </w:t>
      </w:r>
      <w:r w:rsidR="0091071D" w:rsidRPr="00D33F79">
        <w:rPr>
          <w:rFonts w:ascii="Times New Roman" w:eastAsia="Calibri" w:hAnsi="Times New Roman" w:cs="Times New Roman"/>
          <w:noProof/>
          <w:sz w:val="24"/>
          <w:szCs w:val="24"/>
          <w:lang w:val="en-IE"/>
        </w:rPr>
        <w:t>fifth</w:t>
      </w:r>
      <w:r w:rsidR="000417D9" w:rsidRPr="00D33F79">
        <w:rPr>
          <w:rFonts w:ascii="Times New Roman" w:eastAsia="Calibri" w:hAnsi="Times New Roman" w:cs="Times New Roman"/>
          <w:noProof/>
          <w:sz w:val="24"/>
          <w:szCs w:val="24"/>
          <w:lang w:val="en-IE"/>
        </w:rPr>
        <w:t xml:space="preserve"> annual report on </w:t>
      </w:r>
      <w:r w:rsidR="0036721D" w:rsidRPr="00D33F79">
        <w:rPr>
          <w:rFonts w:ascii="Times New Roman" w:eastAsia="Calibri" w:hAnsi="Times New Roman" w:cs="Times New Roman"/>
          <w:noProof/>
          <w:sz w:val="24"/>
          <w:szCs w:val="24"/>
          <w:lang w:val="en-IE"/>
        </w:rPr>
        <w:t>carbon dioxide (</w:t>
      </w:r>
      <w:r w:rsidR="000417D9" w:rsidRPr="00D33F79">
        <w:rPr>
          <w:rFonts w:ascii="Times New Roman" w:eastAsia="Calibri" w:hAnsi="Times New Roman" w:cs="Times New Roman"/>
          <w:noProof/>
          <w:sz w:val="24"/>
          <w:szCs w:val="24"/>
          <w:lang w:val="en-IE"/>
        </w:rPr>
        <w:t>CO</w:t>
      </w:r>
      <w:r w:rsidR="000417D9" w:rsidRPr="00D33F79">
        <w:rPr>
          <w:rFonts w:ascii="Times New Roman" w:eastAsia="Calibri" w:hAnsi="Times New Roman" w:cs="Times New Roman"/>
          <w:noProof/>
          <w:sz w:val="24"/>
          <w:szCs w:val="24"/>
          <w:vertAlign w:val="subscript"/>
          <w:lang w:val="en-IE"/>
        </w:rPr>
        <w:t>2</w:t>
      </w:r>
      <w:r w:rsidR="0036721D" w:rsidRPr="00D33F79">
        <w:rPr>
          <w:rFonts w:ascii="Times New Roman" w:eastAsia="Calibri" w:hAnsi="Times New Roman" w:cs="Times New Roman"/>
          <w:noProof/>
          <w:sz w:val="24"/>
          <w:szCs w:val="24"/>
          <w:lang w:val="en-IE"/>
        </w:rPr>
        <w:t>)</w:t>
      </w:r>
      <w:r w:rsidR="000417D9" w:rsidRPr="00D33F79">
        <w:rPr>
          <w:rFonts w:ascii="Times New Roman" w:eastAsia="Calibri" w:hAnsi="Times New Roman" w:cs="Times New Roman"/>
          <w:noProof/>
          <w:sz w:val="24"/>
          <w:szCs w:val="24"/>
          <w:lang w:val="en-IE"/>
        </w:rPr>
        <w:t xml:space="preserve"> emissions from ships entering and leaving ports</w:t>
      </w:r>
      <w:r w:rsidR="4570D795" w:rsidRPr="00D33F79">
        <w:rPr>
          <w:rFonts w:ascii="Times New Roman" w:eastAsia="Calibri" w:hAnsi="Times New Roman" w:cs="Times New Roman"/>
          <w:noProof/>
          <w:sz w:val="24"/>
          <w:szCs w:val="24"/>
          <w:lang w:val="en-IE"/>
        </w:rPr>
        <w:t xml:space="preserve"> in the </w:t>
      </w:r>
      <w:r w:rsidR="000417D9" w:rsidRPr="00D33F79">
        <w:rPr>
          <w:rFonts w:ascii="Times New Roman" w:eastAsia="Calibri" w:hAnsi="Times New Roman" w:cs="Times New Roman"/>
          <w:noProof/>
          <w:sz w:val="24"/>
          <w:szCs w:val="24"/>
          <w:lang w:val="en-IE"/>
        </w:rPr>
        <w:t>E</w:t>
      </w:r>
      <w:r w:rsidR="2C4BDA7D" w:rsidRPr="00D33F79">
        <w:rPr>
          <w:rFonts w:ascii="Times New Roman" w:eastAsia="Calibri" w:hAnsi="Times New Roman" w:cs="Times New Roman"/>
          <w:noProof/>
          <w:sz w:val="24"/>
          <w:szCs w:val="24"/>
          <w:lang w:val="en-IE"/>
        </w:rPr>
        <w:t xml:space="preserve">uropean </w:t>
      </w:r>
      <w:r w:rsidR="000417D9" w:rsidRPr="00D33F79">
        <w:rPr>
          <w:rFonts w:ascii="Times New Roman" w:eastAsia="Calibri" w:hAnsi="Times New Roman" w:cs="Times New Roman"/>
          <w:noProof/>
          <w:sz w:val="24"/>
          <w:szCs w:val="24"/>
          <w:lang w:val="en-IE"/>
        </w:rPr>
        <w:t>E</w:t>
      </w:r>
      <w:r w:rsidR="62DC4F25" w:rsidRPr="00D33F79">
        <w:rPr>
          <w:rFonts w:ascii="Times New Roman" w:eastAsia="Calibri" w:hAnsi="Times New Roman" w:cs="Times New Roman"/>
          <w:noProof/>
          <w:sz w:val="24"/>
          <w:szCs w:val="24"/>
          <w:lang w:val="en-IE"/>
        </w:rPr>
        <w:t xml:space="preserve">conomic </w:t>
      </w:r>
      <w:r w:rsidR="000417D9" w:rsidRPr="00D33F79">
        <w:rPr>
          <w:rFonts w:ascii="Times New Roman" w:eastAsia="Calibri" w:hAnsi="Times New Roman" w:cs="Times New Roman"/>
          <w:noProof/>
          <w:sz w:val="24"/>
          <w:szCs w:val="24"/>
          <w:lang w:val="en-IE"/>
        </w:rPr>
        <w:t>A</w:t>
      </w:r>
      <w:r w:rsidR="44176090" w:rsidRPr="00D33F79">
        <w:rPr>
          <w:rFonts w:ascii="Times New Roman" w:eastAsia="Calibri" w:hAnsi="Times New Roman" w:cs="Times New Roman"/>
          <w:noProof/>
          <w:sz w:val="24"/>
          <w:szCs w:val="24"/>
          <w:lang w:val="en-IE"/>
        </w:rPr>
        <w:t>rea (EEA)</w:t>
      </w:r>
      <w:r w:rsidR="000417D9" w:rsidRPr="00D33F79">
        <w:rPr>
          <w:rFonts w:ascii="Times New Roman" w:eastAsia="Calibri" w:hAnsi="Times New Roman" w:cs="Times New Roman"/>
          <w:noProof/>
          <w:sz w:val="24"/>
          <w:szCs w:val="24"/>
          <w:lang w:val="en-IE"/>
        </w:rPr>
        <w:t xml:space="preserve">, collected under the </w:t>
      </w:r>
      <w:r w:rsidR="00133E49" w:rsidRPr="00D33F79">
        <w:rPr>
          <w:rFonts w:ascii="Times New Roman" w:eastAsia="Calibri" w:hAnsi="Times New Roman" w:cs="Times New Roman"/>
          <w:noProof/>
          <w:sz w:val="24"/>
          <w:szCs w:val="24"/>
          <w:lang w:val="en-IE"/>
        </w:rPr>
        <w:t xml:space="preserve">EU Regulation on the monitoring, reporting and verification of </w:t>
      </w:r>
      <w:r w:rsidR="00B52931" w:rsidRPr="00D33F79">
        <w:rPr>
          <w:rFonts w:ascii="Times New Roman" w:eastAsia="Calibri" w:hAnsi="Times New Roman" w:cs="Times New Roman"/>
          <w:noProof/>
          <w:sz w:val="24"/>
          <w:szCs w:val="24"/>
          <w:lang w:val="en-IE"/>
        </w:rPr>
        <w:t>greenhouse gas</w:t>
      </w:r>
      <w:r w:rsidR="0036721D" w:rsidRPr="00D33F79">
        <w:rPr>
          <w:rFonts w:ascii="Times New Roman" w:eastAsia="Calibri" w:hAnsi="Times New Roman" w:cs="Times New Roman"/>
          <w:noProof/>
          <w:sz w:val="24"/>
          <w:szCs w:val="24"/>
          <w:lang w:val="en-IE"/>
        </w:rPr>
        <w:t xml:space="preserve"> </w:t>
      </w:r>
      <w:r w:rsidR="00133E49" w:rsidRPr="00D33F79">
        <w:rPr>
          <w:rFonts w:ascii="Times New Roman" w:eastAsia="Calibri" w:hAnsi="Times New Roman" w:cs="Times New Roman"/>
          <w:noProof/>
          <w:sz w:val="24"/>
          <w:szCs w:val="24"/>
          <w:lang w:val="en-IE"/>
        </w:rPr>
        <w:t>emissions from maritime transport adopted in 2015</w:t>
      </w:r>
      <w:r w:rsidR="00E47A99">
        <w:rPr>
          <w:rFonts w:ascii="Times New Roman" w:eastAsia="Calibri" w:hAnsi="Times New Roman" w:cs="Times New Roman"/>
          <w:noProof/>
          <w:sz w:val="24"/>
          <w:szCs w:val="24"/>
          <w:lang w:val="en-IE"/>
        </w:rPr>
        <w:t> </w:t>
      </w:r>
      <w:r w:rsidR="00133E49" w:rsidRPr="00D33F79">
        <w:rPr>
          <w:rFonts w:ascii="Times New Roman" w:eastAsia="Calibri" w:hAnsi="Times New Roman" w:cs="Times New Roman"/>
          <w:noProof/>
          <w:color w:val="000000"/>
          <w:sz w:val="24"/>
          <w:szCs w:val="24"/>
          <w:vertAlign w:val="superscript"/>
          <w:lang w:val="en-IE"/>
        </w:rPr>
        <w:footnoteReference w:id="2"/>
      </w:r>
      <w:r w:rsidR="00133E49" w:rsidRPr="00D33F79">
        <w:rPr>
          <w:rFonts w:ascii="Times New Roman" w:eastAsia="Calibri" w:hAnsi="Times New Roman" w:cs="Times New Roman"/>
          <w:noProof/>
          <w:sz w:val="24"/>
          <w:szCs w:val="24"/>
          <w:lang w:val="en-IE"/>
        </w:rPr>
        <w:t xml:space="preserve"> (</w:t>
      </w:r>
      <w:r w:rsidR="00E47A99">
        <w:rPr>
          <w:rFonts w:ascii="Times New Roman" w:eastAsia="Calibri" w:hAnsi="Times New Roman" w:cs="Times New Roman"/>
          <w:noProof/>
          <w:sz w:val="24"/>
          <w:szCs w:val="24"/>
          <w:lang w:val="en-IE"/>
        </w:rPr>
        <w:t xml:space="preserve">the </w:t>
      </w:r>
      <w:r w:rsidR="000417D9" w:rsidRPr="00D33F79">
        <w:rPr>
          <w:rFonts w:ascii="Times New Roman" w:eastAsia="Calibri" w:hAnsi="Times New Roman" w:cs="Times New Roman"/>
          <w:noProof/>
          <w:sz w:val="24"/>
          <w:szCs w:val="24"/>
          <w:lang w:val="en-IE"/>
        </w:rPr>
        <w:t>EU Maritime MRV Regulation</w:t>
      </w:r>
      <w:r w:rsidR="00133E49" w:rsidRPr="00D33F79">
        <w:rPr>
          <w:rFonts w:ascii="Times New Roman" w:eastAsia="Calibri" w:hAnsi="Times New Roman" w:cs="Times New Roman"/>
          <w:noProof/>
          <w:sz w:val="24"/>
          <w:szCs w:val="24"/>
          <w:lang w:val="en-IE"/>
        </w:rPr>
        <w:t>)</w:t>
      </w:r>
      <w:r w:rsidR="000417D9" w:rsidRPr="00D33F79">
        <w:rPr>
          <w:rFonts w:ascii="Times New Roman" w:eastAsia="Calibri" w:hAnsi="Times New Roman" w:cs="Times New Roman"/>
          <w:noProof/>
          <w:sz w:val="24"/>
          <w:szCs w:val="24"/>
          <w:lang w:val="en-IE"/>
        </w:rPr>
        <w:t>. </w:t>
      </w:r>
      <w:r w:rsidR="006E1FFF" w:rsidRPr="00D33F79">
        <w:rPr>
          <w:rFonts w:ascii="Times New Roman" w:eastAsia="Calibri" w:hAnsi="Times New Roman" w:cs="Times New Roman"/>
          <w:noProof/>
          <w:sz w:val="24"/>
          <w:szCs w:val="24"/>
          <w:lang w:val="en-IE"/>
        </w:rPr>
        <w:t xml:space="preserve">The Regulation is </w:t>
      </w:r>
      <w:r w:rsidR="006E1FFF" w:rsidRPr="00D33F79">
        <w:rPr>
          <w:rFonts w:ascii="Times New Roman" w:eastAsia="Times New Roman" w:hAnsi="Times New Roman" w:cs="Times New Roman"/>
          <w:noProof/>
          <w:color w:val="000000"/>
          <w:sz w:val="24"/>
          <w:szCs w:val="24"/>
          <w:lang w:val="en-IE" w:eastAsia="en-IE"/>
        </w:rPr>
        <w:t xml:space="preserve">an essential part of </w:t>
      </w:r>
      <w:r w:rsidR="00E47A99">
        <w:rPr>
          <w:rFonts w:ascii="Times New Roman" w:eastAsia="Times New Roman" w:hAnsi="Times New Roman" w:cs="Times New Roman"/>
          <w:noProof/>
          <w:color w:val="000000"/>
          <w:sz w:val="24"/>
          <w:szCs w:val="24"/>
          <w:lang w:val="en-IE" w:eastAsia="en-IE"/>
        </w:rPr>
        <w:t xml:space="preserve">the </w:t>
      </w:r>
      <w:r w:rsidR="006E1FFF" w:rsidRPr="00D33F79">
        <w:rPr>
          <w:rFonts w:ascii="Times New Roman" w:eastAsia="Times New Roman" w:hAnsi="Times New Roman" w:cs="Times New Roman"/>
          <w:noProof/>
          <w:color w:val="000000"/>
          <w:sz w:val="24"/>
          <w:szCs w:val="24"/>
          <w:lang w:val="en-IE" w:eastAsia="en-IE"/>
        </w:rPr>
        <w:t xml:space="preserve">EU’s action </w:t>
      </w:r>
      <w:r w:rsidR="00E47A99">
        <w:rPr>
          <w:rFonts w:ascii="Times New Roman" w:eastAsia="Times New Roman" w:hAnsi="Times New Roman" w:cs="Times New Roman"/>
          <w:noProof/>
          <w:color w:val="000000"/>
          <w:sz w:val="24"/>
          <w:szCs w:val="24"/>
          <w:lang w:val="en-IE" w:eastAsia="en-IE"/>
        </w:rPr>
        <w:t xml:space="preserve">to </w:t>
      </w:r>
      <w:r w:rsidR="006E1FFF" w:rsidRPr="00D33F79">
        <w:rPr>
          <w:rFonts w:ascii="Times New Roman" w:eastAsia="Times New Roman" w:hAnsi="Times New Roman" w:cs="Times New Roman"/>
          <w:noProof/>
          <w:color w:val="000000"/>
          <w:sz w:val="24"/>
          <w:szCs w:val="24"/>
          <w:lang w:val="en-IE" w:eastAsia="en-IE"/>
        </w:rPr>
        <w:t xml:space="preserve">address climate change </w:t>
      </w:r>
      <w:r w:rsidR="00E47A99">
        <w:rPr>
          <w:rFonts w:ascii="Times New Roman" w:eastAsia="Times New Roman" w:hAnsi="Times New Roman" w:cs="Times New Roman"/>
          <w:noProof/>
          <w:color w:val="000000"/>
          <w:sz w:val="24"/>
          <w:szCs w:val="24"/>
          <w:lang w:val="en-IE" w:eastAsia="en-IE"/>
        </w:rPr>
        <w:t>in</w:t>
      </w:r>
      <w:r w:rsidR="00E47A99" w:rsidRPr="00D33F79">
        <w:rPr>
          <w:rFonts w:ascii="Times New Roman" w:eastAsia="Times New Roman" w:hAnsi="Times New Roman" w:cs="Times New Roman"/>
          <w:noProof/>
          <w:color w:val="000000"/>
          <w:sz w:val="24"/>
          <w:szCs w:val="24"/>
          <w:lang w:val="en-IE" w:eastAsia="en-IE"/>
        </w:rPr>
        <w:t xml:space="preserve"> </w:t>
      </w:r>
      <w:r w:rsidR="006E1FFF" w:rsidRPr="00D33F79">
        <w:rPr>
          <w:rFonts w:ascii="Times New Roman" w:eastAsia="Times New Roman" w:hAnsi="Times New Roman" w:cs="Times New Roman"/>
          <w:noProof/>
          <w:color w:val="000000"/>
          <w:sz w:val="24"/>
          <w:szCs w:val="24"/>
          <w:lang w:val="en-IE" w:eastAsia="en-IE"/>
        </w:rPr>
        <w:t>the maritime transport sector.</w:t>
      </w:r>
    </w:p>
    <w:p w14:paraId="4D3D0BA7" w14:textId="426D5416" w:rsidR="003D32B6" w:rsidRPr="00D33F79" w:rsidRDefault="000417D9" w:rsidP="00BF443A">
      <w:pPr>
        <w:spacing w:after="0" w:line="240" w:lineRule="auto"/>
        <w:contextualSpacing/>
        <w:jc w:val="both"/>
        <w:textAlignment w:val="baseline"/>
        <w:rPr>
          <w:rFonts w:ascii="Times New Roman" w:eastAsia="Times New Roman" w:hAnsi="Times New Roman" w:cs="Times New Roman"/>
          <w:noProof/>
          <w:color w:val="000000"/>
          <w:sz w:val="24"/>
          <w:szCs w:val="24"/>
          <w:lang w:val="en-IE" w:eastAsia="en-IE"/>
        </w:rPr>
      </w:pPr>
      <w:r w:rsidRPr="00D33F79">
        <w:rPr>
          <w:rFonts w:ascii="Times New Roman" w:eastAsia="Times New Roman" w:hAnsi="Times New Roman" w:cs="Times New Roman"/>
          <w:noProof/>
          <w:color w:val="000000"/>
          <w:sz w:val="24"/>
          <w:szCs w:val="24"/>
          <w:lang w:val="en-IE" w:eastAsia="en-IE"/>
        </w:rPr>
        <w:t>The present report covers the first f</w:t>
      </w:r>
      <w:r w:rsidR="0091071D" w:rsidRPr="00D33F79">
        <w:rPr>
          <w:rFonts w:ascii="Times New Roman" w:eastAsia="Times New Roman" w:hAnsi="Times New Roman" w:cs="Times New Roman"/>
          <w:noProof/>
          <w:color w:val="000000"/>
          <w:sz w:val="24"/>
          <w:szCs w:val="24"/>
          <w:lang w:val="en-IE" w:eastAsia="en-IE"/>
        </w:rPr>
        <w:t>ive</w:t>
      </w:r>
      <w:r w:rsidRPr="00D33F79">
        <w:rPr>
          <w:rFonts w:ascii="Times New Roman" w:eastAsia="Times New Roman" w:hAnsi="Times New Roman" w:cs="Times New Roman"/>
          <w:noProof/>
          <w:color w:val="000000"/>
          <w:sz w:val="24"/>
          <w:szCs w:val="24"/>
          <w:lang w:val="en-IE" w:eastAsia="en-IE"/>
        </w:rPr>
        <w:t xml:space="preserve"> compliance cycles</w:t>
      </w:r>
      <w:r w:rsidR="00E47A99">
        <w:rPr>
          <w:rFonts w:ascii="Times New Roman" w:eastAsia="Times New Roman" w:hAnsi="Times New Roman" w:cs="Times New Roman"/>
          <w:noProof/>
          <w:color w:val="000000"/>
          <w:sz w:val="24"/>
          <w:szCs w:val="24"/>
          <w:lang w:val="en-IE" w:eastAsia="en-IE"/>
        </w:rPr>
        <w:t xml:space="preserve"> (</w:t>
      </w:r>
      <w:r w:rsidRPr="00D33F79">
        <w:rPr>
          <w:rFonts w:ascii="Times New Roman" w:eastAsia="Times New Roman" w:hAnsi="Times New Roman" w:cs="Times New Roman"/>
          <w:noProof/>
          <w:color w:val="000000"/>
          <w:sz w:val="24"/>
          <w:szCs w:val="24"/>
          <w:lang w:val="en-IE" w:eastAsia="en-IE"/>
        </w:rPr>
        <w:t>i.e. data collected for 2018-20</w:t>
      </w:r>
      <w:r w:rsidR="0091071D" w:rsidRPr="00D33F79">
        <w:rPr>
          <w:rFonts w:ascii="Times New Roman" w:eastAsia="Times New Roman" w:hAnsi="Times New Roman" w:cs="Times New Roman"/>
          <w:noProof/>
          <w:color w:val="000000"/>
          <w:sz w:val="24"/>
          <w:szCs w:val="24"/>
          <w:lang w:val="en-IE" w:eastAsia="en-IE"/>
        </w:rPr>
        <w:t>22</w:t>
      </w:r>
      <w:r w:rsidR="00E47A99">
        <w:rPr>
          <w:rFonts w:ascii="Times New Roman" w:eastAsia="Times New Roman" w:hAnsi="Times New Roman" w:cs="Times New Roman"/>
          <w:noProof/>
          <w:color w:val="000000"/>
          <w:sz w:val="24"/>
          <w:szCs w:val="24"/>
          <w:lang w:val="en-IE" w:eastAsia="en-IE"/>
        </w:rPr>
        <w:t>)</w:t>
      </w:r>
      <w:r w:rsidR="004519B4" w:rsidRPr="00D33F79">
        <w:rPr>
          <w:rFonts w:ascii="Times New Roman" w:eastAsia="Times New Roman" w:hAnsi="Times New Roman" w:cs="Times New Roman"/>
          <w:noProof/>
          <w:color w:val="000000"/>
          <w:sz w:val="24"/>
          <w:szCs w:val="24"/>
          <w:lang w:val="en-IE" w:eastAsia="en-IE"/>
        </w:rPr>
        <w:t xml:space="preserve"> and </w:t>
      </w:r>
      <w:r w:rsidRPr="00D33F79">
        <w:rPr>
          <w:rFonts w:ascii="Times New Roman" w:eastAsia="Times New Roman" w:hAnsi="Times New Roman" w:cs="Times New Roman"/>
          <w:noProof/>
          <w:color w:val="000000"/>
          <w:sz w:val="24"/>
          <w:szCs w:val="24"/>
          <w:lang w:val="en-IE" w:eastAsia="en-IE"/>
        </w:rPr>
        <w:t>builds on the previous reports</w:t>
      </w:r>
      <w:r w:rsidR="00E47A99">
        <w:rPr>
          <w:rFonts w:ascii="Times New Roman" w:eastAsia="Times New Roman" w:hAnsi="Times New Roman" w:cs="Times New Roman"/>
          <w:noProof/>
          <w:color w:val="000000"/>
          <w:sz w:val="24"/>
          <w:szCs w:val="24"/>
          <w:lang w:val="en-IE" w:eastAsia="en-IE"/>
        </w:rPr>
        <w:t> </w:t>
      </w:r>
      <w:r w:rsidRPr="00D33F79">
        <w:rPr>
          <w:rFonts w:ascii="Times New Roman" w:eastAsia="Times New Roman" w:hAnsi="Times New Roman" w:cs="Times New Roman"/>
          <w:noProof/>
          <w:color w:val="000000"/>
          <w:sz w:val="24"/>
          <w:szCs w:val="24"/>
          <w:vertAlign w:val="superscript"/>
          <w:lang w:val="en-IE" w:eastAsia="en-IE"/>
        </w:rPr>
        <w:footnoteReference w:id="3"/>
      </w:r>
      <w:r w:rsidR="00E47A99">
        <w:rPr>
          <w:rFonts w:ascii="Times New Roman" w:eastAsia="Times New Roman" w:hAnsi="Times New Roman" w:cs="Times New Roman"/>
          <w:noProof/>
          <w:color w:val="000000"/>
          <w:sz w:val="24"/>
          <w:szCs w:val="24"/>
          <w:lang w:val="en-IE" w:eastAsia="en-IE"/>
        </w:rPr>
        <w:t>.</w:t>
      </w:r>
      <w:r w:rsidRPr="00D33F79">
        <w:rPr>
          <w:rFonts w:ascii="Times New Roman" w:eastAsia="Times New Roman" w:hAnsi="Times New Roman" w:cs="Times New Roman"/>
          <w:noProof/>
          <w:color w:val="000000"/>
          <w:sz w:val="24"/>
          <w:szCs w:val="24"/>
          <w:lang w:val="en-IE" w:eastAsia="en-IE"/>
        </w:rPr>
        <w:t xml:space="preserve"> </w:t>
      </w:r>
      <w:r w:rsidR="004519B4" w:rsidRPr="00D33F79">
        <w:rPr>
          <w:rFonts w:ascii="Times New Roman" w:eastAsia="Times New Roman" w:hAnsi="Times New Roman" w:cs="Times New Roman"/>
          <w:noProof/>
          <w:color w:val="000000"/>
          <w:sz w:val="24"/>
          <w:szCs w:val="24"/>
          <w:lang w:val="en-IE" w:eastAsia="en-IE"/>
        </w:rPr>
        <w:t>It</w:t>
      </w:r>
      <w:r w:rsidRPr="00D33F79">
        <w:rPr>
          <w:rFonts w:ascii="Times New Roman" w:eastAsia="Times New Roman" w:hAnsi="Times New Roman" w:cs="Times New Roman"/>
          <w:noProof/>
          <w:color w:val="000000"/>
          <w:sz w:val="24"/>
          <w:szCs w:val="24"/>
          <w:lang w:val="en-IE" w:eastAsia="en-IE"/>
        </w:rPr>
        <w:t xml:space="preserve"> allows a comparison of data, </w:t>
      </w:r>
      <w:r w:rsidR="005F36B2" w:rsidRPr="00D33F79">
        <w:rPr>
          <w:rFonts w:ascii="Times New Roman" w:eastAsia="Times New Roman" w:hAnsi="Times New Roman" w:cs="Times New Roman"/>
          <w:noProof/>
          <w:color w:val="000000"/>
          <w:sz w:val="24"/>
          <w:szCs w:val="24"/>
          <w:lang w:val="en-IE" w:eastAsia="en-IE"/>
        </w:rPr>
        <w:t>as well as</w:t>
      </w:r>
      <w:r w:rsidRPr="00D33F79">
        <w:rPr>
          <w:rFonts w:ascii="Times New Roman" w:eastAsia="Times New Roman" w:hAnsi="Times New Roman" w:cs="Times New Roman"/>
          <w:noProof/>
          <w:color w:val="000000"/>
          <w:sz w:val="24"/>
          <w:szCs w:val="24"/>
          <w:lang w:val="en-IE" w:eastAsia="en-IE"/>
        </w:rPr>
        <w:t xml:space="preserve"> </w:t>
      </w:r>
      <w:r w:rsidR="00E47A99">
        <w:rPr>
          <w:rFonts w:ascii="Times New Roman" w:eastAsia="Times New Roman" w:hAnsi="Times New Roman" w:cs="Times New Roman"/>
          <w:noProof/>
          <w:color w:val="000000"/>
          <w:sz w:val="24"/>
          <w:szCs w:val="24"/>
          <w:lang w:val="en-IE" w:eastAsia="en-IE"/>
        </w:rPr>
        <w:t xml:space="preserve">an </w:t>
      </w:r>
      <w:r w:rsidRPr="00D33F79">
        <w:rPr>
          <w:rFonts w:ascii="Times New Roman" w:eastAsia="Times New Roman" w:hAnsi="Times New Roman" w:cs="Times New Roman"/>
          <w:noProof/>
          <w:color w:val="000000"/>
          <w:sz w:val="24"/>
          <w:szCs w:val="24"/>
          <w:lang w:val="en-IE" w:eastAsia="en-IE"/>
        </w:rPr>
        <w:t>examin</w:t>
      </w:r>
      <w:r w:rsidR="00E47A99">
        <w:rPr>
          <w:rFonts w:ascii="Times New Roman" w:eastAsia="Times New Roman" w:hAnsi="Times New Roman" w:cs="Times New Roman"/>
          <w:noProof/>
          <w:color w:val="000000"/>
          <w:sz w:val="24"/>
          <w:szCs w:val="24"/>
          <w:lang w:val="en-IE" w:eastAsia="en-IE"/>
        </w:rPr>
        <w:t>ation of</w:t>
      </w:r>
      <w:r w:rsidRPr="00D33F79">
        <w:rPr>
          <w:rFonts w:ascii="Times New Roman" w:eastAsia="Times New Roman" w:hAnsi="Times New Roman" w:cs="Times New Roman"/>
          <w:noProof/>
          <w:color w:val="000000"/>
          <w:sz w:val="24"/>
          <w:szCs w:val="24"/>
          <w:lang w:val="en-IE" w:eastAsia="en-IE"/>
        </w:rPr>
        <w:t xml:space="preserve"> trends in emissions and energy efficiency over the years. </w:t>
      </w:r>
      <w:r w:rsidR="00BF443A" w:rsidRPr="00D33F79">
        <w:rPr>
          <w:rFonts w:ascii="Times New Roman" w:eastAsia="Times New Roman" w:hAnsi="Times New Roman" w:cs="Times New Roman"/>
          <w:noProof/>
          <w:color w:val="000000"/>
          <w:sz w:val="24"/>
          <w:szCs w:val="24"/>
          <w:lang w:val="en-IE" w:eastAsia="en-IE"/>
        </w:rPr>
        <w:t>Th</w:t>
      </w:r>
      <w:r w:rsidR="00E47A99">
        <w:rPr>
          <w:rFonts w:ascii="Times New Roman" w:eastAsia="Times New Roman" w:hAnsi="Times New Roman" w:cs="Times New Roman"/>
          <w:noProof/>
          <w:color w:val="000000"/>
          <w:sz w:val="24"/>
          <w:szCs w:val="24"/>
          <w:lang w:val="en-IE" w:eastAsia="en-IE"/>
        </w:rPr>
        <w:t>is</w:t>
      </w:r>
      <w:r w:rsidR="00BF443A" w:rsidRPr="00D33F79">
        <w:rPr>
          <w:rFonts w:ascii="Times New Roman" w:eastAsia="Times New Roman" w:hAnsi="Times New Roman" w:cs="Times New Roman"/>
          <w:noProof/>
          <w:color w:val="000000"/>
          <w:sz w:val="24"/>
          <w:szCs w:val="24"/>
          <w:lang w:val="en-IE" w:eastAsia="en-IE"/>
        </w:rPr>
        <w:t xml:space="preserve"> report </w:t>
      </w:r>
      <w:r w:rsidR="00475424" w:rsidRPr="00D33F79">
        <w:rPr>
          <w:rFonts w:ascii="Times New Roman" w:eastAsia="Times New Roman" w:hAnsi="Times New Roman" w:cs="Times New Roman"/>
          <w:noProof/>
          <w:color w:val="000000"/>
          <w:sz w:val="24"/>
          <w:szCs w:val="24"/>
          <w:lang w:val="en-IE" w:eastAsia="en-IE"/>
        </w:rPr>
        <w:t xml:space="preserve">also </w:t>
      </w:r>
      <w:r w:rsidR="00E47A99">
        <w:rPr>
          <w:rFonts w:ascii="Times New Roman" w:eastAsia="Calibri" w:hAnsi="Times New Roman" w:cs="Times New Roman"/>
          <w:noProof/>
          <w:sz w:val="24"/>
          <w:szCs w:val="24"/>
          <w:lang w:val="en-IE"/>
        </w:rPr>
        <w:t>analyses</w:t>
      </w:r>
      <w:r w:rsidR="003D32B6" w:rsidRPr="00D33F79">
        <w:rPr>
          <w:rFonts w:ascii="Times New Roman" w:eastAsia="Calibri" w:hAnsi="Times New Roman" w:cs="Times New Roman"/>
          <w:noProof/>
          <w:sz w:val="24"/>
          <w:szCs w:val="24"/>
          <w:lang w:val="en-IE"/>
        </w:rPr>
        <w:t xml:space="preserve"> the characteristics and energy efficiency of ships, helping to better understand</w:t>
      </w:r>
      <w:r w:rsidR="00DC58BA" w:rsidRPr="00D33F79">
        <w:rPr>
          <w:rFonts w:ascii="Times New Roman" w:eastAsia="Calibri" w:hAnsi="Times New Roman" w:cs="Times New Roman"/>
          <w:noProof/>
          <w:sz w:val="24"/>
          <w:szCs w:val="24"/>
          <w:lang w:val="en-IE"/>
        </w:rPr>
        <w:t xml:space="preserve"> trends in</w:t>
      </w:r>
      <w:r w:rsidR="003D32B6" w:rsidRPr="00D33F79">
        <w:rPr>
          <w:rFonts w:ascii="Times New Roman" w:eastAsia="Calibri" w:hAnsi="Times New Roman" w:cs="Times New Roman"/>
          <w:noProof/>
          <w:sz w:val="24"/>
          <w:szCs w:val="24"/>
          <w:lang w:val="en-IE"/>
        </w:rPr>
        <w:t xml:space="preserve"> maritime transport </w:t>
      </w:r>
      <w:r w:rsidR="003D32B6" w:rsidRPr="00D33F79">
        <w:rPr>
          <w:rFonts w:ascii="Times New Roman" w:eastAsia="Times New Roman" w:hAnsi="Times New Roman" w:cs="Times New Roman"/>
          <w:noProof/>
          <w:sz w:val="24"/>
          <w:szCs w:val="24"/>
          <w:lang w:val="en-IE"/>
        </w:rPr>
        <w:t>CO</w:t>
      </w:r>
      <w:r w:rsidR="003D32B6" w:rsidRPr="00D33F79">
        <w:rPr>
          <w:rFonts w:ascii="Times New Roman" w:eastAsia="Times New Roman" w:hAnsi="Times New Roman" w:cs="Times New Roman"/>
          <w:noProof/>
          <w:sz w:val="24"/>
          <w:szCs w:val="24"/>
          <w:vertAlign w:val="subscript"/>
          <w:lang w:val="en-IE"/>
        </w:rPr>
        <w:t>2</w:t>
      </w:r>
      <w:r w:rsidR="003D32B6" w:rsidRPr="00D33F79">
        <w:rPr>
          <w:rFonts w:ascii="Times New Roman" w:eastAsia="Calibri" w:hAnsi="Times New Roman" w:cs="Times New Roman"/>
          <w:noProof/>
          <w:sz w:val="24"/>
          <w:szCs w:val="24"/>
          <w:lang w:val="en-IE"/>
        </w:rPr>
        <w:t xml:space="preserve"> emissions</w:t>
      </w:r>
      <w:r w:rsidR="00483291" w:rsidRPr="00D33F79">
        <w:rPr>
          <w:rFonts w:ascii="Times New Roman" w:eastAsia="Calibri" w:hAnsi="Times New Roman" w:cs="Times New Roman"/>
          <w:noProof/>
          <w:sz w:val="24"/>
          <w:szCs w:val="24"/>
          <w:lang w:val="en-IE"/>
        </w:rPr>
        <w:t xml:space="preserve">. </w:t>
      </w:r>
    </w:p>
    <w:p w14:paraId="4D8158A7" w14:textId="77777777" w:rsidR="00BF443A" w:rsidRPr="00D33F79" w:rsidRDefault="00BF443A" w:rsidP="00BF443A">
      <w:pPr>
        <w:spacing w:after="0" w:line="240" w:lineRule="auto"/>
        <w:contextualSpacing/>
        <w:jc w:val="both"/>
        <w:textAlignment w:val="baseline"/>
        <w:rPr>
          <w:rFonts w:ascii="Times New Roman" w:eastAsia="Times New Roman" w:hAnsi="Times New Roman" w:cs="Times New Roman"/>
          <w:noProof/>
          <w:color w:val="000000"/>
          <w:sz w:val="24"/>
          <w:szCs w:val="24"/>
          <w:lang w:val="en-IE" w:eastAsia="en-IE"/>
        </w:rPr>
      </w:pPr>
    </w:p>
    <w:p w14:paraId="7A724948" w14:textId="6D3B21AB" w:rsidR="003D32B6" w:rsidRPr="00D33F79" w:rsidRDefault="005304C8" w:rsidP="68D47371">
      <w:pPr>
        <w:pStyle w:val="ListParagraph"/>
        <w:numPr>
          <w:ilvl w:val="0"/>
          <w:numId w:val="3"/>
        </w:numPr>
        <w:rPr>
          <w:rFonts w:ascii="Times New Roman" w:eastAsia="Calibri" w:hAnsi="Times New Roman" w:cs="Times New Roman"/>
          <w:b/>
          <w:bCs/>
          <w:noProof/>
          <w:sz w:val="24"/>
          <w:szCs w:val="24"/>
          <w:lang w:val="en-IE"/>
        </w:rPr>
      </w:pPr>
      <w:r w:rsidRPr="00D33F79">
        <w:rPr>
          <w:rFonts w:ascii="Times New Roman" w:eastAsia="Calibri" w:hAnsi="Times New Roman" w:cs="Times New Roman"/>
          <w:b/>
          <w:bCs/>
          <w:noProof/>
          <w:sz w:val="24"/>
          <w:szCs w:val="24"/>
          <w:lang w:val="en-IE"/>
        </w:rPr>
        <w:t>Policy development</w:t>
      </w:r>
    </w:p>
    <w:p w14:paraId="736649E9" w14:textId="53CD9B65" w:rsidR="004E7C3D" w:rsidRPr="00D33F79" w:rsidRDefault="0032594D" w:rsidP="00B40F06">
      <w:p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As part of the package to deliver the European Green Deal, the </w:t>
      </w:r>
      <w:r w:rsidR="005D5F84" w:rsidRPr="00D33F79">
        <w:rPr>
          <w:rFonts w:ascii="Times New Roman" w:eastAsia="Calibri" w:hAnsi="Times New Roman" w:cs="Times New Roman"/>
          <w:noProof/>
          <w:sz w:val="24"/>
          <w:szCs w:val="24"/>
          <w:lang w:val="en-IE"/>
        </w:rPr>
        <w:t xml:space="preserve">European Parliament and the Council adopted </w:t>
      </w:r>
      <w:r w:rsidRPr="00D33F79">
        <w:rPr>
          <w:rFonts w:ascii="Times New Roman" w:eastAsia="Calibri" w:hAnsi="Times New Roman" w:cs="Times New Roman"/>
          <w:noProof/>
          <w:sz w:val="24"/>
          <w:szCs w:val="24"/>
          <w:lang w:val="en-IE"/>
        </w:rPr>
        <w:t xml:space="preserve">in </w:t>
      </w:r>
      <w:r w:rsidR="00943AF1" w:rsidRPr="00D33F79">
        <w:rPr>
          <w:rFonts w:ascii="Times New Roman" w:eastAsia="Calibri" w:hAnsi="Times New Roman" w:cs="Times New Roman"/>
          <w:noProof/>
          <w:sz w:val="24"/>
          <w:szCs w:val="24"/>
          <w:lang w:val="en-IE"/>
        </w:rPr>
        <w:t xml:space="preserve">2023 </w:t>
      </w:r>
      <w:r w:rsidRPr="00D33F79">
        <w:rPr>
          <w:rFonts w:ascii="Times New Roman" w:eastAsia="Calibri" w:hAnsi="Times New Roman" w:cs="Times New Roman"/>
          <w:noProof/>
          <w:sz w:val="24"/>
          <w:szCs w:val="24"/>
          <w:lang w:val="en-IE"/>
        </w:rPr>
        <w:t xml:space="preserve">a series of measures to ensure that the maritime transport sector contributes to </w:t>
      </w:r>
      <w:r w:rsidR="00E47A99">
        <w:rPr>
          <w:rFonts w:ascii="Times New Roman" w:eastAsia="Calibri" w:hAnsi="Times New Roman" w:cs="Times New Roman"/>
          <w:noProof/>
          <w:sz w:val="24"/>
          <w:szCs w:val="24"/>
          <w:lang w:val="en-IE"/>
        </w:rPr>
        <w:t xml:space="preserve">achieving </w:t>
      </w:r>
      <w:r w:rsidRPr="00D33F79">
        <w:rPr>
          <w:rFonts w:ascii="Times New Roman" w:eastAsia="Calibri" w:hAnsi="Times New Roman" w:cs="Times New Roman"/>
          <w:noProof/>
          <w:sz w:val="24"/>
          <w:szCs w:val="24"/>
          <w:lang w:val="en-IE"/>
        </w:rPr>
        <w:t>the EU’s climate ambitions</w:t>
      </w:r>
      <w:r w:rsidR="00475424" w:rsidRPr="00D33F79">
        <w:rPr>
          <w:rFonts w:ascii="Times New Roman" w:eastAsia="Calibri" w:hAnsi="Times New Roman" w:cs="Times New Roman"/>
          <w:noProof/>
          <w:sz w:val="24"/>
          <w:szCs w:val="24"/>
          <w:lang w:val="en-IE"/>
        </w:rPr>
        <w:t>:</w:t>
      </w:r>
    </w:p>
    <w:p w14:paraId="42165C7C" w14:textId="19BED413" w:rsidR="004E7C3D" w:rsidRPr="00D33F79" w:rsidRDefault="00E47A99" w:rsidP="004E7C3D">
      <w:pPr>
        <w:pStyle w:val="ListParagraph"/>
        <w:numPr>
          <w:ilvl w:val="0"/>
          <w:numId w:val="8"/>
        </w:numPr>
        <w:jc w:val="both"/>
        <w:rPr>
          <w:rFonts w:ascii="Times New Roman" w:eastAsia="Calibri" w:hAnsi="Times New Roman" w:cs="Times New Roman"/>
          <w:noProof/>
          <w:color w:val="000000"/>
          <w:sz w:val="24"/>
          <w:szCs w:val="24"/>
          <w:lang w:val="en-IE"/>
        </w:rPr>
      </w:pPr>
      <w:r>
        <w:rPr>
          <w:rFonts w:ascii="Times New Roman" w:eastAsia="Calibri" w:hAnsi="Times New Roman" w:cs="Times New Roman"/>
          <w:noProof/>
          <w:color w:val="000000"/>
          <w:sz w:val="24"/>
          <w:szCs w:val="24"/>
          <w:shd w:val="clear" w:color="auto" w:fill="FFFFFF"/>
          <w:lang w:val="en-IE"/>
        </w:rPr>
        <w:t>t</w:t>
      </w:r>
      <w:r w:rsidR="00B82EC1" w:rsidRPr="00D33F79">
        <w:rPr>
          <w:rFonts w:ascii="Times New Roman" w:eastAsia="Calibri" w:hAnsi="Times New Roman" w:cs="Times New Roman"/>
          <w:noProof/>
          <w:color w:val="000000"/>
          <w:sz w:val="24"/>
          <w:szCs w:val="24"/>
          <w:lang w:val="en-IE"/>
        </w:rPr>
        <w:t>he</w:t>
      </w:r>
      <w:r w:rsidR="00A16CAB" w:rsidRPr="00D33F79">
        <w:rPr>
          <w:rFonts w:ascii="Times New Roman" w:eastAsia="Calibri" w:hAnsi="Times New Roman" w:cs="Times New Roman"/>
          <w:noProof/>
          <w:color w:val="000000"/>
          <w:sz w:val="24"/>
          <w:szCs w:val="24"/>
          <w:lang w:val="en-IE"/>
        </w:rPr>
        <w:t xml:space="preserve"> revision of </w:t>
      </w:r>
      <w:r w:rsidR="00152333" w:rsidRPr="00D33F79">
        <w:rPr>
          <w:rFonts w:ascii="Times New Roman" w:eastAsia="Calibri" w:hAnsi="Times New Roman" w:cs="Times New Roman"/>
          <w:noProof/>
          <w:color w:val="000000"/>
          <w:sz w:val="24"/>
          <w:szCs w:val="24"/>
          <w:lang w:val="en-IE"/>
        </w:rPr>
        <w:t xml:space="preserve">the </w:t>
      </w:r>
      <w:r w:rsidR="00A16CAB" w:rsidRPr="00D33F79">
        <w:rPr>
          <w:rFonts w:ascii="Times New Roman" w:eastAsia="Calibri" w:hAnsi="Times New Roman" w:cs="Times New Roman"/>
          <w:b/>
          <w:bCs/>
          <w:noProof/>
          <w:color w:val="000000"/>
          <w:sz w:val="24"/>
          <w:szCs w:val="24"/>
          <w:lang w:val="en-IE"/>
        </w:rPr>
        <w:t xml:space="preserve">EU </w:t>
      </w:r>
      <w:r w:rsidR="003926BB" w:rsidRPr="00D33F79">
        <w:rPr>
          <w:rFonts w:ascii="Times New Roman" w:eastAsia="Calibri" w:hAnsi="Times New Roman" w:cs="Times New Roman"/>
          <w:b/>
          <w:bCs/>
          <w:noProof/>
          <w:color w:val="000000"/>
          <w:sz w:val="24"/>
          <w:szCs w:val="24"/>
          <w:lang w:val="en-IE"/>
        </w:rPr>
        <w:t>Emissions Trading System</w:t>
      </w:r>
      <w:r w:rsidR="003926BB" w:rsidRPr="00D33F79">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ETS</w:t>
      </w:r>
      <w:r w:rsidR="003926BB" w:rsidRPr="00D33F79">
        <w:rPr>
          <w:rFonts w:ascii="Times New Roman" w:eastAsia="Calibri" w:hAnsi="Times New Roman" w:cs="Times New Roman"/>
          <w:noProof/>
          <w:color w:val="000000"/>
          <w:sz w:val="24"/>
          <w:szCs w:val="24"/>
          <w:lang w:val="en-IE"/>
        </w:rPr>
        <w:t>)</w:t>
      </w:r>
      <w:r>
        <w:rPr>
          <w:rFonts w:ascii="Times New Roman" w:eastAsia="Calibri" w:hAnsi="Times New Roman" w:cs="Times New Roman"/>
          <w:noProof/>
          <w:color w:val="000000"/>
          <w:sz w:val="24"/>
          <w:szCs w:val="24"/>
          <w:lang w:val="en-IE"/>
        </w:rPr>
        <w:t> </w:t>
      </w:r>
      <w:r w:rsidR="00A16CAB" w:rsidRPr="007F51D4">
        <w:rPr>
          <w:noProof/>
          <w:sz w:val="24"/>
          <w:szCs w:val="24"/>
          <w:vertAlign w:val="superscript"/>
          <w:lang w:val="en-IE"/>
        </w:rPr>
        <w:footnoteReference w:id="4"/>
      </w:r>
      <w:r w:rsidR="00A16CAB" w:rsidRPr="00D33F79">
        <w:rPr>
          <w:rFonts w:ascii="Times New Roman" w:eastAsia="Calibri" w:hAnsi="Times New Roman" w:cs="Times New Roman"/>
          <w:noProof/>
          <w:color w:val="000000"/>
          <w:sz w:val="24"/>
          <w:szCs w:val="24"/>
          <w:lang w:val="en-IE"/>
        </w:rPr>
        <w:t xml:space="preserve"> </w:t>
      </w:r>
      <w:r w:rsidR="00D45734">
        <w:rPr>
          <w:rFonts w:ascii="Times New Roman" w:eastAsia="Calibri" w:hAnsi="Times New Roman" w:cs="Times New Roman"/>
          <w:noProof/>
          <w:color w:val="000000"/>
          <w:sz w:val="24"/>
          <w:szCs w:val="24"/>
          <w:lang w:val="en-IE"/>
        </w:rPr>
        <w:t>has</w:t>
      </w:r>
      <w:r w:rsidR="00D45734" w:rsidRPr="00D33F79">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extend</w:t>
      </w:r>
      <w:r w:rsidR="007F51D4">
        <w:rPr>
          <w:rFonts w:ascii="Times New Roman" w:eastAsia="Calibri" w:hAnsi="Times New Roman" w:cs="Times New Roman"/>
          <w:noProof/>
          <w:color w:val="000000"/>
          <w:sz w:val="24"/>
          <w:szCs w:val="24"/>
          <w:lang w:val="en-IE"/>
        </w:rPr>
        <w:t>ed</w:t>
      </w:r>
      <w:r w:rsidR="00A16CAB" w:rsidRPr="00D33F79">
        <w:rPr>
          <w:rFonts w:ascii="Times New Roman" w:eastAsia="Calibri" w:hAnsi="Times New Roman" w:cs="Times New Roman"/>
          <w:noProof/>
          <w:color w:val="000000"/>
          <w:sz w:val="24"/>
          <w:szCs w:val="24"/>
          <w:lang w:val="en-IE"/>
        </w:rPr>
        <w:t xml:space="preserve"> the </w:t>
      </w:r>
      <w:r>
        <w:rPr>
          <w:rFonts w:ascii="Times New Roman" w:eastAsia="Calibri" w:hAnsi="Times New Roman" w:cs="Times New Roman"/>
          <w:noProof/>
          <w:color w:val="000000"/>
          <w:sz w:val="24"/>
          <w:szCs w:val="24"/>
          <w:lang w:val="en-IE"/>
        </w:rPr>
        <w:t xml:space="preserve">scope of the </w:t>
      </w:r>
      <w:r w:rsidR="00A16CAB" w:rsidRPr="00D33F79">
        <w:rPr>
          <w:rFonts w:ascii="Times New Roman" w:eastAsia="Calibri" w:hAnsi="Times New Roman" w:cs="Times New Roman"/>
          <w:noProof/>
          <w:color w:val="000000"/>
          <w:sz w:val="24"/>
          <w:szCs w:val="24"/>
          <w:lang w:val="en-IE"/>
        </w:rPr>
        <w:t xml:space="preserve">EU </w:t>
      </w:r>
      <w:r w:rsidR="002C22F7" w:rsidRPr="00D33F79">
        <w:rPr>
          <w:rFonts w:ascii="Times New Roman" w:eastAsia="Calibri" w:hAnsi="Times New Roman" w:cs="Times New Roman"/>
          <w:noProof/>
          <w:color w:val="000000"/>
          <w:sz w:val="24"/>
          <w:szCs w:val="24"/>
          <w:lang w:val="en-IE"/>
        </w:rPr>
        <w:t>ETS</w:t>
      </w:r>
      <w:r w:rsidR="00A16CAB" w:rsidRPr="00D33F79">
        <w:rPr>
          <w:rFonts w:ascii="Times New Roman" w:eastAsia="Calibri" w:hAnsi="Times New Roman" w:cs="Times New Roman"/>
          <w:noProof/>
          <w:color w:val="000000"/>
          <w:sz w:val="24"/>
          <w:szCs w:val="24"/>
          <w:lang w:val="en-IE"/>
        </w:rPr>
        <w:t xml:space="preserve"> to cover CO</w:t>
      </w:r>
      <w:r w:rsidR="00A16CAB" w:rsidRPr="00D33F79">
        <w:rPr>
          <w:rFonts w:ascii="Times New Roman" w:eastAsia="Calibri" w:hAnsi="Times New Roman" w:cs="Times New Roman"/>
          <w:noProof/>
          <w:color w:val="000000"/>
          <w:sz w:val="24"/>
          <w:szCs w:val="24"/>
          <w:vertAlign w:val="subscript"/>
          <w:lang w:val="en-IE"/>
        </w:rPr>
        <w:t>2</w:t>
      </w:r>
      <w:r w:rsidR="00A16CAB" w:rsidRPr="00D33F79">
        <w:rPr>
          <w:rFonts w:ascii="Times New Roman" w:eastAsia="Calibri" w:hAnsi="Times New Roman" w:cs="Times New Roman"/>
          <w:noProof/>
          <w:color w:val="000000"/>
          <w:sz w:val="24"/>
          <w:szCs w:val="24"/>
          <w:lang w:val="en-IE"/>
        </w:rPr>
        <w:t xml:space="preserve"> emissions from large ships</w:t>
      </w:r>
      <w:r w:rsidR="00B82EC1" w:rsidRPr="00D33F79">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 xml:space="preserve">entering EU ports </w:t>
      </w:r>
      <w:r>
        <w:rPr>
          <w:rFonts w:ascii="Times New Roman" w:eastAsia="Calibri" w:hAnsi="Times New Roman" w:cs="Times New Roman"/>
          <w:noProof/>
          <w:color w:val="000000"/>
          <w:sz w:val="24"/>
          <w:szCs w:val="24"/>
          <w:lang w:val="en-IE"/>
        </w:rPr>
        <w:t>as</w:t>
      </w:r>
      <w:r w:rsidRPr="00D33F79">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from 1</w:t>
      </w:r>
      <w:r>
        <w:rPr>
          <w:rFonts w:ascii="Times New Roman" w:eastAsia="Calibri" w:hAnsi="Times New Roman" w:cs="Times New Roman"/>
          <w:noProof/>
          <w:color w:val="000000"/>
          <w:sz w:val="24"/>
          <w:szCs w:val="24"/>
          <w:lang w:val="en-IE"/>
        </w:rPr>
        <w:t> </w:t>
      </w:r>
      <w:r w:rsidR="00A16CAB" w:rsidRPr="00D33F79">
        <w:rPr>
          <w:rFonts w:ascii="Times New Roman" w:eastAsia="Calibri" w:hAnsi="Times New Roman" w:cs="Times New Roman"/>
          <w:noProof/>
          <w:color w:val="000000"/>
          <w:sz w:val="24"/>
          <w:szCs w:val="24"/>
          <w:lang w:val="en-IE"/>
        </w:rPr>
        <w:t>January</w:t>
      </w:r>
      <w:r>
        <w:rPr>
          <w:rFonts w:ascii="Times New Roman" w:eastAsia="Calibri" w:hAnsi="Times New Roman" w:cs="Times New Roman"/>
          <w:noProof/>
          <w:color w:val="000000"/>
          <w:sz w:val="24"/>
          <w:szCs w:val="24"/>
          <w:lang w:val="en-IE"/>
        </w:rPr>
        <w:t> </w:t>
      </w:r>
      <w:r w:rsidR="00A16CAB" w:rsidRPr="00D33F79">
        <w:rPr>
          <w:rFonts w:ascii="Times New Roman" w:eastAsia="Calibri" w:hAnsi="Times New Roman" w:cs="Times New Roman"/>
          <w:noProof/>
          <w:color w:val="000000"/>
          <w:sz w:val="24"/>
          <w:szCs w:val="24"/>
          <w:lang w:val="en-IE"/>
        </w:rPr>
        <w:t>2024</w:t>
      </w:r>
      <w:r>
        <w:rPr>
          <w:rFonts w:ascii="Times New Roman" w:eastAsia="Calibri" w:hAnsi="Times New Roman" w:cs="Times New Roman"/>
          <w:noProof/>
          <w:color w:val="000000"/>
          <w:sz w:val="24"/>
          <w:szCs w:val="24"/>
          <w:lang w:val="en-IE"/>
        </w:rPr>
        <w:t>,</w:t>
      </w:r>
      <w:r w:rsidR="00A16CAB" w:rsidRPr="00D33F79">
        <w:rPr>
          <w:rFonts w:ascii="Times New Roman" w:eastAsia="Calibri" w:hAnsi="Times New Roman" w:cs="Times New Roman"/>
          <w:noProof/>
          <w:color w:val="000000"/>
          <w:sz w:val="24"/>
          <w:szCs w:val="24"/>
          <w:lang w:val="en-IE"/>
        </w:rPr>
        <w:t xml:space="preserve"> regardless of the flag they fly</w:t>
      </w:r>
      <w:r>
        <w:rPr>
          <w:rFonts w:ascii="Times New Roman" w:eastAsia="Calibri" w:hAnsi="Times New Roman" w:cs="Times New Roman"/>
          <w:noProof/>
          <w:color w:val="000000"/>
          <w:sz w:val="24"/>
          <w:szCs w:val="24"/>
          <w:lang w:val="en-IE"/>
        </w:rPr>
        <w:t>;</w:t>
      </w:r>
    </w:p>
    <w:p w14:paraId="3B0B7054" w14:textId="297A42DD" w:rsidR="00130DE9" w:rsidRPr="00D33F79" w:rsidRDefault="00E47A99" w:rsidP="00BE4D88">
      <w:pPr>
        <w:pStyle w:val="ListParagraph"/>
        <w:numPr>
          <w:ilvl w:val="0"/>
          <w:numId w:val="8"/>
        </w:numPr>
        <w:jc w:val="both"/>
        <w:rPr>
          <w:rFonts w:ascii="Times New Roman" w:eastAsia="Calibri" w:hAnsi="Times New Roman" w:cs="Times New Roman"/>
          <w:noProof/>
          <w:color w:val="000000"/>
          <w:sz w:val="24"/>
          <w:szCs w:val="24"/>
          <w:lang w:val="en-IE"/>
        </w:rPr>
      </w:pPr>
      <w:r>
        <w:rPr>
          <w:rFonts w:ascii="Times New Roman" w:eastAsia="Calibri" w:hAnsi="Times New Roman" w:cs="Times New Roman"/>
          <w:noProof/>
          <w:color w:val="000000"/>
          <w:sz w:val="24"/>
          <w:szCs w:val="24"/>
          <w:lang w:val="en-IE"/>
        </w:rPr>
        <w:t>t</w:t>
      </w:r>
      <w:r w:rsidR="00E15EDF" w:rsidRPr="00D33F79">
        <w:rPr>
          <w:rFonts w:ascii="Times New Roman" w:eastAsia="Calibri" w:hAnsi="Times New Roman" w:cs="Times New Roman"/>
          <w:noProof/>
          <w:color w:val="000000"/>
          <w:sz w:val="24"/>
          <w:szCs w:val="24"/>
          <w:lang w:val="en-IE"/>
        </w:rPr>
        <w:t xml:space="preserve">he </w:t>
      </w:r>
      <w:r w:rsidR="00A16CAB" w:rsidRPr="00D33F79">
        <w:rPr>
          <w:rFonts w:ascii="Times New Roman" w:eastAsia="Calibri" w:hAnsi="Times New Roman" w:cs="Times New Roman"/>
          <w:b/>
          <w:bCs/>
          <w:noProof/>
          <w:color w:val="000000"/>
          <w:sz w:val="24"/>
          <w:szCs w:val="24"/>
          <w:lang w:val="en-IE"/>
        </w:rPr>
        <w:t>FuelEU Maritime Regulation</w:t>
      </w:r>
      <w:r>
        <w:rPr>
          <w:rFonts w:ascii="Times New Roman" w:eastAsia="Calibri" w:hAnsi="Times New Roman" w:cs="Times New Roman"/>
          <w:b/>
          <w:bCs/>
          <w:noProof/>
          <w:color w:val="000000"/>
          <w:sz w:val="24"/>
          <w:szCs w:val="24"/>
          <w:lang w:val="en-IE"/>
        </w:rPr>
        <w:t> </w:t>
      </w:r>
      <w:r w:rsidR="00A16CAB" w:rsidRPr="007F51D4">
        <w:rPr>
          <w:noProof/>
          <w:sz w:val="24"/>
          <w:szCs w:val="24"/>
          <w:vertAlign w:val="superscript"/>
          <w:lang w:val="en-IE"/>
        </w:rPr>
        <w:footnoteReference w:id="5"/>
      </w:r>
      <w:r w:rsidR="00A16CAB" w:rsidRPr="00D33F79">
        <w:rPr>
          <w:rFonts w:ascii="Times New Roman" w:eastAsia="Calibri" w:hAnsi="Times New Roman" w:cs="Times New Roman"/>
          <w:noProof/>
          <w:color w:val="000000"/>
          <w:sz w:val="24"/>
          <w:szCs w:val="24"/>
          <w:lang w:val="en-IE"/>
        </w:rPr>
        <w:t xml:space="preserve"> will ensure that the greenhouse</w:t>
      </w:r>
      <w:r w:rsidR="00534963">
        <w:rPr>
          <w:rFonts w:ascii="Times New Roman" w:eastAsia="Calibri" w:hAnsi="Times New Roman" w:cs="Times New Roman"/>
          <w:noProof/>
          <w:color w:val="000000"/>
          <w:sz w:val="24"/>
          <w:szCs w:val="24"/>
          <w:lang w:val="en-IE"/>
        </w:rPr>
        <w:t xml:space="preserve"> gas</w:t>
      </w:r>
      <w:r w:rsidR="00A16CAB" w:rsidRPr="00D33F79">
        <w:rPr>
          <w:rFonts w:ascii="Times New Roman" w:eastAsia="Calibri" w:hAnsi="Times New Roman" w:cs="Times New Roman"/>
          <w:noProof/>
          <w:color w:val="000000"/>
          <w:sz w:val="24"/>
          <w:szCs w:val="24"/>
          <w:lang w:val="en-IE"/>
        </w:rPr>
        <w:t xml:space="preserve"> intensity of energy used</w:t>
      </w:r>
      <w:r w:rsidR="002D59E5" w:rsidRPr="00D33F79">
        <w:rPr>
          <w:rFonts w:ascii="Times New Roman" w:eastAsia="Calibri" w:hAnsi="Times New Roman" w:cs="Times New Roman"/>
          <w:noProof/>
          <w:color w:val="000000"/>
          <w:sz w:val="24"/>
          <w:szCs w:val="24"/>
          <w:lang w:val="en-IE"/>
        </w:rPr>
        <w:t xml:space="preserve"> onboard ships</w:t>
      </w:r>
      <w:r w:rsidR="00A16CAB" w:rsidRPr="00D33F79">
        <w:rPr>
          <w:rFonts w:ascii="Times New Roman" w:eastAsia="Calibri" w:hAnsi="Times New Roman" w:cs="Times New Roman"/>
          <w:noProof/>
          <w:color w:val="000000"/>
          <w:sz w:val="24"/>
          <w:szCs w:val="24"/>
          <w:lang w:val="en-IE"/>
        </w:rPr>
        <w:t xml:space="preserve"> gradually decreases over time</w:t>
      </w:r>
      <w:r w:rsidR="00B772BC" w:rsidRPr="00D33F79">
        <w:rPr>
          <w:rFonts w:ascii="Times New Roman" w:eastAsia="Calibri" w:hAnsi="Times New Roman" w:cs="Times New Roman"/>
          <w:noProof/>
          <w:color w:val="000000"/>
          <w:sz w:val="24"/>
          <w:szCs w:val="24"/>
          <w:lang w:val="en-IE"/>
        </w:rPr>
        <w:t>,</w:t>
      </w:r>
      <w:r w:rsidR="001B47FB" w:rsidRPr="00D33F79">
        <w:rPr>
          <w:rFonts w:ascii="Times New Roman" w:eastAsia="Calibri" w:hAnsi="Times New Roman" w:cs="Times New Roman"/>
          <w:noProof/>
          <w:color w:val="000000"/>
          <w:sz w:val="24"/>
          <w:szCs w:val="24"/>
          <w:lang w:val="en-IE"/>
        </w:rPr>
        <w:t xml:space="preserve"> </w:t>
      </w:r>
      <w:r w:rsidR="005E4210">
        <w:rPr>
          <w:rFonts w:ascii="Times New Roman" w:eastAsia="Calibri" w:hAnsi="Times New Roman" w:cs="Times New Roman"/>
          <w:noProof/>
          <w:color w:val="000000"/>
          <w:sz w:val="24"/>
          <w:szCs w:val="24"/>
          <w:lang w:val="en-IE"/>
        </w:rPr>
        <w:t xml:space="preserve">and will oblige </w:t>
      </w:r>
      <w:r w:rsidR="005E0F24" w:rsidRPr="00D33F79">
        <w:rPr>
          <w:rFonts w:ascii="Times New Roman" w:eastAsia="Calibri" w:hAnsi="Times New Roman" w:cs="Times New Roman"/>
          <w:noProof/>
          <w:color w:val="000000"/>
          <w:sz w:val="24"/>
          <w:szCs w:val="24"/>
          <w:lang w:val="en-IE"/>
        </w:rPr>
        <w:t>passenger ships and container</w:t>
      </w:r>
      <w:r w:rsidR="00226E42">
        <w:rPr>
          <w:rFonts w:ascii="Times New Roman" w:eastAsia="Calibri" w:hAnsi="Times New Roman" w:cs="Times New Roman"/>
          <w:noProof/>
          <w:color w:val="000000"/>
          <w:sz w:val="24"/>
          <w:szCs w:val="24"/>
          <w:lang w:val="en-IE"/>
        </w:rPr>
        <w:t xml:space="preserve"> </w:t>
      </w:r>
      <w:r w:rsidR="005E0F24" w:rsidRPr="00D33F79">
        <w:rPr>
          <w:rFonts w:ascii="Times New Roman" w:eastAsia="Calibri" w:hAnsi="Times New Roman" w:cs="Times New Roman"/>
          <w:noProof/>
          <w:color w:val="000000"/>
          <w:sz w:val="24"/>
          <w:szCs w:val="24"/>
          <w:lang w:val="en-IE"/>
        </w:rPr>
        <w:t>s</w:t>
      </w:r>
      <w:r w:rsidR="00226E42">
        <w:rPr>
          <w:rFonts w:ascii="Times New Roman" w:eastAsia="Calibri" w:hAnsi="Times New Roman" w:cs="Times New Roman"/>
          <w:noProof/>
          <w:color w:val="000000"/>
          <w:sz w:val="24"/>
          <w:szCs w:val="24"/>
          <w:lang w:val="en-IE"/>
        </w:rPr>
        <w:t>hips</w:t>
      </w:r>
      <w:r w:rsidR="005E0F24" w:rsidRPr="00D33F79">
        <w:rPr>
          <w:rFonts w:ascii="Times New Roman" w:eastAsia="Calibri" w:hAnsi="Times New Roman" w:cs="Times New Roman"/>
          <w:noProof/>
          <w:color w:val="000000"/>
          <w:sz w:val="24"/>
          <w:szCs w:val="24"/>
          <w:lang w:val="en-IE"/>
        </w:rPr>
        <w:t xml:space="preserve"> to use onshore power supply while moored at the quayside in major EU ports as </w:t>
      </w:r>
      <w:r w:rsidR="005E4210">
        <w:rPr>
          <w:rFonts w:ascii="Times New Roman" w:eastAsia="Calibri" w:hAnsi="Times New Roman" w:cs="Times New Roman"/>
          <w:noProof/>
          <w:color w:val="000000"/>
          <w:sz w:val="24"/>
          <w:szCs w:val="24"/>
          <w:lang w:val="en-IE"/>
        </w:rPr>
        <w:t>from</w:t>
      </w:r>
      <w:r w:rsidR="005E0F24" w:rsidRPr="00D33F79">
        <w:rPr>
          <w:rFonts w:ascii="Times New Roman" w:eastAsia="Calibri" w:hAnsi="Times New Roman" w:cs="Times New Roman"/>
          <w:noProof/>
          <w:color w:val="000000"/>
          <w:sz w:val="24"/>
          <w:szCs w:val="24"/>
          <w:lang w:val="en-IE"/>
        </w:rPr>
        <w:t xml:space="preserve"> 2030</w:t>
      </w:r>
      <w:r w:rsidR="00534963">
        <w:rPr>
          <w:rFonts w:ascii="Times New Roman" w:eastAsia="Calibri" w:hAnsi="Times New Roman" w:cs="Times New Roman"/>
          <w:noProof/>
          <w:color w:val="000000"/>
          <w:sz w:val="24"/>
          <w:szCs w:val="24"/>
          <w:lang w:val="en-IE"/>
        </w:rPr>
        <w:t>;</w:t>
      </w:r>
    </w:p>
    <w:p w14:paraId="149AF7A7" w14:textId="6C7B404A" w:rsidR="00130DE9" w:rsidRPr="00D33F79" w:rsidRDefault="00210F12" w:rsidP="004E7C3D">
      <w:pPr>
        <w:pStyle w:val="ListParagraph"/>
        <w:numPr>
          <w:ilvl w:val="0"/>
          <w:numId w:val="8"/>
        </w:numPr>
        <w:jc w:val="both"/>
        <w:rPr>
          <w:rFonts w:ascii="Times New Roman" w:eastAsia="Calibri" w:hAnsi="Times New Roman" w:cs="Times New Roman"/>
          <w:noProof/>
          <w:color w:val="000000"/>
          <w:sz w:val="24"/>
          <w:szCs w:val="24"/>
          <w:lang w:val="en-IE"/>
        </w:rPr>
      </w:pPr>
      <w:r w:rsidRPr="00D33F79">
        <w:rPr>
          <w:rFonts w:ascii="Times New Roman" w:eastAsia="Calibri" w:hAnsi="Times New Roman" w:cs="Times New Roman"/>
          <w:noProof/>
          <w:color w:val="000000"/>
          <w:sz w:val="24"/>
          <w:szCs w:val="24"/>
          <w:lang w:val="en-IE"/>
        </w:rPr>
        <w:t>the</w:t>
      </w:r>
      <w:r w:rsidR="00B772BC" w:rsidRPr="00D33F79">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b/>
          <w:bCs/>
          <w:noProof/>
          <w:color w:val="000000"/>
          <w:sz w:val="24"/>
          <w:szCs w:val="24"/>
          <w:lang w:val="en-IE"/>
        </w:rPr>
        <w:t>Regulation on Alternative Fuels Infrastructure</w:t>
      </w:r>
      <w:r w:rsidR="005E4210">
        <w:rPr>
          <w:rFonts w:ascii="Times New Roman" w:eastAsia="Calibri" w:hAnsi="Times New Roman" w:cs="Times New Roman"/>
          <w:b/>
          <w:bCs/>
          <w:noProof/>
          <w:color w:val="000000"/>
          <w:sz w:val="24"/>
          <w:szCs w:val="24"/>
          <w:lang w:val="en-IE"/>
        </w:rPr>
        <w:t> </w:t>
      </w:r>
      <w:r w:rsidR="00A16CAB" w:rsidRPr="007F51D4">
        <w:rPr>
          <w:noProof/>
          <w:sz w:val="24"/>
          <w:szCs w:val="24"/>
          <w:vertAlign w:val="superscript"/>
          <w:lang w:val="en-IE"/>
        </w:rPr>
        <w:footnoteReference w:id="6"/>
      </w:r>
      <w:r w:rsidR="005E4210">
        <w:rPr>
          <w:rFonts w:ascii="Times New Roman" w:eastAsia="Calibri" w:hAnsi="Times New Roman" w:cs="Times New Roman"/>
          <w:noProof/>
          <w:color w:val="000000"/>
          <w:sz w:val="24"/>
          <w:szCs w:val="24"/>
          <w:lang w:val="en-IE"/>
        </w:rPr>
        <w:t xml:space="preserve"> require</w:t>
      </w:r>
      <w:r w:rsidR="00D45734">
        <w:rPr>
          <w:rFonts w:ascii="Times New Roman" w:eastAsia="Calibri" w:hAnsi="Times New Roman" w:cs="Times New Roman"/>
          <w:noProof/>
          <w:color w:val="000000"/>
          <w:sz w:val="24"/>
          <w:szCs w:val="24"/>
          <w:lang w:val="en-IE"/>
        </w:rPr>
        <w:t>s</w:t>
      </w:r>
      <w:r w:rsidR="005E4210">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maritime ports welcoming a minimum number of large passenger vessels</w:t>
      </w:r>
      <w:r w:rsidR="005E4210">
        <w:rPr>
          <w:rFonts w:ascii="Times New Roman" w:eastAsia="Calibri" w:hAnsi="Times New Roman" w:cs="Times New Roman"/>
          <w:noProof/>
          <w:color w:val="000000"/>
          <w:sz w:val="24"/>
          <w:szCs w:val="24"/>
          <w:lang w:val="en-IE"/>
        </w:rPr>
        <w:t xml:space="preserve"> </w:t>
      </w:r>
      <w:r w:rsidR="00A16CAB" w:rsidRPr="00D33F79">
        <w:rPr>
          <w:rFonts w:ascii="Times New Roman" w:eastAsia="Calibri" w:hAnsi="Times New Roman" w:cs="Times New Roman"/>
          <w:noProof/>
          <w:color w:val="000000"/>
          <w:sz w:val="24"/>
          <w:szCs w:val="24"/>
          <w:lang w:val="en-IE"/>
        </w:rPr>
        <w:t>or container vessels</w:t>
      </w:r>
      <w:r w:rsidR="005E4210">
        <w:rPr>
          <w:rFonts w:ascii="Times New Roman" w:eastAsia="Calibri" w:hAnsi="Times New Roman" w:cs="Times New Roman"/>
          <w:noProof/>
          <w:color w:val="000000"/>
          <w:sz w:val="24"/>
          <w:szCs w:val="24"/>
          <w:lang w:val="en-IE"/>
        </w:rPr>
        <w:t xml:space="preserve"> to </w:t>
      </w:r>
      <w:r w:rsidR="00A16CAB" w:rsidRPr="00D33F79">
        <w:rPr>
          <w:rFonts w:ascii="Times New Roman" w:eastAsia="Calibri" w:hAnsi="Times New Roman" w:cs="Times New Roman"/>
          <w:noProof/>
          <w:color w:val="000000"/>
          <w:sz w:val="24"/>
          <w:szCs w:val="24"/>
          <w:lang w:val="en-IE"/>
        </w:rPr>
        <w:t>provide shore-side electricity for such vessels by 2030</w:t>
      </w:r>
      <w:r w:rsidR="00534963">
        <w:rPr>
          <w:rFonts w:ascii="Times New Roman" w:eastAsia="Calibri" w:hAnsi="Times New Roman" w:cs="Times New Roman"/>
          <w:noProof/>
          <w:color w:val="000000"/>
          <w:sz w:val="24"/>
          <w:szCs w:val="24"/>
          <w:lang w:val="en-IE"/>
        </w:rPr>
        <w:t>;</w:t>
      </w:r>
    </w:p>
    <w:p w14:paraId="765158F6" w14:textId="093D7FE4" w:rsidR="00A16CAB" w:rsidRPr="00D33F79" w:rsidRDefault="00D45734" w:rsidP="004E7C3D">
      <w:pPr>
        <w:pStyle w:val="ListParagraph"/>
        <w:numPr>
          <w:ilvl w:val="0"/>
          <w:numId w:val="8"/>
        </w:numPr>
        <w:jc w:val="both"/>
        <w:rPr>
          <w:rFonts w:ascii="Times New Roman" w:eastAsia="Calibri" w:hAnsi="Times New Roman" w:cs="Times New Roman"/>
          <w:noProof/>
          <w:color w:val="000000"/>
          <w:sz w:val="24"/>
          <w:szCs w:val="24"/>
          <w:lang w:val="en-IE"/>
        </w:rPr>
      </w:pPr>
      <w:r>
        <w:rPr>
          <w:rFonts w:ascii="Times New Roman" w:eastAsia="Calibri" w:hAnsi="Times New Roman" w:cs="Times New Roman"/>
          <w:noProof/>
          <w:color w:val="000000"/>
          <w:sz w:val="24"/>
          <w:szCs w:val="24"/>
          <w:lang w:val="en-IE"/>
        </w:rPr>
        <w:t>t</w:t>
      </w:r>
      <w:r w:rsidR="00F808BD" w:rsidRPr="00D33F79">
        <w:rPr>
          <w:rFonts w:ascii="Times New Roman" w:eastAsia="Calibri" w:hAnsi="Times New Roman" w:cs="Times New Roman"/>
          <w:noProof/>
          <w:color w:val="000000"/>
          <w:sz w:val="24"/>
          <w:szCs w:val="24"/>
          <w:lang w:val="en-IE"/>
        </w:rPr>
        <w:t xml:space="preserve">he revision of the </w:t>
      </w:r>
      <w:r w:rsidR="00905899" w:rsidRPr="00D33F79">
        <w:rPr>
          <w:rFonts w:ascii="Times New Roman" w:eastAsia="Calibri" w:hAnsi="Times New Roman" w:cs="Times New Roman"/>
          <w:b/>
          <w:bCs/>
          <w:noProof/>
          <w:color w:val="000000"/>
          <w:sz w:val="24"/>
          <w:szCs w:val="24"/>
          <w:lang w:val="en-IE"/>
        </w:rPr>
        <w:t>Renewables Energy Directive</w:t>
      </w:r>
      <w:r>
        <w:rPr>
          <w:rFonts w:ascii="Times New Roman" w:eastAsia="Calibri" w:hAnsi="Times New Roman" w:cs="Times New Roman"/>
          <w:b/>
          <w:bCs/>
          <w:noProof/>
          <w:color w:val="000000"/>
          <w:sz w:val="24"/>
          <w:szCs w:val="24"/>
          <w:lang w:val="en-IE"/>
        </w:rPr>
        <w:t> </w:t>
      </w:r>
      <w:r w:rsidR="00E12739" w:rsidRPr="00D33F79">
        <w:rPr>
          <w:rStyle w:val="FootnoteReference"/>
          <w:rFonts w:ascii="Times New Roman" w:eastAsia="Calibri" w:hAnsi="Times New Roman" w:cs="Times New Roman"/>
          <w:noProof/>
          <w:color w:val="000000"/>
          <w:sz w:val="24"/>
          <w:szCs w:val="24"/>
          <w:lang w:val="en-IE"/>
        </w:rPr>
        <w:footnoteReference w:id="7"/>
      </w:r>
      <w:r w:rsidR="00D640FC" w:rsidRPr="00D33F79">
        <w:rPr>
          <w:rFonts w:ascii="Times New Roman" w:eastAsia="Calibri" w:hAnsi="Times New Roman" w:cs="Times New Roman"/>
          <w:noProof/>
          <w:color w:val="000000"/>
          <w:sz w:val="24"/>
          <w:szCs w:val="24"/>
          <w:lang w:val="en-IE"/>
        </w:rPr>
        <w:t xml:space="preserve"> </w:t>
      </w:r>
      <w:r w:rsidR="007F51D4">
        <w:rPr>
          <w:rFonts w:ascii="Times New Roman" w:eastAsia="Calibri" w:hAnsi="Times New Roman" w:cs="Times New Roman"/>
          <w:noProof/>
          <w:color w:val="000000"/>
          <w:sz w:val="24"/>
          <w:szCs w:val="24"/>
          <w:lang w:val="en-IE"/>
        </w:rPr>
        <w:t xml:space="preserve">has </w:t>
      </w:r>
      <w:r w:rsidR="00262762" w:rsidRPr="00D33F79">
        <w:rPr>
          <w:rFonts w:ascii="Times New Roman" w:eastAsia="Calibri" w:hAnsi="Times New Roman" w:cs="Times New Roman"/>
          <w:noProof/>
          <w:color w:val="000000"/>
          <w:sz w:val="24"/>
          <w:szCs w:val="24"/>
          <w:lang w:val="en-IE"/>
        </w:rPr>
        <w:t>introduce</w:t>
      </w:r>
      <w:r w:rsidR="007F51D4">
        <w:rPr>
          <w:rFonts w:ascii="Times New Roman" w:eastAsia="Calibri" w:hAnsi="Times New Roman" w:cs="Times New Roman"/>
          <w:noProof/>
          <w:color w:val="000000"/>
          <w:sz w:val="24"/>
          <w:szCs w:val="24"/>
          <w:lang w:val="en-IE"/>
        </w:rPr>
        <w:t>d</w:t>
      </w:r>
      <w:r w:rsidR="00414DCF" w:rsidRPr="00D33F79">
        <w:rPr>
          <w:rFonts w:ascii="Times New Roman" w:eastAsia="Calibri" w:hAnsi="Times New Roman" w:cs="Times New Roman"/>
          <w:noProof/>
          <w:color w:val="000000"/>
          <w:sz w:val="24"/>
          <w:szCs w:val="24"/>
          <w:lang w:val="en-IE"/>
        </w:rPr>
        <w:t xml:space="preserve"> more ambitious sector-specific targets in transport</w:t>
      </w:r>
      <w:r>
        <w:rPr>
          <w:rFonts w:ascii="Times New Roman" w:eastAsia="Calibri" w:hAnsi="Times New Roman" w:cs="Times New Roman"/>
          <w:noProof/>
          <w:color w:val="000000"/>
          <w:sz w:val="24"/>
          <w:szCs w:val="24"/>
          <w:lang w:val="en-IE"/>
        </w:rPr>
        <w:t>,</w:t>
      </w:r>
      <w:r w:rsidR="00863166" w:rsidRPr="00D33F79">
        <w:rPr>
          <w:rFonts w:ascii="Times New Roman" w:eastAsia="Calibri" w:hAnsi="Times New Roman" w:cs="Times New Roman"/>
          <w:noProof/>
          <w:color w:val="000000"/>
          <w:sz w:val="24"/>
          <w:szCs w:val="24"/>
          <w:lang w:val="en-IE"/>
        </w:rPr>
        <w:t xml:space="preserve"> </w:t>
      </w:r>
      <w:r w:rsidR="008D63A3" w:rsidRPr="00D33F79">
        <w:rPr>
          <w:rFonts w:ascii="Times New Roman" w:eastAsia="Calibri" w:hAnsi="Times New Roman" w:cs="Times New Roman"/>
          <w:noProof/>
          <w:color w:val="000000"/>
          <w:sz w:val="24"/>
          <w:szCs w:val="24"/>
          <w:lang w:val="en-IE"/>
        </w:rPr>
        <w:t xml:space="preserve">including </w:t>
      </w:r>
      <w:r w:rsidR="00AC17A2" w:rsidRPr="00D33F79">
        <w:rPr>
          <w:rFonts w:ascii="Times New Roman" w:eastAsia="Calibri" w:hAnsi="Times New Roman" w:cs="Times New Roman"/>
          <w:noProof/>
          <w:color w:val="000000"/>
          <w:sz w:val="24"/>
          <w:szCs w:val="24"/>
          <w:lang w:val="en-IE"/>
        </w:rPr>
        <w:t>subtarget</w:t>
      </w:r>
      <w:r w:rsidR="008D63A3" w:rsidRPr="00D33F79">
        <w:rPr>
          <w:rFonts w:ascii="Times New Roman" w:eastAsia="Calibri" w:hAnsi="Times New Roman" w:cs="Times New Roman"/>
          <w:noProof/>
          <w:color w:val="000000"/>
          <w:sz w:val="24"/>
          <w:szCs w:val="24"/>
          <w:lang w:val="en-IE"/>
        </w:rPr>
        <w:t xml:space="preserve">s </w:t>
      </w:r>
      <w:r w:rsidR="00AC17A2" w:rsidRPr="00D33F79">
        <w:rPr>
          <w:rFonts w:ascii="Times New Roman" w:eastAsia="Calibri" w:hAnsi="Times New Roman" w:cs="Times New Roman"/>
          <w:noProof/>
          <w:color w:val="000000"/>
          <w:sz w:val="24"/>
          <w:szCs w:val="24"/>
          <w:lang w:val="en-IE"/>
        </w:rPr>
        <w:t>for advanced biofuels and renewable fuels of non-biological origin </w:t>
      </w:r>
      <w:r w:rsidR="008D63A3" w:rsidRPr="00D33F79">
        <w:rPr>
          <w:rFonts w:ascii="Times New Roman" w:eastAsia="Calibri" w:hAnsi="Times New Roman" w:cs="Times New Roman"/>
          <w:noProof/>
          <w:color w:val="000000"/>
          <w:sz w:val="24"/>
          <w:szCs w:val="24"/>
          <w:lang w:val="en-IE"/>
        </w:rPr>
        <w:t>for the</w:t>
      </w:r>
      <w:r w:rsidR="00AC17A2" w:rsidRPr="00D33F79">
        <w:rPr>
          <w:rFonts w:ascii="Times New Roman" w:eastAsia="Calibri" w:hAnsi="Times New Roman" w:cs="Times New Roman"/>
          <w:noProof/>
          <w:color w:val="000000"/>
          <w:sz w:val="24"/>
          <w:szCs w:val="24"/>
          <w:lang w:val="en-IE"/>
        </w:rPr>
        <w:t xml:space="preserve"> sector</w:t>
      </w:r>
      <w:r>
        <w:rPr>
          <w:rFonts w:ascii="Times New Roman" w:eastAsia="Calibri" w:hAnsi="Times New Roman" w:cs="Times New Roman"/>
          <w:noProof/>
          <w:color w:val="000000"/>
          <w:sz w:val="24"/>
          <w:szCs w:val="24"/>
          <w:lang w:val="en-IE"/>
        </w:rPr>
        <w:t> </w:t>
      </w:r>
      <w:r w:rsidR="004A100B" w:rsidRPr="00D33F79">
        <w:rPr>
          <w:rStyle w:val="FootnoteReference"/>
          <w:rFonts w:ascii="Times New Roman" w:eastAsia="Calibri" w:hAnsi="Times New Roman" w:cs="Times New Roman"/>
          <w:noProof/>
          <w:color w:val="000000"/>
          <w:sz w:val="24"/>
          <w:szCs w:val="24"/>
          <w:lang w:val="en-IE"/>
        </w:rPr>
        <w:footnoteReference w:id="8"/>
      </w:r>
      <w:r>
        <w:rPr>
          <w:rFonts w:ascii="Times New Roman" w:eastAsia="Calibri" w:hAnsi="Times New Roman" w:cs="Times New Roman"/>
          <w:noProof/>
          <w:color w:val="000000"/>
          <w:sz w:val="24"/>
          <w:szCs w:val="24"/>
          <w:lang w:val="en-IE"/>
        </w:rPr>
        <w:t>.</w:t>
      </w:r>
    </w:p>
    <w:p w14:paraId="4CECADA6" w14:textId="394CA5BC" w:rsidR="00FE0237" w:rsidRDefault="00FE0237" w:rsidP="00A16CAB">
      <w:pPr>
        <w:jc w:val="both"/>
        <w:rPr>
          <w:rFonts w:ascii="Times New Roman" w:eastAsia="Calibri" w:hAnsi="Times New Roman" w:cs="Times New Roman"/>
          <w:noProof/>
          <w:color w:val="000000"/>
          <w:sz w:val="24"/>
          <w:szCs w:val="24"/>
          <w:lang w:val="en-IE"/>
        </w:rPr>
      </w:pPr>
      <w:r w:rsidRPr="00B928C0">
        <w:rPr>
          <w:rFonts w:ascii="Times New Roman" w:eastAsia="Calibri" w:hAnsi="Times New Roman" w:cs="Times New Roman"/>
          <w:b/>
          <w:bCs/>
          <w:noProof/>
          <w:color w:val="000000"/>
          <w:sz w:val="24"/>
          <w:szCs w:val="24"/>
          <w:lang w:val="en-IE"/>
        </w:rPr>
        <w:t>Horizon Europe</w:t>
      </w:r>
      <w:r w:rsidR="009D7B9D" w:rsidRPr="00B928C0">
        <w:rPr>
          <w:rFonts w:ascii="Times New Roman" w:eastAsia="Calibri" w:hAnsi="Times New Roman" w:cs="Times New Roman"/>
          <w:b/>
          <w:bCs/>
          <w:noProof/>
          <w:color w:val="000000"/>
          <w:sz w:val="24"/>
          <w:szCs w:val="24"/>
          <w:lang w:val="en-IE"/>
        </w:rPr>
        <w:t xml:space="preserve"> </w:t>
      </w:r>
      <w:r w:rsidR="00615E72" w:rsidRPr="00B928C0">
        <w:rPr>
          <w:rStyle w:val="FootnoteReference"/>
          <w:rFonts w:ascii="Times New Roman" w:eastAsia="Calibri" w:hAnsi="Times New Roman" w:cs="Times New Roman"/>
          <w:b/>
          <w:bCs/>
          <w:noProof/>
          <w:color w:val="000000"/>
          <w:sz w:val="24"/>
          <w:szCs w:val="24"/>
          <w:lang w:val="en-GB"/>
        </w:rPr>
        <w:footnoteReference w:id="9"/>
      </w:r>
      <w:r w:rsidRPr="00B928C0">
        <w:rPr>
          <w:rFonts w:ascii="Times New Roman" w:eastAsia="Calibri" w:hAnsi="Times New Roman" w:cs="Times New Roman"/>
          <w:noProof/>
          <w:color w:val="000000"/>
          <w:sz w:val="24"/>
          <w:szCs w:val="24"/>
          <w:lang w:val="en-IE"/>
        </w:rPr>
        <w:t xml:space="preserve"> is supporting the successful implementation of the policy objectives of the above measures through research and innovation. In this context, the Zero-Emission Waterborne Transport partnership</w:t>
      </w:r>
      <w:r w:rsidR="009D7B9D" w:rsidRPr="00B928C0">
        <w:rPr>
          <w:rFonts w:ascii="Times New Roman" w:eastAsia="Calibri" w:hAnsi="Times New Roman" w:cs="Times New Roman"/>
          <w:noProof/>
          <w:color w:val="000000"/>
          <w:sz w:val="24"/>
          <w:szCs w:val="24"/>
          <w:lang w:val="en-IE"/>
        </w:rPr>
        <w:t xml:space="preserve"> </w:t>
      </w:r>
      <w:r w:rsidR="00615E72" w:rsidRPr="00B928C0">
        <w:rPr>
          <w:rStyle w:val="FootnoteReference"/>
          <w:rFonts w:ascii="Times New Roman" w:eastAsia="Calibri" w:hAnsi="Times New Roman" w:cs="Times New Roman"/>
          <w:noProof/>
          <w:color w:val="000000"/>
          <w:sz w:val="24"/>
          <w:szCs w:val="24"/>
        </w:rPr>
        <w:footnoteReference w:id="10"/>
      </w:r>
      <w:r w:rsidRPr="00B928C0">
        <w:rPr>
          <w:rFonts w:ascii="Times New Roman" w:eastAsia="Calibri" w:hAnsi="Times New Roman" w:cs="Times New Roman"/>
          <w:noProof/>
          <w:color w:val="000000"/>
          <w:sz w:val="24"/>
          <w:szCs w:val="24"/>
          <w:lang w:val="en-IE"/>
        </w:rPr>
        <w:t>, with a budget of €3.8 bn, was set to demonstrate zero-emission solutions for all main ship types and services before 2030.</w:t>
      </w:r>
    </w:p>
    <w:p w14:paraId="5EF4E2F9" w14:textId="0DEF44D6" w:rsidR="00A16CAB" w:rsidRPr="00D33F79" w:rsidRDefault="00A16CAB" w:rsidP="00A16CAB">
      <w:pPr>
        <w:jc w:val="both"/>
        <w:rPr>
          <w:rFonts w:ascii="Times New Roman" w:eastAsia="Calibri" w:hAnsi="Times New Roman" w:cs="Times New Roman"/>
          <w:noProof/>
          <w:color w:val="000000"/>
          <w:sz w:val="24"/>
          <w:szCs w:val="24"/>
          <w:lang w:val="en-IE"/>
        </w:rPr>
      </w:pPr>
      <w:r w:rsidRPr="00D33F79">
        <w:rPr>
          <w:rFonts w:ascii="Times New Roman" w:eastAsia="Calibri" w:hAnsi="Times New Roman" w:cs="Times New Roman"/>
          <w:noProof/>
          <w:color w:val="000000"/>
          <w:sz w:val="24"/>
          <w:szCs w:val="24"/>
          <w:lang w:val="en-IE"/>
        </w:rPr>
        <w:t xml:space="preserve">Compliance with the new obligations stemming from the extension of the EU ETS to maritime transport and the FuelEU Maritime Regulation will </w:t>
      </w:r>
      <w:r w:rsidR="00AC5122" w:rsidRPr="00D33F79">
        <w:rPr>
          <w:rFonts w:ascii="Times New Roman" w:eastAsia="Calibri" w:hAnsi="Times New Roman" w:cs="Times New Roman"/>
          <w:noProof/>
          <w:color w:val="000000"/>
          <w:sz w:val="24"/>
          <w:szCs w:val="24"/>
          <w:lang w:val="en-IE"/>
        </w:rPr>
        <w:t xml:space="preserve">build </w:t>
      </w:r>
      <w:r w:rsidRPr="00D33F79">
        <w:rPr>
          <w:rFonts w:ascii="Times New Roman" w:eastAsia="Calibri" w:hAnsi="Times New Roman" w:cs="Times New Roman"/>
          <w:noProof/>
          <w:color w:val="000000"/>
          <w:sz w:val="24"/>
          <w:szCs w:val="24"/>
          <w:lang w:val="en-IE"/>
        </w:rPr>
        <w:t xml:space="preserve">on the monitoring, reporting and verification system established by the </w:t>
      </w:r>
      <w:r w:rsidRPr="00D33F79">
        <w:rPr>
          <w:rFonts w:ascii="Times New Roman" w:eastAsia="Calibri" w:hAnsi="Times New Roman" w:cs="Times New Roman"/>
          <w:b/>
          <w:bCs/>
          <w:noProof/>
          <w:color w:val="000000"/>
          <w:sz w:val="24"/>
          <w:szCs w:val="24"/>
          <w:lang w:val="en-IE"/>
        </w:rPr>
        <w:t>EU MRV Regulation</w:t>
      </w:r>
      <w:r w:rsidRPr="00D33F79">
        <w:rPr>
          <w:rFonts w:ascii="Times New Roman" w:eastAsia="Calibri" w:hAnsi="Times New Roman" w:cs="Times New Roman"/>
          <w:noProof/>
          <w:color w:val="000000"/>
          <w:sz w:val="24"/>
          <w:szCs w:val="24"/>
          <w:lang w:val="en-IE"/>
        </w:rPr>
        <w:t>, which was revised in May 2023</w:t>
      </w:r>
      <w:r w:rsidR="00D45734">
        <w:rPr>
          <w:rFonts w:ascii="Times New Roman" w:eastAsia="Calibri" w:hAnsi="Times New Roman" w:cs="Times New Roman"/>
          <w:noProof/>
          <w:color w:val="000000"/>
          <w:sz w:val="24"/>
          <w:szCs w:val="24"/>
          <w:lang w:val="en-IE"/>
        </w:rPr>
        <w:t> </w:t>
      </w:r>
      <w:r w:rsidRPr="00D33F79">
        <w:rPr>
          <w:noProof/>
          <w:vertAlign w:val="superscript"/>
          <w:lang w:val="en-IE"/>
        </w:rPr>
        <w:footnoteReference w:id="11"/>
      </w:r>
      <w:r w:rsidRPr="00D33F79">
        <w:rPr>
          <w:rFonts w:ascii="Times New Roman" w:eastAsia="Calibri" w:hAnsi="Times New Roman" w:cs="Times New Roman"/>
          <w:noProof/>
          <w:color w:val="000000"/>
          <w:sz w:val="24"/>
          <w:szCs w:val="24"/>
          <w:lang w:val="en-IE"/>
        </w:rPr>
        <w:t xml:space="preserve">. The revision </w:t>
      </w:r>
      <w:r w:rsidR="00D45734">
        <w:rPr>
          <w:rFonts w:ascii="Times New Roman" w:eastAsia="Calibri" w:hAnsi="Times New Roman" w:cs="Times New Roman"/>
          <w:noProof/>
          <w:color w:val="000000"/>
          <w:sz w:val="24"/>
          <w:szCs w:val="24"/>
          <w:lang w:val="en-IE"/>
        </w:rPr>
        <w:t>amends</w:t>
      </w:r>
      <w:r w:rsidR="00D45734" w:rsidRPr="00D33F79">
        <w:rPr>
          <w:rFonts w:ascii="Times New Roman" w:eastAsia="Calibri" w:hAnsi="Times New Roman" w:cs="Times New Roman"/>
          <w:noProof/>
          <w:color w:val="000000"/>
          <w:sz w:val="24"/>
          <w:szCs w:val="24"/>
          <w:lang w:val="en-IE"/>
        </w:rPr>
        <w:t xml:space="preserve"> </w:t>
      </w:r>
      <w:r w:rsidRPr="00D33F79">
        <w:rPr>
          <w:rFonts w:ascii="Times New Roman" w:eastAsia="Calibri" w:hAnsi="Times New Roman" w:cs="Times New Roman"/>
          <w:noProof/>
          <w:color w:val="000000"/>
          <w:sz w:val="24"/>
          <w:szCs w:val="24"/>
          <w:lang w:val="en-IE"/>
        </w:rPr>
        <w:t>the rules, to the extent necessary</w:t>
      </w:r>
      <w:r w:rsidR="00BA79AE" w:rsidRPr="00D33F79">
        <w:rPr>
          <w:rFonts w:ascii="Times New Roman" w:eastAsia="Calibri" w:hAnsi="Times New Roman" w:cs="Times New Roman"/>
          <w:noProof/>
          <w:color w:val="000000"/>
          <w:sz w:val="24"/>
          <w:szCs w:val="24"/>
          <w:lang w:val="en-IE"/>
        </w:rPr>
        <w:t>,</w:t>
      </w:r>
      <w:r w:rsidRPr="00D33F79">
        <w:rPr>
          <w:rFonts w:ascii="Times New Roman" w:eastAsia="Calibri" w:hAnsi="Times New Roman" w:cs="Times New Roman"/>
          <w:noProof/>
          <w:color w:val="000000"/>
          <w:sz w:val="24"/>
          <w:szCs w:val="24"/>
          <w:lang w:val="en-IE"/>
        </w:rPr>
        <w:t xml:space="preserve"> to </w:t>
      </w:r>
      <w:r w:rsidR="00BE4D88">
        <w:rPr>
          <w:rFonts w:ascii="Times New Roman" w:eastAsia="Calibri" w:hAnsi="Times New Roman" w:cs="Times New Roman"/>
          <w:noProof/>
          <w:color w:val="000000"/>
          <w:sz w:val="24"/>
          <w:szCs w:val="24"/>
          <w:lang w:val="en-IE"/>
        </w:rPr>
        <w:t>extend</w:t>
      </w:r>
      <w:r w:rsidRPr="00D33F79">
        <w:rPr>
          <w:rFonts w:ascii="Times New Roman" w:eastAsia="Calibri" w:hAnsi="Times New Roman" w:cs="Times New Roman"/>
          <w:noProof/>
          <w:color w:val="000000"/>
          <w:sz w:val="24"/>
          <w:szCs w:val="24"/>
          <w:lang w:val="en-IE"/>
        </w:rPr>
        <w:t xml:space="preserve"> </w:t>
      </w:r>
      <w:r w:rsidR="00D45734">
        <w:rPr>
          <w:rFonts w:ascii="Times New Roman" w:eastAsia="Calibri" w:hAnsi="Times New Roman" w:cs="Times New Roman"/>
          <w:noProof/>
          <w:color w:val="000000"/>
          <w:sz w:val="24"/>
          <w:szCs w:val="24"/>
          <w:lang w:val="en-IE"/>
        </w:rPr>
        <w:t xml:space="preserve">the </w:t>
      </w:r>
      <w:r w:rsidRPr="00D33F79">
        <w:rPr>
          <w:rFonts w:ascii="Times New Roman" w:eastAsia="Calibri" w:hAnsi="Times New Roman" w:cs="Times New Roman"/>
          <w:noProof/>
          <w:color w:val="000000"/>
          <w:sz w:val="24"/>
          <w:szCs w:val="24"/>
          <w:lang w:val="en-IE"/>
        </w:rPr>
        <w:t xml:space="preserve">ETS to maritime </w:t>
      </w:r>
      <w:r w:rsidR="00130DE9" w:rsidRPr="00D33F79">
        <w:rPr>
          <w:rFonts w:ascii="Times New Roman" w:eastAsia="Calibri" w:hAnsi="Times New Roman" w:cs="Times New Roman"/>
          <w:noProof/>
          <w:color w:val="000000"/>
          <w:sz w:val="24"/>
          <w:szCs w:val="24"/>
          <w:lang w:val="en-IE"/>
        </w:rPr>
        <w:t xml:space="preserve">transport </w:t>
      </w:r>
      <w:r w:rsidRPr="00D33F79">
        <w:rPr>
          <w:rFonts w:ascii="Times New Roman" w:eastAsia="Calibri" w:hAnsi="Times New Roman" w:cs="Times New Roman"/>
          <w:noProof/>
          <w:color w:val="000000"/>
          <w:sz w:val="24"/>
          <w:szCs w:val="24"/>
          <w:lang w:val="en-IE"/>
        </w:rPr>
        <w:t xml:space="preserve">and to </w:t>
      </w:r>
      <w:r w:rsidR="00BE28CB">
        <w:rPr>
          <w:rFonts w:ascii="Times New Roman" w:eastAsia="Calibri" w:hAnsi="Times New Roman" w:cs="Times New Roman"/>
          <w:noProof/>
          <w:color w:val="000000"/>
          <w:sz w:val="24"/>
          <w:szCs w:val="24"/>
          <w:lang w:val="en-IE"/>
        </w:rPr>
        <w:t>include</w:t>
      </w:r>
      <w:r w:rsidR="007F41CB">
        <w:rPr>
          <w:rFonts w:ascii="Times New Roman" w:eastAsia="Calibri" w:hAnsi="Times New Roman" w:cs="Times New Roman"/>
          <w:noProof/>
          <w:color w:val="000000"/>
          <w:sz w:val="24"/>
          <w:szCs w:val="24"/>
          <w:lang w:val="en-IE"/>
        </w:rPr>
        <w:t xml:space="preserve"> </w:t>
      </w:r>
      <w:r w:rsidRPr="00D33F79">
        <w:rPr>
          <w:rFonts w:ascii="Times New Roman" w:eastAsia="Calibri" w:hAnsi="Times New Roman" w:cs="Times New Roman"/>
          <w:noProof/>
          <w:color w:val="000000"/>
          <w:sz w:val="24"/>
          <w:szCs w:val="24"/>
          <w:lang w:val="en-IE"/>
        </w:rPr>
        <w:t>non-CO</w:t>
      </w:r>
      <w:r w:rsidRPr="00D33F79">
        <w:rPr>
          <w:rFonts w:ascii="Times New Roman" w:eastAsia="Calibri" w:hAnsi="Times New Roman" w:cs="Times New Roman"/>
          <w:noProof/>
          <w:color w:val="000000"/>
          <w:sz w:val="24"/>
          <w:szCs w:val="24"/>
          <w:vertAlign w:val="subscript"/>
          <w:lang w:val="en-IE"/>
        </w:rPr>
        <w:t>2</w:t>
      </w:r>
      <w:r w:rsidRPr="00D33F79">
        <w:rPr>
          <w:rFonts w:ascii="Times New Roman" w:eastAsia="Calibri" w:hAnsi="Times New Roman" w:cs="Times New Roman"/>
          <w:noProof/>
          <w:color w:val="000000"/>
          <w:sz w:val="24"/>
          <w:szCs w:val="24"/>
          <w:lang w:val="en-IE"/>
        </w:rPr>
        <w:t xml:space="preserve"> emissions (</w:t>
      </w:r>
      <w:r w:rsidR="00D20547" w:rsidRPr="00D33F79">
        <w:rPr>
          <w:rFonts w:ascii="Times New Roman" w:eastAsia="Calibri" w:hAnsi="Times New Roman" w:cs="Times New Roman"/>
          <w:noProof/>
          <w:color w:val="000000"/>
          <w:sz w:val="24"/>
          <w:szCs w:val="24"/>
          <w:lang w:val="en-IE"/>
        </w:rPr>
        <w:t>met</w:t>
      </w:r>
      <w:r w:rsidR="00FE687B" w:rsidRPr="00D33F79">
        <w:rPr>
          <w:rFonts w:ascii="Times New Roman" w:eastAsia="Calibri" w:hAnsi="Times New Roman" w:cs="Times New Roman"/>
          <w:noProof/>
          <w:color w:val="000000"/>
          <w:sz w:val="24"/>
          <w:szCs w:val="24"/>
          <w:lang w:val="en-IE"/>
        </w:rPr>
        <w:t xml:space="preserve">hane </w:t>
      </w:r>
      <w:r w:rsidR="00D45734">
        <w:rPr>
          <w:rFonts w:ascii="Times New Roman" w:eastAsia="Calibri" w:hAnsi="Times New Roman" w:cs="Times New Roman"/>
          <w:noProof/>
          <w:color w:val="000000"/>
          <w:sz w:val="24"/>
          <w:szCs w:val="24"/>
          <w:lang w:val="en-IE"/>
        </w:rPr>
        <w:t>(</w:t>
      </w:r>
      <w:r w:rsidRPr="00D33F79">
        <w:rPr>
          <w:rFonts w:ascii="Times New Roman" w:eastAsia="Calibri" w:hAnsi="Times New Roman" w:cs="Times New Roman"/>
          <w:noProof/>
          <w:color w:val="000000"/>
          <w:sz w:val="24"/>
          <w:szCs w:val="24"/>
          <w:lang w:val="en-IE"/>
        </w:rPr>
        <w:t>CH</w:t>
      </w:r>
      <w:r w:rsidRPr="00D33F79">
        <w:rPr>
          <w:rFonts w:ascii="Times New Roman" w:eastAsia="Calibri" w:hAnsi="Times New Roman" w:cs="Times New Roman"/>
          <w:noProof/>
          <w:color w:val="000000"/>
          <w:sz w:val="24"/>
          <w:szCs w:val="24"/>
          <w:vertAlign w:val="subscript"/>
          <w:lang w:val="en-IE"/>
        </w:rPr>
        <w:t>4</w:t>
      </w:r>
      <w:r w:rsidR="00D45734">
        <w:rPr>
          <w:rFonts w:ascii="Times New Roman" w:eastAsia="Calibri" w:hAnsi="Times New Roman" w:cs="Times New Roman"/>
          <w:noProof/>
          <w:color w:val="000000"/>
          <w:sz w:val="24"/>
          <w:szCs w:val="24"/>
          <w:lang w:val="en-IE"/>
        </w:rPr>
        <w:t xml:space="preserve">) </w:t>
      </w:r>
      <w:r w:rsidRPr="00D33F79">
        <w:rPr>
          <w:rFonts w:ascii="Times New Roman" w:eastAsia="Calibri" w:hAnsi="Times New Roman" w:cs="Times New Roman"/>
          <w:noProof/>
          <w:color w:val="000000"/>
          <w:sz w:val="24"/>
          <w:szCs w:val="24"/>
          <w:lang w:val="en-IE"/>
        </w:rPr>
        <w:t xml:space="preserve">and </w:t>
      </w:r>
      <w:r w:rsidR="007D7E12" w:rsidRPr="00D33F79">
        <w:rPr>
          <w:rFonts w:ascii="Times New Roman" w:eastAsia="Calibri" w:hAnsi="Times New Roman" w:cs="Times New Roman"/>
          <w:noProof/>
          <w:color w:val="000000"/>
          <w:sz w:val="24"/>
          <w:szCs w:val="24"/>
          <w:lang w:val="en-IE"/>
        </w:rPr>
        <w:t>nitrous oxide</w:t>
      </w:r>
      <w:r w:rsidR="00785D89" w:rsidRPr="00D33F79">
        <w:rPr>
          <w:rFonts w:ascii="Times New Roman" w:eastAsia="Calibri" w:hAnsi="Times New Roman" w:cs="Times New Roman"/>
          <w:noProof/>
          <w:color w:val="000000"/>
          <w:sz w:val="24"/>
          <w:szCs w:val="24"/>
          <w:lang w:val="en-IE"/>
        </w:rPr>
        <w:t xml:space="preserve"> </w:t>
      </w:r>
      <w:r w:rsidR="00D45734">
        <w:rPr>
          <w:rFonts w:ascii="Times New Roman" w:eastAsia="Calibri" w:hAnsi="Times New Roman" w:cs="Times New Roman"/>
          <w:noProof/>
          <w:color w:val="000000"/>
          <w:sz w:val="24"/>
          <w:szCs w:val="24"/>
          <w:lang w:val="en-IE"/>
        </w:rPr>
        <w:t>(</w:t>
      </w:r>
      <w:r w:rsidRPr="00D33F79">
        <w:rPr>
          <w:rFonts w:ascii="Times New Roman" w:eastAsia="Calibri" w:hAnsi="Times New Roman" w:cs="Times New Roman"/>
          <w:noProof/>
          <w:color w:val="000000"/>
          <w:sz w:val="24"/>
          <w:szCs w:val="24"/>
          <w:lang w:val="en-IE"/>
        </w:rPr>
        <w:t>N</w:t>
      </w:r>
      <w:r w:rsidRPr="00D33F79">
        <w:rPr>
          <w:rFonts w:ascii="Times New Roman" w:eastAsia="Calibri" w:hAnsi="Times New Roman" w:cs="Times New Roman"/>
          <w:noProof/>
          <w:color w:val="000000"/>
          <w:sz w:val="24"/>
          <w:szCs w:val="24"/>
          <w:vertAlign w:val="subscript"/>
          <w:lang w:val="en-IE"/>
        </w:rPr>
        <w:t>2</w:t>
      </w:r>
      <w:r w:rsidRPr="00D33F79">
        <w:rPr>
          <w:rFonts w:ascii="Times New Roman" w:eastAsia="Calibri" w:hAnsi="Times New Roman" w:cs="Times New Roman"/>
          <w:noProof/>
          <w:color w:val="000000"/>
          <w:sz w:val="24"/>
          <w:szCs w:val="24"/>
          <w:lang w:val="en-IE"/>
        </w:rPr>
        <w:t>O)</w:t>
      </w:r>
      <w:r w:rsidR="00D45734">
        <w:rPr>
          <w:rFonts w:ascii="Times New Roman" w:eastAsia="Calibri" w:hAnsi="Times New Roman" w:cs="Times New Roman"/>
          <w:noProof/>
          <w:color w:val="000000"/>
          <w:sz w:val="24"/>
          <w:szCs w:val="24"/>
          <w:lang w:val="en-IE"/>
        </w:rPr>
        <w:t>)</w:t>
      </w:r>
      <w:r w:rsidRPr="00D33F79">
        <w:rPr>
          <w:rFonts w:ascii="Times New Roman" w:eastAsia="Calibri" w:hAnsi="Times New Roman" w:cs="Times New Roman"/>
          <w:noProof/>
          <w:color w:val="000000"/>
          <w:sz w:val="24"/>
          <w:szCs w:val="24"/>
          <w:lang w:val="en-IE"/>
        </w:rPr>
        <w:t xml:space="preserve"> in the system. The new monitoring and reporting rules will </w:t>
      </w:r>
      <w:r w:rsidR="00130DE9" w:rsidRPr="00D33F79">
        <w:rPr>
          <w:rFonts w:ascii="Times New Roman" w:eastAsia="Calibri" w:hAnsi="Times New Roman" w:cs="Times New Roman"/>
          <w:noProof/>
          <w:color w:val="000000"/>
          <w:sz w:val="24"/>
          <w:szCs w:val="24"/>
          <w:lang w:val="en-IE"/>
        </w:rPr>
        <w:t>apply</w:t>
      </w:r>
      <w:r w:rsidR="00737690" w:rsidRPr="00D33F79">
        <w:rPr>
          <w:rFonts w:ascii="Times New Roman" w:eastAsia="Calibri" w:hAnsi="Times New Roman" w:cs="Times New Roman"/>
          <w:noProof/>
          <w:color w:val="000000"/>
          <w:sz w:val="24"/>
          <w:szCs w:val="24"/>
          <w:lang w:val="en-IE"/>
        </w:rPr>
        <w:t xml:space="preserve"> </w:t>
      </w:r>
      <w:r w:rsidR="00DD0465">
        <w:rPr>
          <w:rFonts w:ascii="Times New Roman" w:eastAsia="Calibri" w:hAnsi="Times New Roman" w:cs="Times New Roman"/>
          <w:noProof/>
          <w:color w:val="000000"/>
          <w:sz w:val="24"/>
          <w:szCs w:val="24"/>
          <w:lang w:val="en-IE"/>
        </w:rPr>
        <w:t>from</w:t>
      </w:r>
      <w:r w:rsidRPr="00D33F79">
        <w:rPr>
          <w:rFonts w:ascii="Times New Roman" w:eastAsia="Calibri" w:hAnsi="Times New Roman" w:cs="Times New Roman"/>
          <w:noProof/>
          <w:color w:val="000000"/>
          <w:sz w:val="24"/>
          <w:szCs w:val="24"/>
          <w:lang w:val="en-IE"/>
        </w:rPr>
        <w:t xml:space="preserve"> the reporting period 2024</w:t>
      </w:r>
      <w:r w:rsidR="00D45734">
        <w:rPr>
          <w:rFonts w:ascii="Times New Roman" w:eastAsia="Calibri" w:hAnsi="Times New Roman" w:cs="Times New Roman"/>
          <w:noProof/>
          <w:color w:val="000000"/>
          <w:sz w:val="24"/>
          <w:szCs w:val="24"/>
          <w:lang w:val="en-IE"/>
        </w:rPr>
        <w:t xml:space="preserve"> onward</w:t>
      </w:r>
      <w:r w:rsidRPr="00D33F79">
        <w:rPr>
          <w:rFonts w:ascii="Times New Roman" w:eastAsia="Calibri" w:hAnsi="Times New Roman" w:cs="Times New Roman"/>
          <w:noProof/>
          <w:color w:val="000000"/>
          <w:sz w:val="24"/>
          <w:szCs w:val="24"/>
          <w:lang w:val="en-IE"/>
        </w:rPr>
        <w:t xml:space="preserve">. </w:t>
      </w:r>
    </w:p>
    <w:p w14:paraId="036EE143" w14:textId="77777777" w:rsidR="009D7B9D" w:rsidRDefault="00D45734" w:rsidP="0032594D">
      <w:pPr>
        <w:jc w:val="both"/>
        <w:rPr>
          <w:rFonts w:ascii="Times New Roman" w:eastAsia="Calibri" w:hAnsi="Times New Roman" w:cs="Times New Roman"/>
          <w:noProof/>
          <w:sz w:val="24"/>
          <w:szCs w:val="24"/>
          <w:lang w:val="en-IE"/>
        </w:rPr>
      </w:pPr>
      <w:r>
        <w:rPr>
          <w:rFonts w:ascii="Times New Roman" w:eastAsia="Calibri" w:hAnsi="Times New Roman" w:cs="Times New Roman"/>
          <w:noProof/>
          <w:sz w:val="24"/>
          <w:szCs w:val="24"/>
          <w:lang w:val="en-IE"/>
        </w:rPr>
        <w:t>T</w:t>
      </w:r>
      <w:r w:rsidR="0032594D" w:rsidRPr="00D33F79">
        <w:rPr>
          <w:rFonts w:ascii="Times New Roman" w:eastAsia="Calibri" w:hAnsi="Times New Roman" w:cs="Times New Roman"/>
          <w:noProof/>
          <w:sz w:val="24"/>
          <w:szCs w:val="24"/>
          <w:lang w:val="en-IE"/>
        </w:rPr>
        <w:t xml:space="preserve">he Commission is </w:t>
      </w:r>
      <w:r>
        <w:rPr>
          <w:rFonts w:ascii="Times New Roman" w:eastAsia="Calibri" w:hAnsi="Times New Roman" w:cs="Times New Roman"/>
          <w:noProof/>
          <w:sz w:val="24"/>
          <w:szCs w:val="24"/>
          <w:lang w:val="en-IE"/>
        </w:rPr>
        <w:t xml:space="preserve">also </w:t>
      </w:r>
      <w:r w:rsidR="0032594D" w:rsidRPr="00D33F79">
        <w:rPr>
          <w:rFonts w:ascii="Times New Roman" w:eastAsia="Calibri" w:hAnsi="Times New Roman" w:cs="Times New Roman"/>
          <w:noProof/>
          <w:sz w:val="24"/>
          <w:szCs w:val="24"/>
          <w:lang w:val="en-IE"/>
        </w:rPr>
        <w:t>committed to support</w:t>
      </w:r>
      <w:r w:rsidR="006D04E9" w:rsidRPr="00D33F79">
        <w:rPr>
          <w:rFonts w:ascii="Times New Roman" w:eastAsia="Calibri" w:hAnsi="Times New Roman" w:cs="Times New Roman"/>
          <w:noProof/>
          <w:sz w:val="24"/>
          <w:szCs w:val="24"/>
          <w:lang w:val="en-IE"/>
        </w:rPr>
        <w:t>ing</w:t>
      </w:r>
      <w:r w:rsidR="0032594D" w:rsidRPr="00D33F79">
        <w:rPr>
          <w:rFonts w:ascii="Times New Roman" w:eastAsia="Calibri" w:hAnsi="Times New Roman" w:cs="Times New Roman"/>
          <w:noProof/>
          <w:sz w:val="24"/>
          <w:szCs w:val="24"/>
          <w:lang w:val="en-IE"/>
        </w:rPr>
        <w:t xml:space="preserve"> </w:t>
      </w:r>
      <w:r w:rsidR="00FC34DB" w:rsidRPr="00D33F79">
        <w:rPr>
          <w:rFonts w:ascii="Times New Roman" w:eastAsia="Calibri" w:hAnsi="Times New Roman" w:cs="Times New Roman"/>
          <w:noProof/>
          <w:sz w:val="24"/>
          <w:szCs w:val="24"/>
          <w:lang w:val="en-IE"/>
        </w:rPr>
        <w:t>global action</w:t>
      </w:r>
      <w:r w:rsidR="0032594D" w:rsidRPr="00D33F79">
        <w:rPr>
          <w:rFonts w:ascii="Times New Roman" w:eastAsia="Calibri" w:hAnsi="Times New Roman" w:cs="Times New Roman"/>
          <w:noProof/>
          <w:sz w:val="24"/>
          <w:szCs w:val="24"/>
          <w:lang w:val="en-IE"/>
        </w:rPr>
        <w:t xml:space="preserve"> to encourage the decarbonisation of the sector, notably at the International Maritime Organization (IMO)</w:t>
      </w:r>
      <w:r w:rsidR="00B82EC1" w:rsidRPr="00D33F79">
        <w:rPr>
          <w:rFonts w:ascii="Times New Roman" w:eastAsia="Calibri" w:hAnsi="Times New Roman" w:cs="Times New Roman"/>
          <w:noProof/>
          <w:sz w:val="24"/>
          <w:szCs w:val="24"/>
          <w:lang w:val="en-IE"/>
        </w:rPr>
        <w:t xml:space="preserve">, where the </w:t>
      </w:r>
      <w:r>
        <w:rPr>
          <w:rFonts w:ascii="Times New Roman" w:eastAsia="Calibri" w:hAnsi="Times New Roman" w:cs="Times New Roman"/>
          <w:noProof/>
          <w:sz w:val="24"/>
          <w:szCs w:val="24"/>
          <w:lang w:val="en-IE"/>
        </w:rPr>
        <w:t>EU</w:t>
      </w:r>
      <w:r w:rsidR="00B82EC1" w:rsidRPr="00D33F79">
        <w:rPr>
          <w:rFonts w:ascii="Times New Roman" w:eastAsia="Calibri" w:hAnsi="Times New Roman" w:cs="Times New Roman"/>
          <w:noProof/>
          <w:sz w:val="24"/>
          <w:szCs w:val="24"/>
          <w:lang w:val="en-IE"/>
        </w:rPr>
        <w:t xml:space="preserve"> supported and welcomed the outcome of the revision of the</w:t>
      </w:r>
      <w:r w:rsidR="0032594D" w:rsidRPr="00D33F79">
        <w:rPr>
          <w:rFonts w:ascii="Times New Roman" w:eastAsia="Calibri" w:hAnsi="Times New Roman" w:cs="Times New Roman"/>
          <w:noProof/>
          <w:sz w:val="24"/>
          <w:szCs w:val="24"/>
          <w:lang w:val="en-IE"/>
        </w:rPr>
        <w:t xml:space="preserve"> </w:t>
      </w:r>
      <w:r w:rsidR="00B82EC1" w:rsidRPr="00D33F79">
        <w:rPr>
          <w:rFonts w:ascii="Times New Roman" w:eastAsia="Calibri" w:hAnsi="Times New Roman" w:cs="Times New Roman"/>
          <w:noProof/>
          <w:sz w:val="24"/>
          <w:szCs w:val="24"/>
          <w:lang w:val="en-IE"/>
        </w:rPr>
        <w:t>initial IMO</w:t>
      </w:r>
      <w:r w:rsidR="00211A84" w:rsidRPr="00D33F79">
        <w:rPr>
          <w:rFonts w:ascii="Times New Roman" w:eastAsia="Calibri" w:hAnsi="Times New Roman" w:cs="Times New Roman"/>
          <w:noProof/>
          <w:sz w:val="24"/>
          <w:szCs w:val="24"/>
          <w:lang w:val="en-IE"/>
        </w:rPr>
        <w:t xml:space="preserve"> greenhouse gas</w:t>
      </w:r>
      <w:r w:rsidR="00B82EC1" w:rsidRPr="00D33F79">
        <w:rPr>
          <w:rFonts w:ascii="Times New Roman" w:eastAsia="Calibri" w:hAnsi="Times New Roman" w:cs="Times New Roman"/>
          <w:noProof/>
          <w:sz w:val="24"/>
          <w:szCs w:val="24"/>
          <w:lang w:val="en-IE"/>
        </w:rPr>
        <w:t xml:space="preserve"> reduction </w:t>
      </w:r>
      <w:r>
        <w:rPr>
          <w:rFonts w:ascii="Times New Roman" w:eastAsia="Calibri" w:hAnsi="Times New Roman" w:cs="Times New Roman"/>
          <w:noProof/>
          <w:sz w:val="24"/>
          <w:szCs w:val="24"/>
          <w:lang w:val="en-IE"/>
        </w:rPr>
        <w:t>s</w:t>
      </w:r>
      <w:r w:rsidR="00B82EC1" w:rsidRPr="00D33F79">
        <w:rPr>
          <w:rFonts w:ascii="Times New Roman" w:eastAsia="Calibri" w:hAnsi="Times New Roman" w:cs="Times New Roman"/>
          <w:noProof/>
          <w:sz w:val="24"/>
          <w:szCs w:val="24"/>
          <w:lang w:val="en-IE"/>
        </w:rPr>
        <w:t>trategy in July 2023</w:t>
      </w:r>
      <w:r w:rsidR="009B72AC" w:rsidRPr="00D33F79">
        <w:rPr>
          <w:rFonts w:ascii="Times New Roman" w:eastAsia="Calibri" w:hAnsi="Times New Roman" w:cs="Times New Roman"/>
          <w:noProof/>
          <w:sz w:val="24"/>
          <w:szCs w:val="24"/>
          <w:lang w:val="en-IE"/>
        </w:rPr>
        <w:t xml:space="preserve">, </w:t>
      </w:r>
      <w:r>
        <w:rPr>
          <w:rFonts w:ascii="Times New Roman" w:eastAsia="Calibri" w:hAnsi="Times New Roman" w:cs="Times New Roman"/>
          <w:noProof/>
          <w:sz w:val="24"/>
          <w:szCs w:val="24"/>
          <w:lang w:val="en-IE"/>
        </w:rPr>
        <w:t xml:space="preserve">which </w:t>
      </w:r>
      <w:r w:rsidR="00B259BF" w:rsidRPr="00D33F79">
        <w:rPr>
          <w:rFonts w:ascii="Times New Roman" w:eastAsia="Calibri" w:hAnsi="Times New Roman" w:cs="Times New Roman"/>
          <w:noProof/>
          <w:sz w:val="24"/>
          <w:szCs w:val="24"/>
          <w:lang w:val="en-IE"/>
        </w:rPr>
        <w:t xml:space="preserve">set the goal </w:t>
      </w:r>
      <w:r w:rsidR="009B72AC" w:rsidRPr="00D33F79">
        <w:rPr>
          <w:rFonts w:ascii="Times New Roman" w:eastAsia="Calibri" w:hAnsi="Times New Roman" w:cs="Times New Roman"/>
          <w:noProof/>
          <w:sz w:val="24"/>
          <w:szCs w:val="24"/>
          <w:lang w:val="en-IE"/>
        </w:rPr>
        <w:t xml:space="preserve">of </w:t>
      </w:r>
      <w:r w:rsidR="00B259BF" w:rsidRPr="00D33F79">
        <w:rPr>
          <w:rFonts w:ascii="Times New Roman" w:eastAsia="Calibri" w:hAnsi="Times New Roman" w:cs="Times New Roman"/>
          <w:noProof/>
          <w:sz w:val="24"/>
          <w:szCs w:val="24"/>
          <w:lang w:val="en-IE"/>
        </w:rPr>
        <w:t xml:space="preserve">net zero emissions from ships </w:t>
      </w:r>
      <w:r w:rsidR="00953B68" w:rsidRPr="00D33F79">
        <w:rPr>
          <w:rFonts w:ascii="Times New Roman" w:eastAsia="Calibri" w:hAnsi="Times New Roman" w:cs="Times New Roman"/>
          <w:noProof/>
          <w:sz w:val="24"/>
          <w:szCs w:val="24"/>
          <w:lang w:val="en-IE"/>
        </w:rPr>
        <w:t>by or around, i.e. close to, 2050</w:t>
      </w:r>
      <w:r w:rsidR="00B259BF" w:rsidRPr="00D33F79">
        <w:rPr>
          <w:rFonts w:ascii="Times New Roman" w:eastAsia="Calibri" w:hAnsi="Times New Roman" w:cs="Times New Roman"/>
          <w:noProof/>
          <w:sz w:val="24"/>
          <w:szCs w:val="24"/>
          <w:lang w:val="en-IE"/>
        </w:rPr>
        <w:t>.</w:t>
      </w:r>
      <w:r w:rsidR="00FE0237">
        <w:rPr>
          <w:rFonts w:ascii="Times New Roman" w:eastAsia="Calibri" w:hAnsi="Times New Roman" w:cs="Times New Roman"/>
          <w:noProof/>
          <w:sz w:val="24"/>
          <w:szCs w:val="24"/>
          <w:lang w:val="en-IE"/>
        </w:rPr>
        <w:t xml:space="preserve"> </w:t>
      </w:r>
    </w:p>
    <w:p w14:paraId="50E2BEE1" w14:textId="65E3FC6C" w:rsidR="0032594D" w:rsidRPr="00D33F79" w:rsidRDefault="009D7B9D" w:rsidP="0032594D">
      <w:pPr>
        <w:jc w:val="both"/>
        <w:rPr>
          <w:rFonts w:ascii="Times New Roman" w:eastAsia="Calibri" w:hAnsi="Times New Roman" w:cs="Times New Roman"/>
          <w:noProof/>
          <w:sz w:val="24"/>
          <w:szCs w:val="24"/>
          <w:lang w:val="en-IE"/>
        </w:rPr>
      </w:pPr>
      <w:r w:rsidRPr="00B928C0">
        <w:rPr>
          <w:rFonts w:ascii="Times New Roman" w:eastAsia="Calibri" w:hAnsi="Times New Roman" w:cs="Times New Roman"/>
          <w:noProof/>
          <w:sz w:val="24"/>
          <w:szCs w:val="24"/>
          <w:lang w:val="en-IE"/>
        </w:rPr>
        <w:t>At the international level t</w:t>
      </w:r>
      <w:r w:rsidR="00FE0237" w:rsidRPr="00B928C0">
        <w:rPr>
          <w:rFonts w:ascii="Times New Roman" w:eastAsia="Calibri" w:hAnsi="Times New Roman" w:cs="Times New Roman"/>
          <w:noProof/>
          <w:sz w:val="24"/>
          <w:szCs w:val="24"/>
        </w:rPr>
        <w:t>he Commission, on behalf of the EU, has</w:t>
      </w:r>
      <w:r w:rsidRPr="00B928C0">
        <w:rPr>
          <w:rFonts w:ascii="Times New Roman" w:eastAsia="Calibri" w:hAnsi="Times New Roman" w:cs="Times New Roman"/>
          <w:noProof/>
          <w:sz w:val="24"/>
          <w:szCs w:val="24"/>
        </w:rPr>
        <w:t xml:space="preserve"> further</w:t>
      </w:r>
      <w:r w:rsidR="00FE0237" w:rsidRPr="00B928C0">
        <w:rPr>
          <w:rFonts w:ascii="Times New Roman" w:eastAsia="Calibri" w:hAnsi="Times New Roman" w:cs="Times New Roman"/>
          <w:noProof/>
          <w:sz w:val="24"/>
          <w:szCs w:val="24"/>
        </w:rPr>
        <w:t xml:space="preserve"> partnered with 23 countries outside of the EU in the Mission Innovation initiative to accelerate clean energy innovation, which includes the Zero-Emission Shipping mission.</w:t>
      </w:r>
    </w:p>
    <w:p w14:paraId="54ED5EB0" w14:textId="04C3D0C7" w:rsidR="0032594D" w:rsidRPr="00D33F79" w:rsidRDefault="00156130" w:rsidP="7234B9D8">
      <w:pPr>
        <w:pStyle w:val="ListParagraph"/>
        <w:numPr>
          <w:ilvl w:val="0"/>
          <w:numId w:val="3"/>
        </w:numPr>
        <w:jc w:val="both"/>
        <w:rPr>
          <w:rFonts w:ascii="Times New Roman" w:eastAsia="Calibri" w:hAnsi="Times New Roman" w:cs="Times New Roman"/>
          <w:b/>
          <w:bCs/>
          <w:noProof/>
          <w:sz w:val="24"/>
          <w:szCs w:val="24"/>
          <w:lang w:val="en-IE"/>
        </w:rPr>
      </w:pPr>
      <w:r w:rsidRPr="00D33F79">
        <w:rPr>
          <w:rFonts w:ascii="Times New Roman" w:eastAsia="Calibri" w:hAnsi="Times New Roman" w:cs="Times New Roman"/>
          <w:b/>
          <w:bCs/>
          <w:noProof/>
          <w:sz w:val="24"/>
          <w:szCs w:val="24"/>
          <w:lang w:val="en-IE"/>
        </w:rPr>
        <w:t>CO</w:t>
      </w:r>
      <w:r w:rsidRPr="00D33F79">
        <w:rPr>
          <w:rFonts w:ascii="Times New Roman" w:eastAsia="Calibri" w:hAnsi="Times New Roman" w:cs="Times New Roman"/>
          <w:b/>
          <w:bCs/>
          <w:noProof/>
          <w:sz w:val="24"/>
          <w:szCs w:val="24"/>
          <w:vertAlign w:val="subscript"/>
          <w:lang w:val="en-IE"/>
        </w:rPr>
        <w:t>2</w:t>
      </w:r>
      <w:r w:rsidRPr="00D33F79">
        <w:rPr>
          <w:rFonts w:ascii="Times New Roman" w:eastAsia="Calibri" w:hAnsi="Times New Roman" w:cs="Times New Roman"/>
          <w:b/>
          <w:bCs/>
          <w:noProof/>
          <w:sz w:val="24"/>
          <w:szCs w:val="24"/>
          <w:lang w:val="en-IE"/>
        </w:rPr>
        <w:t xml:space="preserve"> emissions in </w:t>
      </w:r>
      <w:r w:rsidR="005E382E" w:rsidRPr="00D33F79">
        <w:rPr>
          <w:rFonts w:ascii="Times New Roman" w:eastAsia="Calibri" w:hAnsi="Times New Roman" w:cs="Times New Roman"/>
          <w:b/>
          <w:bCs/>
          <w:noProof/>
          <w:sz w:val="24"/>
          <w:szCs w:val="24"/>
          <w:lang w:val="en-IE"/>
        </w:rPr>
        <w:t>2022</w:t>
      </w:r>
      <w:r w:rsidR="0041520F" w:rsidRPr="00D33F79">
        <w:rPr>
          <w:rFonts w:ascii="Times New Roman" w:eastAsia="Calibri" w:hAnsi="Times New Roman" w:cs="Times New Roman"/>
          <w:b/>
          <w:bCs/>
          <w:noProof/>
          <w:sz w:val="24"/>
          <w:szCs w:val="24"/>
          <w:lang w:val="en-IE"/>
        </w:rPr>
        <w:t xml:space="preserve"> </w:t>
      </w:r>
      <w:r w:rsidR="005E1E2A" w:rsidRPr="00D33F79">
        <w:rPr>
          <w:rFonts w:ascii="Times New Roman" w:eastAsia="Calibri" w:hAnsi="Times New Roman" w:cs="Times New Roman"/>
          <w:b/>
          <w:bCs/>
          <w:noProof/>
          <w:sz w:val="24"/>
          <w:szCs w:val="24"/>
          <w:lang w:val="en-IE"/>
        </w:rPr>
        <w:t xml:space="preserve">as </w:t>
      </w:r>
      <w:r w:rsidR="0041520F" w:rsidRPr="00D33F79">
        <w:rPr>
          <w:rFonts w:ascii="Times New Roman" w:eastAsia="Calibri" w:hAnsi="Times New Roman" w:cs="Times New Roman"/>
          <w:b/>
          <w:bCs/>
          <w:noProof/>
          <w:sz w:val="24"/>
          <w:szCs w:val="24"/>
          <w:lang w:val="en-IE"/>
        </w:rPr>
        <w:t xml:space="preserve">compared </w:t>
      </w:r>
      <w:r w:rsidR="00D45734">
        <w:rPr>
          <w:rFonts w:ascii="Times New Roman" w:eastAsia="Calibri" w:hAnsi="Times New Roman" w:cs="Times New Roman"/>
          <w:b/>
          <w:bCs/>
          <w:noProof/>
          <w:sz w:val="24"/>
          <w:szCs w:val="24"/>
          <w:lang w:val="en-IE"/>
        </w:rPr>
        <w:t>with</w:t>
      </w:r>
      <w:r w:rsidR="0041520F" w:rsidRPr="00D33F79">
        <w:rPr>
          <w:rFonts w:ascii="Times New Roman" w:eastAsia="Calibri" w:hAnsi="Times New Roman" w:cs="Times New Roman"/>
          <w:b/>
          <w:bCs/>
          <w:noProof/>
          <w:sz w:val="24"/>
          <w:szCs w:val="24"/>
          <w:lang w:val="en-IE"/>
        </w:rPr>
        <w:t xml:space="preserve"> 2021</w:t>
      </w:r>
      <w:r w:rsidR="005E1E2A" w:rsidRPr="00D33F79">
        <w:rPr>
          <w:rFonts w:ascii="Times New Roman" w:eastAsia="Calibri" w:hAnsi="Times New Roman" w:cs="Times New Roman"/>
          <w:b/>
          <w:bCs/>
          <w:noProof/>
          <w:sz w:val="24"/>
          <w:szCs w:val="24"/>
          <w:lang w:val="en-IE"/>
        </w:rPr>
        <w:t>:</w:t>
      </w:r>
      <w:r w:rsidR="000707EF" w:rsidRPr="00D33F79">
        <w:rPr>
          <w:rFonts w:ascii="Times New Roman" w:eastAsia="Calibri" w:hAnsi="Times New Roman" w:cs="Times New Roman"/>
          <w:b/>
          <w:bCs/>
          <w:noProof/>
          <w:sz w:val="24"/>
          <w:szCs w:val="24"/>
          <w:lang w:val="en-IE"/>
        </w:rPr>
        <w:t xml:space="preserve"> </w:t>
      </w:r>
      <w:r w:rsidR="00785204" w:rsidRPr="00D33F79">
        <w:rPr>
          <w:rFonts w:ascii="Times New Roman" w:eastAsia="Calibri" w:hAnsi="Times New Roman" w:cs="Times New Roman"/>
          <w:b/>
          <w:bCs/>
          <w:noProof/>
          <w:sz w:val="24"/>
          <w:szCs w:val="24"/>
          <w:lang w:val="en-IE"/>
        </w:rPr>
        <w:t xml:space="preserve">Russia’s </w:t>
      </w:r>
      <w:r w:rsidR="00B729F3">
        <w:rPr>
          <w:rFonts w:ascii="Times New Roman" w:eastAsia="Calibri" w:hAnsi="Times New Roman" w:cs="Times New Roman"/>
          <w:b/>
          <w:bCs/>
          <w:noProof/>
          <w:sz w:val="24"/>
          <w:szCs w:val="24"/>
          <w:lang w:val="en-IE"/>
        </w:rPr>
        <w:t xml:space="preserve">full-scale invasion of </w:t>
      </w:r>
      <w:r w:rsidR="000707EF" w:rsidRPr="00D33F79">
        <w:rPr>
          <w:rFonts w:ascii="Times New Roman" w:eastAsia="Calibri" w:hAnsi="Times New Roman" w:cs="Times New Roman"/>
          <w:b/>
          <w:bCs/>
          <w:noProof/>
          <w:sz w:val="24"/>
          <w:szCs w:val="24"/>
          <w:lang w:val="en-IE"/>
        </w:rPr>
        <w:t xml:space="preserve">Ukraine and </w:t>
      </w:r>
      <w:r w:rsidR="00B729F3">
        <w:rPr>
          <w:rFonts w:ascii="Times New Roman" w:eastAsia="Calibri" w:hAnsi="Times New Roman" w:cs="Times New Roman"/>
          <w:b/>
          <w:bCs/>
          <w:noProof/>
          <w:sz w:val="24"/>
          <w:szCs w:val="24"/>
          <w:lang w:val="en-IE"/>
        </w:rPr>
        <w:t xml:space="preserve">the </w:t>
      </w:r>
      <w:r w:rsidR="000707EF" w:rsidRPr="00D33F79">
        <w:rPr>
          <w:rFonts w:ascii="Times New Roman" w:eastAsia="Calibri" w:hAnsi="Times New Roman" w:cs="Times New Roman"/>
          <w:b/>
          <w:bCs/>
          <w:noProof/>
          <w:sz w:val="24"/>
          <w:szCs w:val="24"/>
          <w:lang w:val="en-IE"/>
        </w:rPr>
        <w:t>post-</w:t>
      </w:r>
      <w:r w:rsidR="00B729F3">
        <w:rPr>
          <w:rFonts w:ascii="Times New Roman" w:eastAsia="Calibri" w:hAnsi="Times New Roman" w:cs="Times New Roman"/>
          <w:b/>
          <w:bCs/>
          <w:noProof/>
          <w:sz w:val="24"/>
          <w:szCs w:val="24"/>
          <w:lang w:val="en-IE"/>
        </w:rPr>
        <w:t xml:space="preserve">COVID-19 </w:t>
      </w:r>
      <w:r w:rsidR="00F72617" w:rsidRPr="00D33F79">
        <w:rPr>
          <w:rFonts w:ascii="Times New Roman" w:eastAsia="Calibri" w:hAnsi="Times New Roman" w:cs="Times New Roman"/>
          <w:b/>
          <w:bCs/>
          <w:noProof/>
          <w:sz w:val="24"/>
          <w:szCs w:val="24"/>
          <w:lang w:val="en-IE"/>
        </w:rPr>
        <w:t>economic recovery</w:t>
      </w:r>
    </w:p>
    <w:p w14:paraId="47D0F142" w14:textId="512C9AF5" w:rsidR="00FC7120"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The monitored voyages for the </w:t>
      </w:r>
      <w:r w:rsidR="00B729F3" w:rsidRPr="00D33F79">
        <w:rPr>
          <w:rFonts w:ascii="Times New Roman" w:eastAsia="Calibri" w:hAnsi="Times New Roman" w:cs="Times New Roman"/>
          <w:noProof/>
          <w:sz w:val="24"/>
          <w:szCs w:val="24"/>
          <w:lang w:val="en-IE"/>
        </w:rPr>
        <w:t xml:space="preserve">2022 </w:t>
      </w:r>
      <w:r w:rsidRPr="00D33F79">
        <w:rPr>
          <w:rFonts w:ascii="Times New Roman" w:eastAsia="Calibri" w:hAnsi="Times New Roman" w:cs="Times New Roman"/>
          <w:noProof/>
          <w:sz w:val="24"/>
          <w:szCs w:val="24"/>
          <w:lang w:val="en-IE"/>
        </w:rPr>
        <w:t xml:space="preserve">reporting year emitted </w:t>
      </w:r>
      <w:r w:rsidRPr="00D33F79">
        <w:rPr>
          <w:rFonts w:ascii="Times New Roman" w:eastAsia="Calibri" w:hAnsi="Times New Roman" w:cs="Times New Roman"/>
          <w:b/>
          <w:bCs/>
          <w:noProof/>
          <w:sz w:val="24"/>
          <w:szCs w:val="24"/>
          <w:lang w:val="en-IE"/>
        </w:rPr>
        <w:t>135.5 million tonnes of CO</w:t>
      </w:r>
      <w:r w:rsidRPr="00D33F79">
        <w:rPr>
          <w:rFonts w:ascii="Times New Roman" w:eastAsia="Calibri" w:hAnsi="Times New Roman" w:cs="Times New Roman"/>
          <w:b/>
          <w:bCs/>
          <w:noProof/>
          <w:sz w:val="24"/>
          <w:szCs w:val="24"/>
          <w:vertAlign w:val="subscript"/>
          <w:lang w:val="en-IE"/>
        </w:rPr>
        <w:t>2</w:t>
      </w:r>
      <w:r w:rsidRPr="00D33F79">
        <w:rPr>
          <w:rFonts w:ascii="Times New Roman" w:eastAsia="Calibri" w:hAnsi="Times New Roman" w:cs="Times New Roman"/>
          <w:noProof/>
          <w:sz w:val="24"/>
          <w:szCs w:val="24"/>
          <w:lang w:val="en-IE"/>
        </w:rPr>
        <w:t xml:space="preserve"> into the atmosphere. Th</w:t>
      </w:r>
      <w:r w:rsidR="00643829">
        <w:rPr>
          <w:rFonts w:ascii="Times New Roman" w:eastAsia="Calibri" w:hAnsi="Times New Roman" w:cs="Times New Roman"/>
          <w:noProof/>
          <w:sz w:val="24"/>
          <w:szCs w:val="24"/>
          <w:lang w:val="en-IE"/>
        </w:rPr>
        <w:t>e</w:t>
      </w:r>
      <w:r w:rsidRPr="00D33F79">
        <w:rPr>
          <w:rFonts w:ascii="Times New Roman" w:eastAsia="Calibri" w:hAnsi="Times New Roman" w:cs="Times New Roman"/>
          <w:noProof/>
          <w:sz w:val="24"/>
          <w:szCs w:val="24"/>
          <w:lang w:val="en-IE"/>
        </w:rPr>
        <w:t>se emissions</w:t>
      </w:r>
      <w:r w:rsidR="00DC16FC"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were </w:t>
      </w:r>
      <w:r w:rsidRPr="00D33F79">
        <w:rPr>
          <w:rFonts w:ascii="Times New Roman" w:eastAsia="Calibri" w:hAnsi="Times New Roman" w:cs="Times New Roman"/>
          <w:b/>
          <w:bCs/>
          <w:noProof/>
          <w:sz w:val="24"/>
          <w:szCs w:val="24"/>
          <w:lang w:val="en-IE"/>
        </w:rPr>
        <w:t>7.1% higher</w:t>
      </w:r>
      <w:r w:rsidRPr="00D33F79">
        <w:rPr>
          <w:rFonts w:ascii="Times New Roman" w:eastAsia="Calibri" w:hAnsi="Times New Roman" w:cs="Times New Roman"/>
          <w:noProof/>
          <w:sz w:val="24"/>
          <w:szCs w:val="24"/>
          <w:lang w:val="en-IE"/>
        </w:rPr>
        <w:t xml:space="preserve"> than </w:t>
      </w:r>
      <w:r w:rsidR="00643829">
        <w:rPr>
          <w:rFonts w:ascii="Times New Roman" w:eastAsia="Calibri" w:hAnsi="Times New Roman" w:cs="Times New Roman"/>
          <w:noProof/>
          <w:sz w:val="24"/>
          <w:szCs w:val="24"/>
          <w:lang w:val="en-IE"/>
        </w:rPr>
        <w:t xml:space="preserve">those </w:t>
      </w:r>
      <w:r w:rsidRPr="00D33F79">
        <w:rPr>
          <w:rFonts w:ascii="Times New Roman" w:eastAsia="Calibri" w:hAnsi="Times New Roman" w:cs="Times New Roman"/>
          <w:noProof/>
          <w:sz w:val="24"/>
          <w:szCs w:val="24"/>
          <w:lang w:val="en-IE"/>
        </w:rPr>
        <w:t xml:space="preserve">reported in 2021 </w:t>
      </w:r>
      <w:r w:rsidR="0093421B" w:rsidRPr="00D33F79">
        <w:rPr>
          <w:rFonts w:ascii="Times New Roman" w:eastAsia="Calibri" w:hAnsi="Times New Roman" w:cs="Times New Roman"/>
          <w:noProof/>
          <w:sz w:val="24"/>
          <w:szCs w:val="24"/>
          <w:lang w:val="en-IE"/>
        </w:rPr>
        <w:t xml:space="preserve">and </w:t>
      </w:r>
      <w:r w:rsidR="00C95658" w:rsidRPr="00D33F79">
        <w:rPr>
          <w:rFonts w:ascii="Times New Roman" w:eastAsia="Calibri" w:hAnsi="Times New Roman" w:cs="Times New Roman"/>
          <w:noProof/>
          <w:sz w:val="24"/>
          <w:szCs w:val="24"/>
          <w:lang w:val="en-IE"/>
        </w:rPr>
        <w:t xml:space="preserve">7.9% lower than </w:t>
      </w:r>
      <w:r w:rsidR="00643829">
        <w:rPr>
          <w:rFonts w:ascii="Times New Roman" w:eastAsia="Calibri" w:hAnsi="Times New Roman" w:cs="Times New Roman"/>
          <w:noProof/>
          <w:sz w:val="24"/>
          <w:szCs w:val="24"/>
          <w:lang w:val="en-IE"/>
        </w:rPr>
        <w:t>those</w:t>
      </w:r>
      <w:r w:rsidR="00C95658" w:rsidRPr="00D33F79">
        <w:rPr>
          <w:rFonts w:ascii="Times New Roman" w:eastAsia="Calibri" w:hAnsi="Times New Roman" w:cs="Times New Roman"/>
          <w:noProof/>
          <w:sz w:val="24"/>
          <w:szCs w:val="24"/>
          <w:lang w:val="en-IE"/>
        </w:rPr>
        <w:t xml:space="preserve"> reported </w:t>
      </w:r>
      <w:r w:rsidR="007E33C1" w:rsidRPr="00D33F79">
        <w:rPr>
          <w:rFonts w:ascii="Times New Roman" w:eastAsia="Calibri" w:hAnsi="Times New Roman" w:cs="Times New Roman"/>
          <w:noProof/>
          <w:sz w:val="24"/>
          <w:szCs w:val="24"/>
          <w:lang w:val="en-IE"/>
        </w:rPr>
        <w:t>pre-COVID</w:t>
      </w:r>
      <w:r w:rsidR="00B729F3">
        <w:rPr>
          <w:rFonts w:ascii="Times New Roman" w:eastAsia="Calibri" w:hAnsi="Times New Roman" w:cs="Times New Roman"/>
          <w:noProof/>
          <w:sz w:val="24"/>
          <w:szCs w:val="24"/>
          <w:lang w:val="en-IE"/>
        </w:rPr>
        <w:t>-19</w:t>
      </w:r>
      <w:r w:rsidR="007E33C1" w:rsidRPr="00D33F79">
        <w:rPr>
          <w:rFonts w:ascii="Times New Roman" w:eastAsia="Calibri" w:hAnsi="Times New Roman" w:cs="Times New Roman"/>
          <w:noProof/>
          <w:sz w:val="24"/>
          <w:szCs w:val="24"/>
          <w:lang w:val="en-IE"/>
        </w:rPr>
        <w:t xml:space="preserve"> </w:t>
      </w:r>
      <w:r w:rsidR="00C95658" w:rsidRPr="00D33F79">
        <w:rPr>
          <w:rFonts w:ascii="Times New Roman" w:eastAsia="Calibri" w:hAnsi="Times New Roman" w:cs="Times New Roman"/>
          <w:noProof/>
          <w:sz w:val="24"/>
          <w:szCs w:val="24"/>
          <w:lang w:val="en-IE"/>
        </w:rPr>
        <w:t>in 2019</w:t>
      </w:r>
      <w:r w:rsidR="00B729F3">
        <w:rPr>
          <w:rFonts w:ascii="Times New Roman" w:eastAsia="Calibri" w:hAnsi="Times New Roman" w:cs="Times New Roman"/>
          <w:noProof/>
          <w:sz w:val="24"/>
          <w:szCs w:val="24"/>
          <w:lang w:val="en-IE"/>
        </w:rPr>
        <w:t xml:space="preserve"> (the 2019 figure did, </w:t>
      </w:r>
      <w:r w:rsidR="00AC1B23" w:rsidRPr="00D33F79">
        <w:rPr>
          <w:rFonts w:ascii="Times New Roman" w:eastAsia="Calibri" w:hAnsi="Times New Roman" w:cs="Times New Roman"/>
          <w:noProof/>
          <w:sz w:val="24"/>
          <w:szCs w:val="24"/>
          <w:lang w:val="en-IE"/>
        </w:rPr>
        <w:t>however</w:t>
      </w:r>
      <w:r w:rsidR="00B729F3">
        <w:rPr>
          <w:rFonts w:ascii="Times New Roman" w:eastAsia="Calibri" w:hAnsi="Times New Roman" w:cs="Times New Roman"/>
          <w:noProof/>
          <w:sz w:val="24"/>
          <w:szCs w:val="24"/>
          <w:lang w:val="en-IE"/>
        </w:rPr>
        <w:t>,</w:t>
      </w:r>
      <w:r w:rsidR="007E33C1" w:rsidRPr="00D33F79">
        <w:rPr>
          <w:rFonts w:ascii="Times New Roman" w:eastAsia="Calibri" w:hAnsi="Times New Roman" w:cs="Times New Roman"/>
          <w:noProof/>
          <w:sz w:val="24"/>
          <w:szCs w:val="24"/>
          <w:lang w:val="en-IE"/>
        </w:rPr>
        <w:t xml:space="preserve"> include </w:t>
      </w:r>
      <w:r w:rsidR="00E52FD5" w:rsidRPr="00D33F79">
        <w:rPr>
          <w:rFonts w:ascii="Times New Roman" w:eastAsia="Calibri" w:hAnsi="Times New Roman" w:cs="Times New Roman"/>
          <w:noProof/>
          <w:sz w:val="24"/>
          <w:szCs w:val="24"/>
          <w:lang w:val="en-IE"/>
        </w:rPr>
        <w:t>emissions related to the United Kingdom</w:t>
      </w:r>
      <w:r w:rsidR="00B729F3">
        <w:rPr>
          <w:rFonts w:ascii="Times New Roman" w:eastAsia="Calibri" w:hAnsi="Times New Roman" w:cs="Times New Roman"/>
          <w:noProof/>
          <w:sz w:val="24"/>
          <w:szCs w:val="24"/>
          <w:lang w:val="en-IE"/>
        </w:rPr>
        <w:t> </w:t>
      </w:r>
      <w:r w:rsidRPr="00D33F79">
        <w:rPr>
          <w:rStyle w:val="FootnoteReference"/>
          <w:rFonts w:ascii="Times New Roman" w:eastAsia="Calibri" w:hAnsi="Times New Roman" w:cs="Times New Roman"/>
          <w:noProof/>
          <w:sz w:val="24"/>
          <w:szCs w:val="24"/>
          <w:lang w:val="en-IE"/>
        </w:rPr>
        <w:footnoteReference w:id="12"/>
      </w:r>
      <w:r w:rsidR="00B729F3">
        <w:rPr>
          <w:rFonts w:ascii="Times New Roman" w:eastAsia="Calibri" w:hAnsi="Times New Roman" w:cs="Times New Roman"/>
          <w:noProof/>
          <w:sz w:val="24"/>
          <w:szCs w:val="24"/>
          <w:lang w:val="en-IE"/>
        </w:rPr>
        <w:t>)</w:t>
      </w:r>
      <w:r w:rsidR="0093421B" w:rsidRPr="00D33F79">
        <w:rPr>
          <w:rFonts w:ascii="Times New Roman" w:eastAsia="Calibri" w:hAnsi="Times New Roman" w:cs="Times New Roman"/>
          <w:noProof/>
          <w:sz w:val="24"/>
          <w:szCs w:val="24"/>
          <w:lang w:val="en-IE"/>
        </w:rPr>
        <w:t>. Th</w:t>
      </w:r>
      <w:r w:rsidR="00E52FD5" w:rsidRPr="00D33F79">
        <w:rPr>
          <w:rFonts w:ascii="Times New Roman" w:eastAsia="Calibri" w:hAnsi="Times New Roman" w:cs="Times New Roman"/>
          <w:noProof/>
          <w:sz w:val="24"/>
          <w:szCs w:val="24"/>
          <w:lang w:val="en-IE"/>
        </w:rPr>
        <w:t>e emissions reported for 2022</w:t>
      </w:r>
      <w:r w:rsidR="00681E08" w:rsidRPr="00D33F79">
        <w:rPr>
          <w:rFonts w:ascii="Times New Roman" w:eastAsia="Calibri" w:hAnsi="Times New Roman" w:cs="Times New Roman"/>
          <w:noProof/>
          <w:sz w:val="24"/>
          <w:szCs w:val="24"/>
          <w:lang w:val="en-IE"/>
        </w:rPr>
        <w:t xml:space="preserve"> originated from a fleet of almost</w:t>
      </w:r>
      <w:r w:rsidR="00B729F3">
        <w:rPr>
          <w:rFonts w:ascii="Times New Roman" w:eastAsia="Calibri" w:hAnsi="Times New Roman" w:cs="Times New Roman"/>
          <w:noProof/>
          <w:sz w:val="24"/>
          <w:szCs w:val="24"/>
          <w:lang w:val="en-IE"/>
        </w:rPr>
        <w:t xml:space="preserve"> </w:t>
      </w:r>
      <w:r w:rsidR="00681E08" w:rsidRPr="00D33F79">
        <w:rPr>
          <w:rFonts w:ascii="Times New Roman" w:eastAsia="Calibri" w:hAnsi="Times New Roman" w:cs="Times New Roman"/>
          <w:noProof/>
          <w:sz w:val="24"/>
          <w:szCs w:val="24"/>
          <w:lang w:val="en-IE"/>
        </w:rPr>
        <w:t xml:space="preserve">12 800 ships, the highest number registered so far for a single reporting </w:t>
      </w:r>
      <w:r w:rsidR="00807DE2" w:rsidRPr="00D33F79">
        <w:rPr>
          <w:rFonts w:ascii="Times New Roman" w:eastAsia="Calibri" w:hAnsi="Times New Roman" w:cs="Times New Roman"/>
          <w:noProof/>
          <w:sz w:val="24"/>
          <w:szCs w:val="24"/>
          <w:lang w:val="en-IE"/>
        </w:rPr>
        <w:t>period</w:t>
      </w:r>
      <w:r w:rsidR="00973D4B" w:rsidRPr="00D33F79">
        <w:rPr>
          <w:rFonts w:ascii="Times New Roman" w:eastAsia="Calibri" w:hAnsi="Times New Roman" w:cs="Times New Roman"/>
          <w:noProof/>
          <w:sz w:val="24"/>
          <w:szCs w:val="24"/>
          <w:lang w:val="en-IE"/>
        </w:rPr>
        <w:t xml:space="preserve"> (</w:t>
      </w:r>
      <w:r w:rsidR="00F72D85" w:rsidRPr="00D33F79">
        <w:rPr>
          <w:rFonts w:ascii="Times New Roman" w:eastAsia="Calibri" w:hAnsi="Times New Roman" w:cs="Times New Roman"/>
          <w:noProof/>
          <w:sz w:val="24"/>
          <w:szCs w:val="24"/>
          <w:lang w:val="en-IE"/>
        </w:rPr>
        <w:t>6.5</w:t>
      </w:r>
      <w:r w:rsidR="00864B25" w:rsidRPr="00D33F79">
        <w:rPr>
          <w:rFonts w:ascii="Times New Roman" w:eastAsia="Calibri" w:hAnsi="Times New Roman" w:cs="Times New Roman"/>
          <w:noProof/>
          <w:sz w:val="24"/>
          <w:szCs w:val="24"/>
          <w:lang w:val="en-IE"/>
        </w:rPr>
        <w:t>% higher than in 2021)</w:t>
      </w:r>
      <w:r w:rsidRPr="00D33F79">
        <w:rPr>
          <w:rFonts w:ascii="Times New Roman" w:eastAsia="Calibri" w:hAnsi="Times New Roman" w:cs="Times New Roman"/>
          <w:noProof/>
          <w:sz w:val="24"/>
          <w:szCs w:val="24"/>
          <w:lang w:val="en-IE"/>
        </w:rPr>
        <w:t xml:space="preserve">. </w:t>
      </w:r>
    </w:p>
    <w:p w14:paraId="1117A96C" w14:textId="77777777" w:rsidR="00FC7120" w:rsidRPr="00D33F79" w:rsidRDefault="00FC7120" w:rsidP="00FC7120">
      <w:pPr>
        <w:contextualSpacing/>
        <w:jc w:val="both"/>
        <w:rPr>
          <w:rFonts w:ascii="Times New Roman" w:eastAsia="Calibri" w:hAnsi="Times New Roman" w:cs="Times New Roman"/>
          <w:noProof/>
          <w:sz w:val="24"/>
          <w:szCs w:val="24"/>
          <w:lang w:val="en-IE"/>
        </w:rPr>
      </w:pPr>
    </w:p>
    <w:p w14:paraId="3C05EE2C" w14:textId="1F525BF4" w:rsidR="00C62BF8"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Th</w:t>
      </w:r>
      <w:r w:rsidR="009C59C1" w:rsidRPr="00D33F79">
        <w:rPr>
          <w:rFonts w:ascii="Times New Roman" w:eastAsia="Calibri" w:hAnsi="Times New Roman" w:cs="Times New Roman"/>
          <w:noProof/>
          <w:sz w:val="24"/>
          <w:szCs w:val="24"/>
          <w:lang w:val="en-IE"/>
        </w:rPr>
        <w:t xml:space="preserve">is </w:t>
      </w:r>
      <w:r w:rsidR="00872284" w:rsidRPr="00D33F79">
        <w:rPr>
          <w:rFonts w:ascii="Times New Roman" w:eastAsia="Calibri" w:hAnsi="Times New Roman" w:cs="Times New Roman"/>
          <w:noProof/>
          <w:sz w:val="24"/>
          <w:szCs w:val="24"/>
          <w:lang w:val="en-IE"/>
        </w:rPr>
        <w:t>total increase in CO</w:t>
      </w:r>
      <w:r w:rsidR="00872284" w:rsidRPr="00D33F79">
        <w:rPr>
          <w:rFonts w:ascii="Times New Roman" w:eastAsia="Calibri" w:hAnsi="Times New Roman" w:cs="Times New Roman"/>
          <w:noProof/>
          <w:sz w:val="24"/>
          <w:szCs w:val="24"/>
          <w:vertAlign w:val="subscript"/>
          <w:lang w:val="en-IE"/>
        </w:rPr>
        <w:t>2</w:t>
      </w:r>
      <w:r w:rsidR="00872284" w:rsidRPr="00D33F79">
        <w:rPr>
          <w:rFonts w:ascii="Times New Roman" w:eastAsia="Calibri" w:hAnsi="Times New Roman" w:cs="Times New Roman"/>
          <w:noProof/>
          <w:sz w:val="24"/>
          <w:szCs w:val="24"/>
          <w:lang w:val="en-IE"/>
        </w:rPr>
        <w:t xml:space="preserve"> emissions </w:t>
      </w:r>
      <w:r w:rsidR="00CE467C">
        <w:rPr>
          <w:rFonts w:ascii="Times New Roman" w:eastAsia="Calibri" w:hAnsi="Times New Roman" w:cs="Times New Roman"/>
          <w:noProof/>
          <w:sz w:val="24"/>
          <w:szCs w:val="24"/>
          <w:lang w:val="en-IE"/>
        </w:rPr>
        <w:t>for the period 2021</w:t>
      </w:r>
      <w:r w:rsidR="007B3D28">
        <w:rPr>
          <w:rFonts w:ascii="Times New Roman" w:eastAsia="Calibri" w:hAnsi="Times New Roman" w:cs="Times New Roman"/>
          <w:noProof/>
          <w:sz w:val="24"/>
          <w:szCs w:val="24"/>
          <w:lang w:val="en-IE"/>
        </w:rPr>
        <w:t xml:space="preserve">-2022 </w:t>
      </w:r>
      <w:r w:rsidR="00872284" w:rsidRPr="00D33F79">
        <w:rPr>
          <w:rFonts w:ascii="Times New Roman" w:eastAsia="Calibri" w:hAnsi="Times New Roman" w:cs="Times New Roman"/>
          <w:noProof/>
          <w:sz w:val="24"/>
          <w:szCs w:val="24"/>
          <w:lang w:val="en-IE"/>
        </w:rPr>
        <w:t>hides significant disparities</w:t>
      </w:r>
      <w:r w:rsidR="00707A6B" w:rsidRPr="00D33F79">
        <w:rPr>
          <w:rFonts w:ascii="Times New Roman" w:eastAsia="Calibri" w:hAnsi="Times New Roman" w:cs="Times New Roman"/>
          <w:noProof/>
          <w:sz w:val="24"/>
          <w:szCs w:val="24"/>
          <w:lang w:val="en-IE"/>
        </w:rPr>
        <w:t xml:space="preserve"> </w:t>
      </w:r>
      <w:r w:rsidR="00CF6807">
        <w:rPr>
          <w:rFonts w:ascii="Times New Roman" w:eastAsia="Calibri" w:hAnsi="Times New Roman" w:cs="Times New Roman"/>
          <w:noProof/>
          <w:sz w:val="24"/>
          <w:szCs w:val="24"/>
          <w:lang w:val="en-IE"/>
        </w:rPr>
        <w:t>between</w:t>
      </w:r>
      <w:r w:rsidR="00CF6807" w:rsidRPr="00D33F79">
        <w:rPr>
          <w:rFonts w:ascii="Times New Roman" w:eastAsia="Calibri" w:hAnsi="Times New Roman" w:cs="Times New Roman"/>
          <w:noProof/>
          <w:sz w:val="24"/>
          <w:szCs w:val="24"/>
          <w:lang w:val="en-IE"/>
        </w:rPr>
        <w:t xml:space="preserve"> </w:t>
      </w:r>
      <w:r w:rsidR="00DF298B" w:rsidRPr="00D33F79">
        <w:rPr>
          <w:rFonts w:ascii="Times New Roman" w:eastAsia="Calibri" w:hAnsi="Times New Roman" w:cs="Times New Roman"/>
          <w:noProof/>
          <w:sz w:val="24"/>
          <w:szCs w:val="24"/>
          <w:lang w:val="en-IE"/>
        </w:rPr>
        <w:t>the different</w:t>
      </w:r>
      <w:r w:rsidR="002F0B4C" w:rsidRPr="00D33F79">
        <w:rPr>
          <w:rFonts w:ascii="Times New Roman" w:eastAsia="Calibri" w:hAnsi="Times New Roman" w:cs="Times New Roman"/>
          <w:noProof/>
          <w:sz w:val="24"/>
          <w:szCs w:val="24"/>
          <w:lang w:val="en-IE"/>
        </w:rPr>
        <w:t xml:space="preserve"> ship types</w:t>
      </w:r>
      <w:r w:rsidR="005C6905" w:rsidRPr="00D33F79">
        <w:rPr>
          <w:rFonts w:ascii="Times New Roman" w:eastAsia="Calibri" w:hAnsi="Times New Roman" w:cs="Times New Roman"/>
          <w:noProof/>
          <w:sz w:val="24"/>
          <w:szCs w:val="24"/>
          <w:lang w:val="en-IE"/>
        </w:rPr>
        <w:t xml:space="preserve">, </w:t>
      </w:r>
      <w:r w:rsidR="00CF6807">
        <w:rPr>
          <w:rFonts w:ascii="Times New Roman" w:eastAsia="Calibri" w:hAnsi="Times New Roman" w:cs="Times New Roman"/>
          <w:noProof/>
          <w:sz w:val="24"/>
          <w:szCs w:val="24"/>
          <w:lang w:val="en-IE"/>
        </w:rPr>
        <w:t xml:space="preserve">which </w:t>
      </w:r>
      <w:r w:rsidR="005C6905" w:rsidRPr="00D33F79">
        <w:rPr>
          <w:rFonts w:ascii="Times New Roman" w:eastAsia="Calibri" w:hAnsi="Times New Roman" w:cs="Times New Roman"/>
          <w:noProof/>
          <w:sz w:val="24"/>
          <w:szCs w:val="24"/>
          <w:lang w:val="en-IE"/>
        </w:rPr>
        <w:t xml:space="preserve">reflect the major economic trends that </w:t>
      </w:r>
      <w:r w:rsidR="00CF6807">
        <w:rPr>
          <w:rFonts w:ascii="Times New Roman" w:eastAsia="Calibri" w:hAnsi="Times New Roman" w:cs="Times New Roman"/>
          <w:noProof/>
          <w:sz w:val="24"/>
          <w:szCs w:val="24"/>
          <w:lang w:val="en-IE"/>
        </w:rPr>
        <w:t xml:space="preserve">affected </w:t>
      </w:r>
      <w:r w:rsidR="005C6905" w:rsidRPr="00D33F79">
        <w:rPr>
          <w:rFonts w:ascii="Times New Roman" w:eastAsia="Calibri" w:hAnsi="Times New Roman" w:cs="Times New Roman"/>
          <w:noProof/>
          <w:sz w:val="24"/>
          <w:szCs w:val="24"/>
          <w:lang w:val="en-IE"/>
        </w:rPr>
        <w:t>the year 2022</w:t>
      </w:r>
      <w:r w:rsidR="00205416">
        <w:rPr>
          <w:rFonts w:ascii="Times New Roman" w:eastAsia="Calibri" w:hAnsi="Times New Roman" w:cs="Times New Roman"/>
          <w:noProof/>
          <w:sz w:val="24"/>
          <w:szCs w:val="24"/>
          <w:lang w:val="en-IE"/>
        </w:rPr>
        <w:t>,</w:t>
      </w:r>
      <w:r w:rsidR="005C6905" w:rsidRPr="00D33F79">
        <w:rPr>
          <w:rFonts w:ascii="Times New Roman" w:eastAsia="Calibri" w:hAnsi="Times New Roman" w:cs="Times New Roman"/>
          <w:noProof/>
          <w:sz w:val="24"/>
          <w:szCs w:val="24"/>
          <w:lang w:val="en-IE"/>
        </w:rPr>
        <w:t xml:space="preserve"> and notably the consequences of Russia’s </w:t>
      </w:r>
      <w:r w:rsidR="00B729F3">
        <w:rPr>
          <w:rFonts w:ascii="Times New Roman" w:eastAsia="Calibri" w:hAnsi="Times New Roman" w:cs="Times New Roman"/>
          <w:noProof/>
          <w:sz w:val="24"/>
          <w:szCs w:val="24"/>
          <w:lang w:val="en-IE"/>
        </w:rPr>
        <w:t xml:space="preserve">full-scale </w:t>
      </w:r>
      <w:r w:rsidR="005C6905" w:rsidRPr="00D33F79">
        <w:rPr>
          <w:rFonts w:ascii="Times New Roman" w:eastAsia="Calibri" w:hAnsi="Times New Roman" w:cs="Times New Roman"/>
          <w:noProof/>
          <w:sz w:val="24"/>
          <w:szCs w:val="24"/>
          <w:lang w:val="en-IE"/>
        </w:rPr>
        <w:t>invasion of Ukraine</w:t>
      </w:r>
      <w:r w:rsidRPr="00D33F79">
        <w:rPr>
          <w:rFonts w:ascii="Times New Roman" w:eastAsia="Calibri" w:hAnsi="Times New Roman" w:cs="Times New Roman"/>
          <w:noProof/>
          <w:sz w:val="24"/>
          <w:szCs w:val="24"/>
          <w:lang w:val="en-IE"/>
        </w:rPr>
        <w:t>.</w:t>
      </w:r>
      <w:bookmarkStart w:id="4" w:name="_Hlk151020713"/>
      <w:r w:rsidRPr="00D33F79">
        <w:rPr>
          <w:rFonts w:ascii="Times New Roman" w:eastAsia="Calibri" w:hAnsi="Times New Roman" w:cs="Times New Roman"/>
          <w:noProof/>
          <w:sz w:val="24"/>
          <w:szCs w:val="24"/>
          <w:lang w:val="en-IE"/>
        </w:rPr>
        <w:t xml:space="preserve"> In 2022</w:t>
      </w:r>
      <w:bookmarkEnd w:id="4"/>
      <w:r w:rsidR="00B729F3">
        <w:rPr>
          <w:rFonts w:ascii="Times New Roman" w:eastAsia="Calibri" w:hAnsi="Times New Roman" w:cs="Times New Roman"/>
          <w:noProof/>
          <w:sz w:val="24"/>
          <w:szCs w:val="24"/>
          <w:lang w:val="en-IE"/>
        </w:rPr>
        <w:t>,</w:t>
      </w:r>
      <w:r w:rsidR="003D7AA7" w:rsidRPr="00D33F79">
        <w:rPr>
          <w:rFonts w:ascii="Times New Roman" w:eastAsia="Calibri" w:hAnsi="Times New Roman" w:cs="Times New Roman"/>
          <w:noProof/>
          <w:sz w:val="24"/>
          <w:szCs w:val="24"/>
          <w:lang w:val="en-IE"/>
        </w:rPr>
        <w:t xml:space="preserve"> </w:t>
      </w:r>
      <w:r w:rsidR="00B729F3">
        <w:rPr>
          <w:rFonts w:ascii="Times New Roman" w:eastAsia="Calibri" w:hAnsi="Times New Roman" w:cs="Times New Roman"/>
          <w:noProof/>
          <w:sz w:val="24"/>
          <w:szCs w:val="24"/>
          <w:lang w:val="en-IE"/>
        </w:rPr>
        <w:t>9</w:t>
      </w:r>
      <w:r w:rsidR="00B729F3"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of the </w:t>
      </w:r>
      <w:r w:rsidR="00B729F3">
        <w:rPr>
          <w:rFonts w:ascii="Times New Roman" w:eastAsia="Calibri" w:hAnsi="Times New Roman" w:cs="Times New Roman"/>
          <w:noProof/>
          <w:sz w:val="24"/>
          <w:szCs w:val="24"/>
          <w:lang w:val="en-IE"/>
        </w:rPr>
        <w:t>15</w:t>
      </w:r>
      <w:r w:rsidR="00B729F3"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ship types reported higher emissions than in 2021. </w:t>
      </w:r>
    </w:p>
    <w:p w14:paraId="6809F3B1" w14:textId="77777777" w:rsidR="00C62BF8" w:rsidRPr="00D33F79" w:rsidRDefault="00C62BF8" w:rsidP="00FC7120">
      <w:pPr>
        <w:contextualSpacing/>
        <w:jc w:val="both"/>
        <w:rPr>
          <w:rFonts w:ascii="Times New Roman" w:eastAsia="Calibri" w:hAnsi="Times New Roman" w:cs="Times New Roman"/>
          <w:noProof/>
          <w:sz w:val="24"/>
          <w:szCs w:val="24"/>
          <w:lang w:val="en-IE"/>
        </w:rPr>
      </w:pPr>
    </w:p>
    <w:p w14:paraId="7249591C" w14:textId="6530FCCA" w:rsidR="00C67744" w:rsidRPr="00D33F79" w:rsidRDefault="00976F3C" w:rsidP="00C67744">
      <w:pPr>
        <w:pStyle w:val="ListParagraph"/>
        <w:numPr>
          <w:ilvl w:val="0"/>
          <w:numId w:val="8"/>
        </w:num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By ship</w:t>
      </w:r>
      <w:r w:rsidR="009A1E57">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type group,</w:t>
      </w:r>
      <w:r w:rsidRPr="00D33F79">
        <w:rPr>
          <w:rFonts w:ascii="Times New Roman" w:eastAsia="Calibri" w:hAnsi="Times New Roman" w:cs="Times New Roman"/>
          <w:b/>
          <w:bCs/>
          <w:noProof/>
          <w:sz w:val="24"/>
          <w:szCs w:val="24"/>
          <w:lang w:val="en-IE"/>
        </w:rPr>
        <w:t xml:space="preserve"> </w:t>
      </w:r>
      <w:r w:rsidR="00D80740" w:rsidRPr="00D33F79">
        <w:rPr>
          <w:rFonts w:ascii="Times New Roman" w:eastAsia="Calibri" w:hAnsi="Times New Roman" w:cs="Times New Roman"/>
          <w:b/>
          <w:bCs/>
          <w:noProof/>
          <w:sz w:val="24"/>
          <w:szCs w:val="24"/>
          <w:lang w:val="en-IE"/>
        </w:rPr>
        <w:t>p</w:t>
      </w:r>
      <w:r w:rsidR="00FC7120" w:rsidRPr="00D33F79">
        <w:rPr>
          <w:rFonts w:ascii="Times New Roman" w:eastAsia="Calibri" w:hAnsi="Times New Roman" w:cs="Times New Roman"/>
          <w:b/>
          <w:bCs/>
          <w:noProof/>
          <w:sz w:val="24"/>
          <w:szCs w:val="24"/>
          <w:lang w:val="en-IE"/>
        </w:rPr>
        <w:t>assenger ships</w:t>
      </w:r>
      <w:r w:rsidR="00FC7120" w:rsidRPr="00D33F79">
        <w:rPr>
          <w:rFonts w:ascii="Times New Roman" w:eastAsia="Calibri" w:hAnsi="Times New Roman" w:cs="Times New Roman"/>
          <w:noProof/>
          <w:sz w:val="24"/>
          <w:szCs w:val="24"/>
          <w:lang w:val="en-IE"/>
        </w:rPr>
        <w:t xml:space="preserve"> (+172%), </w:t>
      </w:r>
      <w:r w:rsidR="00EA0757" w:rsidRPr="00D33F79">
        <w:rPr>
          <w:rFonts w:ascii="Times New Roman" w:eastAsia="Calibri" w:hAnsi="Times New Roman" w:cs="Times New Roman"/>
          <w:b/>
          <w:bCs/>
          <w:noProof/>
          <w:sz w:val="24"/>
          <w:szCs w:val="24"/>
          <w:lang w:val="en-IE"/>
        </w:rPr>
        <w:t>liquified natural gas (</w:t>
      </w:r>
      <w:r w:rsidR="00FC7120" w:rsidRPr="00D33F79">
        <w:rPr>
          <w:rFonts w:ascii="Times New Roman" w:eastAsia="Calibri" w:hAnsi="Times New Roman" w:cs="Times New Roman"/>
          <w:b/>
          <w:bCs/>
          <w:noProof/>
          <w:sz w:val="24"/>
          <w:szCs w:val="24"/>
          <w:lang w:val="en-IE"/>
        </w:rPr>
        <w:t>LNG</w:t>
      </w:r>
      <w:r w:rsidR="00EA0757" w:rsidRPr="00D33F79">
        <w:rPr>
          <w:rFonts w:ascii="Times New Roman" w:eastAsia="Calibri" w:hAnsi="Times New Roman" w:cs="Times New Roman"/>
          <w:b/>
          <w:bCs/>
          <w:noProof/>
          <w:sz w:val="24"/>
          <w:szCs w:val="24"/>
          <w:lang w:val="en-IE"/>
        </w:rPr>
        <w:t>)</w:t>
      </w:r>
      <w:r w:rsidR="00FC7120" w:rsidRPr="00D33F79">
        <w:rPr>
          <w:rFonts w:ascii="Times New Roman" w:eastAsia="Calibri" w:hAnsi="Times New Roman" w:cs="Times New Roman"/>
          <w:b/>
          <w:bCs/>
          <w:noProof/>
          <w:sz w:val="24"/>
          <w:szCs w:val="24"/>
          <w:lang w:val="en-IE"/>
        </w:rPr>
        <w:t xml:space="preserve"> carriers</w:t>
      </w:r>
      <w:r w:rsidR="00FC7120" w:rsidRPr="00D33F79">
        <w:rPr>
          <w:rFonts w:ascii="Times New Roman" w:eastAsia="Calibri" w:hAnsi="Times New Roman" w:cs="Times New Roman"/>
          <w:noProof/>
          <w:sz w:val="24"/>
          <w:szCs w:val="24"/>
          <w:lang w:val="en-IE"/>
        </w:rPr>
        <w:t xml:space="preserve"> (+59%), and </w:t>
      </w:r>
      <w:r w:rsidR="00FC7120" w:rsidRPr="00D33F79">
        <w:rPr>
          <w:rFonts w:ascii="Times New Roman" w:eastAsia="Calibri" w:hAnsi="Times New Roman" w:cs="Times New Roman"/>
          <w:b/>
          <w:bCs/>
          <w:noProof/>
          <w:sz w:val="24"/>
          <w:szCs w:val="24"/>
          <w:lang w:val="en-IE"/>
        </w:rPr>
        <w:t>bulk carriers</w:t>
      </w:r>
      <w:r w:rsidR="00FC7120" w:rsidRPr="00D33F79">
        <w:rPr>
          <w:rFonts w:ascii="Times New Roman" w:eastAsia="Calibri" w:hAnsi="Times New Roman" w:cs="Times New Roman"/>
          <w:noProof/>
          <w:sz w:val="24"/>
          <w:szCs w:val="24"/>
          <w:lang w:val="en-IE"/>
        </w:rPr>
        <w:t xml:space="preserve"> (+13%) recorded the highest increase</w:t>
      </w:r>
      <w:r w:rsidR="009A1E57">
        <w:rPr>
          <w:rFonts w:ascii="Times New Roman" w:eastAsia="Calibri" w:hAnsi="Times New Roman" w:cs="Times New Roman"/>
          <w:noProof/>
          <w:sz w:val="24"/>
          <w:szCs w:val="24"/>
          <w:lang w:val="en-IE"/>
        </w:rPr>
        <w:t>s</w:t>
      </w:r>
      <w:r w:rsidR="00FC7120" w:rsidRPr="00D33F79">
        <w:rPr>
          <w:rFonts w:ascii="Times New Roman" w:eastAsia="Calibri" w:hAnsi="Times New Roman" w:cs="Times New Roman"/>
          <w:noProof/>
          <w:sz w:val="24"/>
          <w:szCs w:val="24"/>
          <w:lang w:val="en-IE"/>
        </w:rPr>
        <w:t xml:space="preserve"> in emissions compared </w:t>
      </w:r>
      <w:r w:rsidR="009A1E57">
        <w:rPr>
          <w:rFonts w:ascii="Times New Roman" w:eastAsia="Calibri" w:hAnsi="Times New Roman" w:cs="Times New Roman"/>
          <w:noProof/>
          <w:sz w:val="24"/>
          <w:szCs w:val="24"/>
          <w:lang w:val="en-IE"/>
        </w:rPr>
        <w:t>with</w:t>
      </w:r>
      <w:r w:rsidR="009A1E57" w:rsidRPr="00D33F79">
        <w:rPr>
          <w:rFonts w:ascii="Times New Roman" w:eastAsia="Calibri" w:hAnsi="Times New Roman" w:cs="Times New Roman"/>
          <w:noProof/>
          <w:sz w:val="24"/>
          <w:szCs w:val="24"/>
          <w:lang w:val="en-IE"/>
        </w:rPr>
        <w:t xml:space="preserve"> </w:t>
      </w:r>
      <w:r w:rsidR="00FC7120" w:rsidRPr="00D33F79">
        <w:rPr>
          <w:rFonts w:ascii="Times New Roman" w:eastAsia="Calibri" w:hAnsi="Times New Roman" w:cs="Times New Roman"/>
          <w:noProof/>
          <w:sz w:val="24"/>
          <w:szCs w:val="24"/>
          <w:lang w:val="en-IE"/>
        </w:rPr>
        <w:t>2021</w:t>
      </w:r>
      <w:r w:rsidR="009A1E57">
        <w:rPr>
          <w:rFonts w:ascii="Times New Roman" w:eastAsia="Calibri" w:hAnsi="Times New Roman" w:cs="Times New Roman"/>
          <w:noProof/>
          <w:sz w:val="24"/>
          <w:szCs w:val="24"/>
          <w:lang w:val="en-IE"/>
        </w:rPr>
        <w:t>. These were</w:t>
      </w:r>
      <w:r w:rsidR="00FC7120" w:rsidRPr="00D33F79">
        <w:rPr>
          <w:rFonts w:ascii="Times New Roman" w:eastAsia="Calibri" w:hAnsi="Times New Roman" w:cs="Times New Roman"/>
          <w:noProof/>
          <w:sz w:val="24"/>
          <w:szCs w:val="24"/>
          <w:lang w:val="en-IE"/>
        </w:rPr>
        <w:t xml:space="preserve"> driven by the increasing number of reporting ships and higher activity levels.</w:t>
      </w:r>
      <w:r w:rsidR="00A770B1" w:rsidRPr="00D33F79">
        <w:rPr>
          <w:noProof/>
          <w:lang w:val="en-IE"/>
        </w:rPr>
        <w:t xml:space="preserve"> </w:t>
      </w:r>
    </w:p>
    <w:p w14:paraId="0489F310" w14:textId="19F03AFB" w:rsidR="00C67744" w:rsidRPr="00D33F79" w:rsidRDefault="00A770B1" w:rsidP="00C67744">
      <w:pPr>
        <w:pStyle w:val="ListParagraph"/>
        <w:numPr>
          <w:ilvl w:val="0"/>
          <w:numId w:val="8"/>
        </w:num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The increase of emissions from </w:t>
      </w:r>
      <w:r w:rsidRPr="00D33F79">
        <w:rPr>
          <w:rFonts w:ascii="Times New Roman" w:eastAsia="Calibri" w:hAnsi="Times New Roman" w:cs="Times New Roman"/>
          <w:b/>
          <w:bCs/>
          <w:noProof/>
          <w:sz w:val="24"/>
          <w:szCs w:val="24"/>
          <w:lang w:val="en-IE"/>
        </w:rPr>
        <w:t>passenger ships</w:t>
      </w:r>
      <w:r w:rsidRPr="00D33F79">
        <w:rPr>
          <w:rFonts w:ascii="Times New Roman" w:eastAsia="Calibri" w:hAnsi="Times New Roman" w:cs="Times New Roman"/>
          <w:noProof/>
          <w:sz w:val="24"/>
          <w:szCs w:val="24"/>
          <w:lang w:val="en-IE"/>
        </w:rPr>
        <w:t xml:space="preserve"> reflects the rebound (full or partial) of the sector after the COVID</w:t>
      </w:r>
      <w:r w:rsidR="009A1E57">
        <w:rPr>
          <w:rFonts w:ascii="Times New Roman" w:eastAsia="Calibri" w:hAnsi="Times New Roman" w:cs="Times New Roman"/>
          <w:noProof/>
          <w:sz w:val="24"/>
          <w:szCs w:val="24"/>
          <w:lang w:val="en-IE"/>
        </w:rPr>
        <w:t>-19</w:t>
      </w:r>
      <w:r w:rsidRPr="00D33F79">
        <w:rPr>
          <w:rFonts w:ascii="Times New Roman" w:eastAsia="Calibri" w:hAnsi="Times New Roman" w:cs="Times New Roman"/>
          <w:noProof/>
          <w:sz w:val="24"/>
          <w:szCs w:val="24"/>
          <w:lang w:val="en-IE"/>
        </w:rPr>
        <w:t xml:space="preserve"> years</w:t>
      </w:r>
      <w:r w:rsidR="009A1E57">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w:t>
      </w:r>
      <w:r w:rsidR="009A1E57">
        <w:rPr>
          <w:rFonts w:ascii="Times New Roman" w:eastAsia="Calibri" w:hAnsi="Times New Roman" w:cs="Times New Roman"/>
          <w:noProof/>
          <w:sz w:val="24"/>
          <w:szCs w:val="24"/>
          <w:lang w:val="en-IE"/>
        </w:rPr>
        <w:t>T</w:t>
      </w:r>
      <w:r w:rsidRPr="00D33F79">
        <w:rPr>
          <w:rFonts w:ascii="Times New Roman" w:eastAsia="Calibri" w:hAnsi="Times New Roman" w:cs="Times New Roman"/>
          <w:noProof/>
          <w:sz w:val="24"/>
          <w:szCs w:val="24"/>
          <w:lang w:val="en-IE"/>
        </w:rPr>
        <w:t>he increase from LNG carriers reflects the record amount of</w:t>
      </w:r>
      <w:r w:rsidR="00E07D87" w:rsidRPr="00D33F79">
        <w:rPr>
          <w:rFonts w:ascii="Times New Roman" w:eastAsia="Calibri" w:hAnsi="Times New Roman" w:cs="Times New Roman"/>
          <w:noProof/>
          <w:sz w:val="24"/>
          <w:szCs w:val="24"/>
          <w:lang w:val="en-IE"/>
        </w:rPr>
        <w:t xml:space="preserve"> LNG</w:t>
      </w:r>
      <w:r w:rsidRPr="00D33F79">
        <w:rPr>
          <w:rFonts w:ascii="Times New Roman" w:eastAsia="Calibri" w:hAnsi="Times New Roman" w:cs="Times New Roman"/>
          <w:noProof/>
          <w:sz w:val="24"/>
          <w:szCs w:val="24"/>
          <w:lang w:val="en-IE"/>
        </w:rPr>
        <w:t xml:space="preserve"> imported in</w:t>
      </w:r>
      <w:r w:rsidR="00767C9B" w:rsidRPr="00D33F79">
        <w:rPr>
          <w:rFonts w:ascii="Times New Roman" w:eastAsia="Calibri" w:hAnsi="Times New Roman" w:cs="Times New Roman"/>
          <w:noProof/>
          <w:sz w:val="24"/>
          <w:szCs w:val="24"/>
          <w:lang w:val="en-IE"/>
        </w:rPr>
        <w:t>to</w:t>
      </w:r>
      <w:r w:rsidRPr="00D33F79">
        <w:rPr>
          <w:rFonts w:ascii="Times New Roman" w:eastAsia="Calibri" w:hAnsi="Times New Roman" w:cs="Times New Roman"/>
          <w:noProof/>
          <w:sz w:val="24"/>
          <w:szCs w:val="24"/>
          <w:lang w:val="en-IE"/>
        </w:rPr>
        <w:t xml:space="preserve"> the EU in 2022.</w:t>
      </w:r>
    </w:p>
    <w:p w14:paraId="3495F760" w14:textId="49B8F984" w:rsidR="00C67744" w:rsidRPr="00D33F79" w:rsidRDefault="00A770B1" w:rsidP="006F5034">
      <w:pPr>
        <w:pStyle w:val="ListParagraph"/>
        <w:numPr>
          <w:ilvl w:val="0"/>
          <w:numId w:val="8"/>
        </w:num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The activity of </w:t>
      </w:r>
      <w:r w:rsidRPr="00D33F79">
        <w:rPr>
          <w:rFonts w:ascii="Times New Roman" w:eastAsia="Calibri" w:hAnsi="Times New Roman" w:cs="Times New Roman"/>
          <w:b/>
          <w:bCs/>
          <w:noProof/>
          <w:sz w:val="24"/>
          <w:szCs w:val="24"/>
          <w:lang w:val="en-IE"/>
        </w:rPr>
        <w:t>bulk carriers</w:t>
      </w:r>
      <w:r w:rsidRPr="00D33F79">
        <w:rPr>
          <w:rFonts w:ascii="Times New Roman" w:eastAsia="Calibri" w:hAnsi="Times New Roman" w:cs="Times New Roman"/>
          <w:noProof/>
          <w:sz w:val="24"/>
          <w:szCs w:val="24"/>
          <w:lang w:val="en-IE"/>
        </w:rPr>
        <w:t xml:space="preserve"> w</w:t>
      </w:r>
      <w:r w:rsidR="001F0DD2" w:rsidRPr="00D33F79">
        <w:rPr>
          <w:rFonts w:ascii="Times New Roman" w:eastAsia="Calibri" w:hAnsi="Times New Roman" w:cs="Times New Roman"/>
          <w:noProof/>
          <w:sz w:val="24"/>
          <w:szCs w:val="24"/>
          <w:lang w:val="en-IE"/>
        </w:rPr>
        <w:t>as</w:t>
      </w:r>
      <w:r w:rsidRPr="00D33F79">
        <w:rPr>
          <w:rFonts w:ascii="Times New Roman" w:eastAsia="Calibri" w:hAnsi="Times New Roman" w:cs="Times New Roman"/>
          <w:noProof/>
          <w:sz w:val="24"/>
          <w:szCs w:val="24"/>
          <w:lang w:val="en-IE"/>
        </w:rPr>
        <w:t xml:space="preserve"> notably affected by the impact of sanctions and geopolitical risks, which </w:t>
      </w:r>
      <w:r w:rsidR="009A1E57">
        <w:rPr>
          <w:rFonts w:ascii="Times New Roman" w:eastAsia="Calibri" w:hAnsi="Times New Roman" w:cs="Times New Roman"/>
          <w:noProof/>
          <w:sz w:val="24"/>
          <w:szCs w:val="24"/>
          <w:lang w:val="en-IE"/>
        </w:rPr>
        <w:t>affected</w:t>
      </w:r>
      <w:r w:rsidRPr="00D33F79">
        <w:rPr>
          <w:rFonts w:ascii="Times New Roman" w:eastAsia="Calibri" w:hAnsi="Times New Roman" w:cs="Times New Roman"/>
          <w:noProof/>
          <w:sz w:val="24"/>
          <w:szCs w:val="24"/>
          <w:lang w:val="en-IE"/>
        </w:rPr>
        <w:t xml:space="preserve"> global shipping trends and increased the distances travelled for many commodities, including energy products.</w:t>
      </w:r>
    </w:p>
    <w:p w14:paraId="4620BAE8" w14:textId="18AD4957" w:rsidR="00C67744" w:rsidRPr="00D33F79" w:rsidRDefault="004A28F3" w:rsidP="006F5034">
      <w:pPr>
        <w:pStyle w:val="ListParagraph"/>
        <w:numPr>
          <w:ilvl w:val="0"/>
          <w:numId w:val="8"/>
        </w:num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Conversely, t</w:t>
      </w:r>
      <w:r w:rsidR="00FC7120" w:rsidRPr="00D33F79">
        <w:rPr>
          <w:rFonts w:ascii="Times New Roman" w:eastAsia="Calibri" w:hAnsi="Times New Roman" w:cs="Times New Roman"/>
          <w:noProof/>
          <w:sz w:val="24"/>
          <w:szCs w:val="24"/>
          <w:lang w:val="en-IE"/>
        </w:rPr>
        <w:t>he most noticeable reduction in CO</w:t>
      </w:r>
      <w:r w:rsidR="00FC7120" w:rsidRPr="00D33F79">
        <w:rPr>
          <w:rFonts w:ascii="Times New Roman" w:eastAsia="Calibri" w:hAnsi="Times New Roman" w:cs="Times New Roman"/>
          <w:noProof/>
          <w:sz w:val="24"/>
          <w:szCs w:val="24"/>
          <w:vertAlign w:val="subscript"/>
          <w:lang w:val="en-IE"/>
        </w:rPr>
        <w:t>2</w:t>
      </w:r>
      <w:r w:rsidR="00FC7120" w:rsidRPr="00D33F79">
        <w:rPr>
          <w:rFonts w:ascii="Times New Roman" w:eastAsia="Calibri" w:hAnsi="Times New Roman" w:cs="Times New Roman"/>
          <w:noProof/>
          <w:sz w:val="24"/>
          <w:szCs w:val="24"/>
          <w:lang w:val="en-IE"/>
        </w:rPr>
        <w:t xml:space="preserve"> emissions was recorded by </w:t>
      </w:r>
      <w:r w:rsidR="00FC7120" w:rsidRPr="00D33F79">
        <w:rPr>
          <w:rFonts w:ascii="Times New Roman" w:eastAsia="Calibri" w:hAnsi="Times New Roman" w:cs="Times New Roman"/>
          <w:b/>
          <w:bCs/>
          <w:noProof/>
          <w:sz w:val="24"/>
          <w:szCs w:val="24"/>
          <w:lang w:val="en-IE"/>
        </w:rPr>
        <w:t>container ships</w:t>
      </w:r>
      <w:r w:rsidR="00FC7120" w:rsidRPr="00D33F79">
        <w:rPr>
          <w:rFonts w:ascii="Times New Roman" w:eastAsia="Calibri" w:hAnsi="Times New Roman" w:cs="Times New Roman"/>
          <w:noProof/>
          <w:sz w:val="24"/>
          <w:szCs w:val="24"/>
          <w:lang w:val="en-IE"/>
        </w:rPr>
        <w:t>, which emitted around 2.9 million tonnes of CO</w:t>
      </w:r>
      <w:r w:rsidR="00FC7120" w:rsidRPr="00D33F79">
        <w:rPr>
          <w:rFonts w:ascii="Times New Roman" w:eastAsia="Calibri" w:hAnsi="Times New Roman" w:cs="Times New Roman"/>
          <w:noProof/>
          <w:sz w:val="24"/>
          <w:szCs w:val="24"/>
          <w:vertAlign w:val="subscript"/>
          <w:lang w:val="en-IE"/>
        </w:rPr>
        <w:t>2</w:t>
      </w:r>
      <w:r w:rsidR="00FC7120" w:rsidRPr="00D33F79">
        <w:rPr>
          <w:rFonts w:ascii="Times New Roman" w:eastAsia="Calibri" w:hAnsi="Times New Roman" w:cs="Times New Roman"/>
          <w:noProof/>
          <w:sz w:val="24"/>
          <w:szCs w:val="24"/>
          <w:lang w:val="en-IE"/>
        </w:rPr>
        <w:t xml:space="preserve"> less </w:t>
      </w:r>
      <w:r w:rsidR="009A1E57">
        <w:rPr>
          <w:rFonts w:ascii="Times New Roman" w:eastAsia="Calibri" w:hAnsi="Times New Roman" w:cs="Times New Roman"/>
          <w:noProof/>
          <w:sz w:val="24"/>
          <w:szCs w:val="24"/>
          <w:lang w:val="en-IE"/>
        </w:rPr>
        <w:t xml:space="preserve">in 2022 </w:t>
      </w:r>
      <w:r w:rsidR="00FC7120" w:rsidRPr="00D33F79">
        <w:rPr>
          <w:rFonts w:ascii="Times New Roman" w:eastAsia="Calibri" w:hAnsi="Times New Roman" w:cs="Times New Roman"/>
          <w:noProof/>
          <w:sz w:val="24"/>
          <w:szCs w:val="24"/>
          <w:lang w:val="en-IE"/>
        </w:rPr>
        <w:t xml:space="preserve">than in 2021 (-7.6%), following a decrease in activity in </w:t>
      </w:r>
      <w:r w:rsidR="009A1E57">
        <w:rPr>
          <w:rFonts w:ascii="Times New Roman" w:eastAsia="Calibri" w:hAnsi="Times New Roman" w:cs="Times New Roman"/>
          <w:noProof/>
          <w:sz w:val="24"/>
          <w:szCs w:val="24"/>
          <w:lang w:val="en-IE"/>
        </w:rPr>
        <w:t>EU</w:t>
      </w:r>
      <w:r w:rsidR="009A1E57" w:rsidRPr="00D33F79">
        <w:rPr>
          <w:rFonts w:ascii="Times New Roman" w:eastAsia="Calibri" w:hAnsi="Times New Roman" w:cs="Times New Roman"/>
          <w:noProof/>
          <w:sz w:val="24"/>
          <w:szCs w:val="24"/>
          <w:lang w:val="en-IE"/>
        </w:rPr>
        <w:t xml:space="preserve"> </w:t>
      </w:r>
      <w:r w:rsidR="00FC7120" w:rsidRPr="00D33F79">
        <w:rPr>
          <w:rFonts w:ascii="Times New Roman" w:eastAsia="Calibri" w:hAnsi="Times New Roman" w:cs="Times New Roman"/>
          <w:noProof/>
          <w:sz w:val="24"/>
          <w:szCs w:val="24"/>
          <w:lang w:val="en-IE"/>
        </w:rPr>
        <w:t>container</w:t>
      </w:r>
      <w:r w:rsidR="00AA5F37" w:rsidRPr="00D33F79">
        <w:rPr>
          <w:rFonts w:ascii="Times New Roman" w:eastAsia="Calibri" w:hAnsi="Times New Roman" w:cs="Times New Roman"/>
          <w:noProof/>
          <w:sz w:val="24"/>
          <w:szCs w:val="24"/>
          <w:lang w:val="en-IE"/>
        </w:rPr>
        <w:t xml:space="preserve"> </w:t>
      </w:r>
      <w:r w:rsidR="00FC7120" w:rsidRPr="00D33F79">
        <w:rPr>
          <w:rFonts w:ascii="Times New Roman" w:eastAsia="Calibri" w:hAnsi="Times New Roman" w:cs="Times New Roman"/>
          <w:noProof/>
          <w:sz w:val="24"/>
          <w:szCs w:val="24"/>
          <w:lang w:val="en-IE"/>
        </w:rPr>
        <w:t>ship ports, a decrease in the average distance sailed</w:t>
      </w:r>
      <w:r w:rsidR="00997935" w:rsidRPr="00D33F79">
        <w:rPr>
          <w:rFonts w:ascii="Times New Roman" w:eastAsia="Calibri" w:hAnsi="Times New Roman" w:cs="Times New Roman"/>
          <w:noProof/>
          <w:sz w:val="24"/>
          <w:szCs w:val="24"/>
          <w:lang w:val="en-IE"/>
        </w:rPr>
        <w:t xml:space="preserve"> (-3.9%)</w:t>
      </w:r>
      <w:r w:rsidR="00FC7120" w:rsidRPr="00D33F79">
        <w:rPr>
          <w:rFonts w:ascii="Times New Roman" w:eastAsia="Calibri" w:hAnsi="Times New Roman" w:cs="Times New Roman"/>
          <w:noProof/>
          <w:sz w:val="24"/>
          <w:szCs w:val="24"/>
          <w:lang w:val="en-IE"/>
        </w:rPr>
        <w:t xml:space="preserve"> and a reduction </w:t>
      </w:r>
      <w:r w:rsidR="009A1E57">
        <w:rPr>
          <w:rFonts w:ascii="Times New Roman" w:eastAsia="Calibri" w:hAnsi="Times New Roman" w:cs="Times New Roman"/>
          <w:noProof/>
          <w:sz w:val="24"/>
          <w:szCs w:val="24"/>
          <w:lang w:val="en-IE"/>
        </w:rPr>
        <w:t>in</w:t>
      </w:r>
      <w:r w:rsidR="00FC7120" w:rsidRPr="00D33F79">
        <w:rPr>
          <w:rFonts w:ascii="Times New Roman" w:eastAsia="Calibri" w:hAnsi="Times New Roman" w:cs="Times New Roman"/>
          <w:noProof/>
          <w:sz w:val="24"/>
          <w:szCs w:val="24"/>
          <w:lang w:val="en-IE"/>
        </w:rPr>
        <w:t xml:space="preserve"> the average speed of active container ships</w:t>
      </w:r>
      <w:r w:rsidR="008A483F" w:rsidRPr="00D33F79">
        <w:rPr>
          <w:rFonts w:ascii="Times New Roman" w:eastAsia="Calibri" w:hAnsi="Times New Roman" w:cs="Times New Roman"/>
          <w:noProof/>
          <w:sz w:val="24"/>
          <w:szCs w:val="24"/>
          <w:lang w:val="en-IE"/>
        </w:rPr>
        <w:t xml:space="preserve"> (</w:t>
      </w:r>
      <w:r w:rsidR="009A1E57">
        <w:rPr>
          <w:rFonts w:ascii="Times New Roman" w:eastAsia="Calibri" w:hAnsi="Times New Roman" w:cs="Times New Roman"/>
          <w:noProof/>
          <w:sz w:val="24"/>
          <w:szCs w:val="24"/>
          <w:lang w:val="en-IE"/>
        </w:rPr>
        <w:noBreakHyphen/>
      </w:r>
      <w:r w:rsidR="008A483F" w:rsidRPr="00D33F79">
        <w:rPr>
          <w:rFonts w:ascii="Times New Roman" w:eastAsia="Calibri" w:hAnsi="Times New Roman" w:cs="Times New Roman"/>
          <w:noProof/>
          <w:sz w:val="24"/>
          <w:szCs w:val="24"/>
          <w:lang w:val="en-IE"/>
        </w:rPr>
        <w:t>4.7%)</w:t>
      </w:r>
      <w:r w:rsidR="00FC7120" w:rsidRPr="00D33F79">
        <w:rPr>
          <w:rFonts w:ascii="Times New Roman" w:eastAsia="Calibri" w:hAnsi="Times New Roman" w:cs="Times New Roman"/>
          <w:noProof/>
          <w:sz w:val="24"/>
          <w:szCs w:val="24"/>
          <w:lang w:val="en-IE"/>
        </w:rPr>
        <w:t xml:space="preserve">. </w:t>
      </w:r>
    </w:p>
    <w:p w14:paraId="5488E30C" w14:textId="19E21629" w:rsidR="00FC7120" w:rsidRPr="00D33F79" w:rsidRDefault="005F3973" w:rsidP="006F5034">
      <w:pPr>
        <w:pStyle w:val="ListParagraph"/>
        <w:numPr>
          <w:ilvl w:val="0"/>
          <w:numId w:val="8"/>
        </w:numPr>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CO</w:t>
      </w:r>
      <w:r w:rsidRPr="00D33F79">
        <w:rPr>
          <w:rFonts w:ascii="Times New Roman" w:eastAsia="Calibri" w:hAnsi="Times New Roman" w:cs="Times New Roman"/>
          <w:noProof/>
          <w:sz w:val="24"/>
          <w:szCs w:val="24"/>
          <w:vertAlign w:val="subscript"/>
          <w:lang w:val="en-IE"/>
        </w:rPr>
        <w:t>2</w:t>
      </w:r>
      <w:r w:rsidRPr="00D33F79">
        <w:rPr>
          <w:rFonts w:ascii="Times New Roman" w:eastAsia="Calibri" w:hAnsi="Times New Roman" w:cs="Times New Roman"/>
          <w:noProof/>
          <w:sz w:val="24"/>
          <w:szCs w:val="24"/>
          <w:lang w:val="en-IE"/>
        </w:rPr>
        <w:t xml:space="preserve"> e</w:t>
      </w:r>
      <w:r w:rsidR="00422F8E" w:rsidRPr="00D33F79">
        <w:rPr>
          <w:rFonts w:ascii="Times New Roman" w:eastAsia="Calibri" w:hAnsi="Times New Roman" w:cs="Times New Roman"/>
          <w:noProof/>
          <w:sz w:val="24"/>
          <w:szCs w:val="24"/>
          <w:lang w:val="en-IE"/>
        </w:rPr>
        <w:t xml:space="preserve">missions from </w:t>
      </w:r>
      <w:r w:rsidR="00422F8E" w:rsidRPr="00D33F79">
        <w:rPr>
          <w:rFonts w:ascii="Times New Roman" w:eastAsia="Calibri" w:hAnsi="Times New Roman" w:cs="Times New Roman"/>
          <w:b/>
          <w:bCs/>
          <w:noProof/>
          <w:sz w:val="24"/>
          <w:szCs w:val="24"/>
          <w:lang w:val="en-IE"/>
        </w:rPr>
        <w:t>oil tankers</w:t>
      </w:r>
      <w:r w:rsidRPr="00D33F79">
        <w:rPr>
          <w:rFonts w:ascii="Times New Roman" w:eastAsia="Calibri" w:hAnsi="Times New Roman" w:cs="Times New Roman"/>
          <w:noProof/>
          <w:sz w:val="24"/>
          <w:szCs w:val="24"/>
          <w:lang w:val="en-IE"/>
        </w:rPr>
        <w:t xml:space="preserve"> were also at their lowest</w:t>
      </w:r>
      <w:r w:rsidR="001779B2" w:rsidRPr="00D33F79">
        <w:rPr>
          <w:rFonts w:ascii="Times New Roman" w:eastAsia="Calibri" w:hAnsi="Times New Roman" w:cs="Times New Roman"/>
          <w:noProof/>
          <w:sz w:val="24"/>
          <w:szCs w:val="24"/>
          <w:lang w:val="en-IE"/>
        </w:rPr>
        <w:t xml:space="preserve"> in 2022</w:t>
      </w:r>
      <w:r w:rsidR="00AF0787" w:rsidRPr="00D33F79">
        <w:rPr>
          <w:rFonts w:ascii="Times New Roman" w:eastAsia="Calibri" w:hAnsi="Times New Roman" w:cs="Times New Roman"/>
          <w:noProof/>
          <w:sz w:val="24"/>
          <w:szCs w:val="24"/>
          <w:lang w:val="en-IE"/>
        </w:rPr>
        <w:t xml:space="preserve"> since 2018</w:t>
      </w:r>
      <w:r w:rsidRPr="00D33F79">
        <w:rPr>
          <w:rFonts w:ascii="Times New Roman" w:eastAsia="Calibri" w:hAnsi="Times New Roman" w:cs="Times New Roman"/>
          <w:noProof/>
          <w:sz w:val="24"/>
          <w:szCs w:val="24"/>
          <w:lang w:val="en-IE"/>
        </w:rPr>
        <w:t xml:space="preserve">, </w:t>
      </w:r>
      <w:r w:rsidR="007B3D28">
        <w:rPr>
          <w:rFonts w:ascii="Times New Roman" w:eastAsia="Calibri" w:hAnsi="Times New Roman" w:cs="Times New Roman"/>
          <w:noProof/>
          <w:sz w:val="24"/>
          <w:szCs w:val="24"/>
          <w:lang w:val="en-IE"/>
        </w:rPr>
        <w:t xml:space="preserve">mainly </w:t>
      </w:r>
      <w:r w:rsidR="009A1E57">
        <w:rPr>
          <w:rFonts w:ascii="Times New Roman" w:eastAsia="Calibri" w:hAnsi="Times New Roman" w:cs="Times New Roman"/>
          <w:noProof/>
          <w:sz w:val="24"/>
          <w:szCs w:val="24"/>
          <w:lang w:val="en-IE"/>
        </w:rPr>
        <w:t>due to</w:t>
      </w:r>
      <w:r w:rsidR="009A1E57" w:rsidRPr="00D33F79">
        <w:rPr>
          <w:rFonts w:ascii="Times New Roman" w:eastAsia="Calibri" w:hAnsi="Times New Roman" w:cs="Times New Roman"/>
          <w:noProof/>
          <w:sz w:val="24"/>
          <w:szCs w:val="24"/>
          <w:lang w:val="en-IE"/>
        </w:rPr>
        <w:t xml:space="preserve"> </w:t>
      </w:r>
      <w:r w:rsidR="00727E92" w:rsidRPr="00D33F79">
        <w:rPr>
          <w:rFonts w:ascii="Times New Roman" w:eastAsia="Calibri" w:hAnsi="Times New Roman" w:cs="Times New Roman"/>
          <w:noProof/>
          <w:sz w:val="24"/>
          <w:szCs w:val="24"/>
          <w:lang w:val="en-IE"/>
        </w:rPr>
        <w:t>the impact of sanctions.</w:t>
      </w:r>
      <w:r w:rsidR="00422F8E" w:rsidRPr="00D33F79">
        <w:rPr>
          <w:rFonts w:ascii="Times New Roman" w:eastAsia="Calibri" w:hAnsi="Times New Roman" w:cs="Times New Roman"/>
          <w:noProof/>
          <w:sz w:val="24"/>
          <w:szCs w:val="24"/>
          <w:lang w:val="en-IE"/>
        </w:rPr>
        <w:t xml:space="preserve"> </w:t>
      </w:r>
    </w:p>
    <w:p w14:paraId="74CE7DA6" w14:textId="77777777" w:rsidR="00FC7120" w:rsidRPr="00D33F79" w:rsidRDefault="00FC7120" w:rsidP="00FC7120">
      <w:pPr>
        <w:contextualSpacing/>
        <w:jc w:val="both"/>
        <w:rPr>
          <w:rFonts w:ascii="Times New Roman" w:eastAsia="Calibri" w:hAnsi="Times New Roman" w:cs="Times New Roman"/>
          <w:noProof/>
          <w:sz w:val="24"/>
          <w:szCs w:val="24"/>
          <w:lang w:val="en-IE"/>
        </w:rPr>
      </w:pPr>
    </w:p>
    <w:p w14:paraId="608BEE64" w14:textId="46E8A613" w:rsidR="00E232EA" w:rsidRPr="00D33F79" w:rsidRDefault="009A1E57" w:rsidP="00FC7120">
      <w:pPr>
        <w:contextualSpacing/>
        <w:jc w:val="both"/>
        <w:rPr>
          <w:rFonts w:ascii="Times New Roman" w:eastAsia="Calibri" w:hAnsi="Times New Roman" w:cs="Times New Roman"/>
          <w:noProof/>
          <w:sz w:val="24"/>
          <w:szCs w:val="24"/>
          <w:lang w:val="en-IE"/>
        </w:rPr>
      </w:pPr>
      <w:r>
        <w:rPr>
          <w:rFonts w:ascii="Times New Roman" w:eastAsia="Calibri" w:hAnsi="Times New Roman" w:cs="Times New Roman"/>
          <w:noProof/>
          <w:sz w:val="24"/>
          <w:szCs w:val="24"/>
          <w:lang w:val="en-IE"/>
        </w:rPr>
        <w:t>M</w:t>
      </w:r>
      <w:r w:rsidR="00FC7120" w:rsidRPr="00D33F79">
        <w:rPr>
          <w:rFonts w:ascii="Times New Roman" w:eastAsia="Calibri" w:hAnsi="Times New Roman" w:cs="Times New Roman"/>
          <w:noProof/>
          <w:sz w:val="24"/>
          <w:szCs w:val="24"/>
          <w:lang w:val="en-IE"/>
        </w:rPr>
        <w:t>ost ship types</w:t>
      </w:r>
      <w:r>
        <w:rPr>
          <w:rFonts w:ascii="Times New Roman" w:eastAsia="Calibri" w:hAnsi="Times New Roman" w:cs="Times New Roman"/>
          <w:noProof/>
          <w:sz w:val="24"/>
          <w:szCs w:val="24"/>
          <w:lang w:val="en-IE"/>
        </w:rPr>
        <w:t>’</w:t>
      </w:r>
      <w:r w:rsidR="00FC7120" w:rsidRPr="00D33F79">
        <w:rPr>
          <w:rFonts w:ascii="Times New Roman" w:eastAsia="Calibri" w:hAnsi="Times New Roman" w:cs="Times New Roman"/>
          <w:noProof/>
          <w:sz w:val="24"/>
          <w:szCs w:val="24"/>
          <w:lang w:val="en-IE"/>
        </w:rPr>
        <w:t xml:space="preserve"> </w:t>
      </w:r>
      <w:r w:rsidR="002D36D9" w:rsidRPr="00D33F79">
        <w:rPr>
          <w:rFonts w:ascii="Times New Roman" w:eastAsia="Calibri" w:hAnsi="Times New Roman" w:cs="Times New Roman"/>
          <w:noProof/>
          <w:sz w:val="24"/>
          <w:szCs w:val="24"/>
          <w:lang w:val="en-IE"/>
        </w:rPr>
        <w:t>relative</w:t>
      </w:r>
      <w:r w:rsidR="00FC7120" w:rsidRPr="00D33F79">
        <w:rPr>
          <w:rFonts w:ascii="Times New Roman" w:eastAsia="Calibri" w:hAnsi="Times New Roman" w:cs="Times New Roman"/>
          <w:noProof/>
          <w:sz w:val="24"/>
          <w:szCs w:val="24"/>
          <w:lang w:val="en-IE"/>
        </w:rPr>
        <w:t xml:space="preserve"> contribution to total reported emissions remained stable </w:t>
      </w:r>
      <w:r w:rsidRPr="00D33F79">
        <w:rPr>
          <w:rFonts w:ascii="Times New Roman" w:eastAsia="Calibri" w:hAnsi="Times New Roman" w:cs="Times New Roman"/>
          <w:noProof/>
          <w:sz w:val="24"/>
          <w:szCs w:val="24"/>
          <w:lang w:val="en-IE"/>
        </w:rPr>
        <w:t xml:space="preserve">overall </w:t>
      </w:r>
      <w:r>
        <w:rPr>
          <w:rFonts w:ascii="Times New Roman" w:eastAsia="Calibri" w:hAnsi="Times New Roman" w:cs="Times New Roman"/>
          <w:noProof/>
          <w:sz w:val="24"/>
          <w:szCs w:val="24"/>
          <w:lang w:val="en-IE"/>
        </w:rPr>
        <w:t xml:space="preserve">in </w:t>
      </w:r>
      <w:r w:rsidR="00FC7120" w:rsidRPr="00D33F79">
        <w:rPr>
          <w:rFonts w:ascii="Times New Roman" w:eastAsia="Calibri" w:hAnsi="Times New Roman" w:cs="Times New Roman"/>
          <w:noProof/>
          <w:sz w:val="24"/>
          <w:szCs w:val="24"/>
          <w:lang w:val="en-IE"/>
        </w:rPr>
        <w:t xml:space="preserve">2018-2022, even in the first </w:t>
      </w:r>
      <w:r w:rsidR="002D36D9" w:rsidRPr="00D33F79">
        <w:rPr>
          <w:rFonts w:ascii="Times New Roman" w:eastAsia="Calibri" w:hAnsi="Times New Roman" w:cs="Times New Roman"/>
          <w:noProof/>
          <w:sz w:val="24"/>
          <w:szCs w:val="24"/>
          <w:lang w:val="en-IE"/>
        </w:rPr>
        <w:t xml:space="preserve">year of </w:t>
      </w:r>
      <w:r w:rsidR="00FC7120" w:rsidRPr="00D33F79">
        <w:rPr>
          <w:rFonts w:ascii="Times New Roman" w:eastAsia="Calibri" w:hAnsi="Times New Roman" w:cs="Times New Roman"/>
          <w:noProof/>
          <w:sz w:val="24"/>
          <w:szCs w:val="24"/>
          <w:lang w:val="en-IE"/>
        </w:rPr>
        <w:t xml:space="preserve">COVID-19 (2020) and in the years following the UK’s withdrawal from the EU (2021 and 2022). </w:t>
      </w:r>
    </w:p>
    <w:p w14:paraId="498425DF" w14:textId="77777777" w:rsidR="00E232EA" w:rsidRPr="00D33F79" w:rsidRDefault="00E232EA" w:rsidP="00FC7120">
      <w:pPr>
        <w:contextualSpacing/>
        <w:jc w:val="both"/>
        <w:rPr>
          <w:rFonts w:ascii="Times New Roman" w:eastAsia="Calibri" w:hAnsi="Times New Roman" w:cs="Times New Roman"/>
          <w:noProof/>
          <w:sz w:val="24"/>
          <w:szCs w:val="24"/>
          <w:lang w:val="en-IE"/>
        </w:rPr>
      </w:pPr>
    </w:p>
    <w:p w14:paraId="4C879A7A" w14:textId="106451DB" w:rsidR="00FC7120" w:rsidRPr="00D33F79" w:rsidRDefault="007128FD" w:rsidP="00FC7120">
      <w:pPr>
        <w:contextualSpacing/>
        <w:jc w:val="both"/>
        <w:rPr>
          <w:rFonts w:ascii="Times New Roman" w:eastAsia="Calibri" w:hAnsi="Times New Roman" w:cs="Times New Roman"/>
          <w:noProof/>
          <w:sz w:val="24"/>
          <w:szCs w:val="24"/>
          <w:lang w:val="en-IE"/>
        </w:rPr>
      </w:pPr>
      <w:r>
        <w:rPr>
          <w:rFonts w:ascii="Times New Roman" w:eastAsia="Calibri" w:hAnsi="Times New Roman" w:cs="Times New Roman"/>
          <w:b/>
          <w:bCs/>
          <w:noProof/>
          <w:sz w:val="24"/>
          <w:szCs w:val="24"/>
          <w:lang w:val="en-IE"/>
        </w:rPr>
        <w:t>C</w:t>
      </w:r>
      <w:r w:rsidR="00FC7120" w:rsidRPr="00D33F79">
        <w:rPr>
          <w:rFonts w:ascii="Times New Roman" w:eastAsia="Calibri" w:hAnsi="Times New Roman" w:cs="Times New Roman"/>
          <w:b/>
          <w:bCs/>
          <w:noProof/>
          <w:sz w:val="24"/>
          <w:szCs w:val="24"/>
          <w:lang w:val="en-IE"/>
        </w:rPr>
        <w:t>ontainer</w:t>
      </w:r>
      <w:r w:rsidR="0096306A" w:rsidRPr="00D33F79">
        <w:rPr>
          <w:rFonts w:ascii="Times New Roman" w:eastAsia="Calibri" w:hAnsi="Times New Roman" w:cs="Times New Roman"/>
          <w:b/>
          <w:bCs/>
          <w:noProof/>
          <w:sz w:val="24"/>
          <w:szCs w:val="24"/>
          <w:lang w:val="en-IE"/>
        </w:rPr>
        <w:t xml:space="preserve"> </w:t>
      </w:r>
      <w:r w:rsidR="00FC7120" w:rsidRPr="00D33F79">
        <w:rPr>
          <w:rFonts w:ascii="Times New Roman" w:eastAsia="Calibri" w:hAnsi="Times New Roman" w:cs="Times New Roman"/>
          <w:b/>
          <w:bCs/>
          <w:noProof/>
          <w:sz w:val="24"/>
          <w:szCs w:val="24"/>
          <w:lang w:val="en-IE"/>
        </w:rPr>
        <w:t xml:space="preserve">ships, oil tankers, and bulk carriers </w:t>
      </w:r>
      <w:r>
        <w:rPr>
          <w:rFonts w:ascii="Times New Roman" w:eastAsia="Calibri" w:hAnsi="Times New Roman" w:cs="Times New Roman"/>
          <w:b/>
          <w:bCs/>
          <w:noProof/>
          <w:sz w:val="24"/>
          <w:szCs w:val="24"/>
          <w:lang w:val="en-IE"/>
        </w:rPr>
        <w:t xml:space="preserve">were confirmed </w:t>
      </w:r>
      <w:r w:rsidR="00FC7120" w:rsidRPr="00D33F79">
        <w:rPr>
          <w:rFonts w:ascii="Times New Roman" w:eastAsia="Calibri" w:hAnsi="Times New Roman" w:cs="Times New Roman"/>
          <w:b/>
          <w:bCs/>
          <w:noProof/>
          <w:sz w:val="24"/>
          <w:szCs w:val="24"/>
          <w:lang w:val="en-IE"/>
        </w:rPr>
        <w:t>as the top emitters</w:t>
      </w:r>
      <w:r>
        <w:rPr>
          <w:rFonts w:ascii="Times New Roman" w:eastAsia="Calibri" w:hAnsi="Times New Roman" w:cs="Times New Roman"/>
          <w:b/>
          <w:bCs/>
          <w:noProof/>
          <w:sz w:val="24"/>
          <w:szCs w:val="24"/>
          <w:lang w:val="en-IE"/>
        </w:rPr>
        <w:t xml:space="preserve"> in 2022</w:t>
      </w:r>
      <w:r>
        <w:rPr>
          <w:rFonts w:ascii="Times New Roman" w:eastAsia="Calibri" w:hAnsi="Times New Roman" w:cs="Times New Roman"/>
          <w:noProof/>
          <w:sz w:val="24"/>
          <w:szCs w:val="24"/>
          <w:lang w:val="en-IE"/>
        </w:rPr>
        <w:t>. They were</w:t>
      </w:r>
      <w:r w:rsidR="00FC7120" w:rsidRPr="00D33F79">
        <w:rPr>
          <w:rFonts w:ascii="Times New Roman" w:eastAsia="Calibri" w:hAnsi="Times New Roman" w:cs="Times New Roman"/>
          <w:noProof/>
          <w:sz w:val="24"/>
          <w:szCs w:val="24"/>
          <w:lang w:val="en-IE"/>
        </w:rPr>
        <w:t xml:space="preserve"> responsible for around 55% of total reported emissions</w:t>
      </w:r>
      <w:r w:rsidR="00FB064B">
        <w:rPr>
          <w:rFonts w:ascii="Times New Roman" w:eastAsia="Calibri" w:hAnsi="Times New Roman" w:cs="Times New Roman"/>
          <w:noProof/>
          <w:sz w:val="24"/>
          <w:szCs w:val="24"/>
          <w:lang w:val="en-IE"/>
        </w:rPr>
        <w:t xml:space="preserve"> in 2022</w:t>
      </w:r>
      <w:r>
        <w:rPr>
          <w:rFonts w:ascii="Times New Roman" w:eastAsia="Calibri" w:hAnsi="Times New Roman" w:cs="Times New Roman"/>
          <w:noProof/>
          <w:sz w:val="24"/>
          <w:szCs w:val="24"/>
          <w:lang w:val="en-IE"/>
        </w:rPr>
        <w:t>. C</w:t>
      </w:r>
      <w:r w:rsidR="00B24741" w:rsidRPr="00D33F79">
        <w:rPr>
          <w:rFonts w:ascii="Times New Roman" w:eastAsia="Calibri" w:hAnsi="Times New Roman" w:cs="Times New Roman"/>
          <w:noProof/>
          <w:sz w:val="24"/>
          <w:szCs w:val="24"/>
          <w:lang w:val="en-IE"/>
        </w:rPr>
        <w:t>ontainer</w:t>
      </w:r>
      <w:r w:rsidR="005C0381" w:rsidRPr="00D33F79">
        <w:rPr>
          <w:rFonts w:ascii="Times New Roman" w:eastAsia="Calibri" w:hAnsi="Times New Roman" w:cs="Times New Roman"/>
          <w:noProof/>
          <w:sz w:val="24"/>
          <w:szCs w:val="24"/>
          <w:lang w:val="en-IE"/>
        </w:rPr>
        <w:t xml:space="preserve"> </w:t>
      </w:r>
      <w:r w:rsidR="00B24741" w:rsidRPr="00D33F79">
        <w:rPr>
          <w:rFonts w:ascii="Times New Roman" w:eastAsia="Calibri" w:hAnsi="Times New Roman" w:cs="Times New Roman"/>
          <w:noProof/>
          <w:sz w:val="24"/>
          <w:szCs w:val="24"/>
          <w:lang w:val="en-IE"/>
        </w:rPr>
        <w:t xml:space="preserve">ships </w:t>
      </w:r>
      <w:r w:rsidR="00666DF5" w:rsidRPr="00D33F79">
        <w:rPr>
          <w:rFonts w:ascii="Times New Roman" w:eastAsia="Calibri" w:hAnsi="Times New Roman" w:cs="Times New Roman"/>
          <w:noProof/>
          <w:sz w:val="24"/>
          <w:szCs w:val="24"/>
          <w:lang w:val="en-IE"/>
        </w:rPr>
        <w:t xml:space="preserve">alone </w:t>
      </w:r>
      <w:r>
        <w:rPr>
          <w:rFonts w:ascii="Times New Roman" w:eastAsia="Calibri" w:hAnsi="Times New Roman" w:cs="Times New Roman"/>
          <w:noProof/>
          <w:sz w:val="24"/>
          <w:szCs w:val="24"/>
          <w:lang w:val="en-IE"/>
        </w:rPr>
        <w:t xml:space="preserve">were </w:t>
      </w:r>
      <w:r w:rsidR="00B24741" w:rsidRPr="00D33F79">
        <w:rPr>
          <w:rFonts w:ascii="Times New Roman" w:eastAsia="Calibri" w:hAnsi="Times New Roman" w:cs="Times New Roman"/>
          <w:noProof/>
          <w:sz w:val="24"/>
          <w:szCs w:val="24"/>
          <w:lang w:val="en-IE"/>
        </w:rPr>
        <w:t>responsible for 28% of the total CO</w:t>
      </w:r>
      <w:r w:rsidR="00B24741" w:rsidRPr="00D33F79">
        <w:rPr>
          <w:rFonts w:ascii="Times New Roman" w:eastAsia="Calibri" w:hAnsi="Times New Roman" w:cs="Times New Roman"/>
          <w:noProof/>
          <w:sz w:val="24"/>
          <w:szCs w:val="24"/>
          <w:vertAlign w:val="subscript"/>
          <w:lang w:val="en-IE"/>
        </w:rPr>
        <w:t>2</w:t>
      </w:r>
      <w:r w:rsidR="00B24741" w:rsidRPr="00D33F79">
        <w:rPr>
          <w:rFonts w:ascii="Times New Roman" w:eastAsia="Calibri" w:hAnsi="Times New Roman" w:cs="Times New Roman"/>
          <w:noProof/>
          <w:sz w:val="24"/>
          <w:szCs w:val="24"/>
          <w:lang w:val="en-IE"/>
        </w:rPr>
        <w:t xml:space="preserve"> emissions</w:t>
      </w:r>
      <w:r w:rsidR="00FC7120" w:rsidRPr="00D33F79">
        <w:rPr>
          <w:rFonts w:ascii="Times New Roman" w:eastAsia="Calibri" w:hAnsi="Times New Roman" w:cs="Times New Roman"/>
          <w:noProof/>
          <w:sz w:val="24"/>
          <w:szCs w:val="24"/>
          <w:lang w:val="en-IE"/>
        </w:rPr>
        <w:t>. Two ship types (</w:t>
      </w:r>
      <w:r w:rsidR="00FC7120" w:rsidRPr="00D33F79">
        <w:rPr>
          <w:rFonts w:ascii="Times New Roman" w:eastAsia="Calibri" w:hAnsi="Times New Roman" w:cs="Times New Roman"/>
          <w:b/>
          <w:bCs/>
          <w:noProof/>
          <w:sz w:val="24"/>
          <w:szCs w:val="24"/>
          <w:lang w:val="en-IE"/>
        </w:rPr>
        <w:t>passengers ships and LNG carriers</w:t>
      </w:r>
      <w:r w:rsidR="00FC7120" w:rsidRPr="00D33F79">
        <w:rPr>
          <w:rFonts w:ascii="Times New Roman" w:eastAsia="Calibri" w:hAnsi="Times New Roman" w:cs="Times New Roman"/>
          <w:noProof/>
          <w:sz w:val="24"/>
          <w:szCs w:val="24"/>
          <w:lang w:val="en-IE"/>
        </w:rPr>
        <w:t xml:space="preserve">) stand out </w:t>
      </w:r>
      <w:r>
        <w:rPr>
          <w:rFonts w:ascii="Times New Roman" w:eastAsia="Calibri" w:hAnsi="Times New Roman" w:cs="Times New Roman"/>
          <w:noProof/>
          <w:sz w:val="24"/>
          <w:szCs w:val="24"/>
          <w:lang w:val="en-IE"/>
        </w:rPr>
        <w:t xml:space="preserve">because they have </w:t>
      </w:r>
      <w:r w:rsidR="00FC7120" w:rsidRPr="00D33F79">
        <w:rPr>
          <w:rFonts w:ascii="Times New Roman" w:eastAsia="Calibri" w:hAnsi="Times New Roman" w:cs="Times New Roman"/>
          <w:noProof/>
          <w:sz w:val="24"/>
          <w:szCs w:val="24"/>
          <w:lang w:val="en-IE"/>
        </w:rPr>
        <w:t>show</w:t>
      </w:r>
      <w:r>
        <w:rPr>
          <w:rFonts w:ascii="Times New Roman" w:eastAsia="Calibri" w:hAnsi="Times New Roman" w:cs="Times New Roman"/>
          <w:noProof/>
          <w:sz w:val="24"/>
          <w:szCs w:val="24"/>
          <w:lang w:val="en-IE"/>
        </w:rPr>
        <w:t>n</w:t>
      </w:r>
      <w:r w:rsidR="00FC7120" w:rsidRPr="00D33F79">
        <w:rPr>
          <w:rFonts w:ascii="Times New Roman" w:eastAsia="Calibri" w:hAnsi="Times New Roman" w:cs="Times New Roman"/>
          <w:noProof/>
          <w:sz w:val="24"/>
          <w:szCs w:val="24"/>
          <w:lang w:val="en-IE"/>
        </w:rPr>
        <w:t xml:space="preserve"> considerable yearly variations over the last three reporting periods. </w:t>
      </w:r>
    </w:p>
    <w:p w14:paraId="0661A16F" w14:textId="77777777" w:rsidR="00160A3D" w:rsidRPr="00D33F79" w:rsidRDefault="00160A3D" w:rsidP="00FC7120">
      <w:pPr>
        <w:contextualSpacing/>
        <w:jc w:val="both"/>
        <w:rPr>
          <w:rFonts w:ascii="Times New Roman" w:eastAsia="Calibri" w:hAnsi="Times New Roman" w:cs="Times New Roman"/>
          <w:noProof/>
          <w:sz w:val="24"/>
          <w:szCs w:val="24"/>
          <w:lang w:val="en-IE"/>
        </w:rPr>
      </w:pPr>
    </w:p>
    <w:p w14:paraId="7D08CB39" w14:textId="3D3745AE" w:rsidR="00E73F42" w:rsidRPr="00D33F79" w:rsidRDefault="00E73F42" w:rsidP="00160A3D">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The distribution of the fleet’s total CO</w:t>
      </w:r>
      <w:r w:rsidRPr="00D33F79">
        <w:rPr>
          <w:rFonts w:ascii="Times New Roman" w:eastAsia="Calibri" w:hAnsi="Times New Roman" w:cs="Times New Roman"/>
          <w:noProof/>
          <w:sz w:val="24"/>
          <w:szCs w:val="24"/>
          <w:vertAlign w:val="subscript"/>
          <w:lang w:val="en-IE"/>
        </w:rPr>
        <w:t>2</w:t>
      </w:r>
      <w:r w:rsidRPr="00D33F79">
        <w:rPr>
          <w:rFonts w:ascii="Times New Roman" w:eastAsia="Calibri" w:hAnsi="Times New Roman" w:cs="Times New Roman"/>
          <w:noProof/>
          <w:sz w:val="24"/>
          <w:szCs w:val="24"/>
          <w:lang w:val="en-IE"/>
        </w:rPr>
        <w:t xml:space="preserve"> emissions </w:t>
      </w:r>
      <w:r w:rsidR="007128FD">
        <w:rPr>
          <w:rFonts w:ascii="Times New Roman" w:eastAsia="Calibri" w:hAnsi="Times New Roman" w:cs="Times New Roman"/>
          <w:noProof/>
          <w:sz w:val="24"/>
          <w:szCs w:val="24"/>
          <w:lang w:val="en-IE"/>
        </w:rPr>
        <w:t>between</w:t>
      </w:r>
      <w:r w:rsidR="007128FD"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the different types of voyages and at berth </w:t>
      </w:r>
      <w:r w:rsidR="007128FD">
        <w:rPr>
          <w:rFonts w:ascii="Times New Roman" w:eastAsia="Calibri" w:hAnsi="Times New Roman" w:cs="Times New Roman"/>
          <w:noProof/>
          <w:sz w:val="24"/>
          <w:szCs w:val="24"/>
          <w:lang w:val="en-IE"/>
        </w:rPr>
        <w:t xml:space="preserve">that was </w:t>
      </w:r>
      <w:r w:rsidRPr="00D33F79">
        <w:rPr>
          <w:rFonts w:ascii="Times New Roman" w:eastAsia="Calibri" w:hAnsi="Times New Roman" w:cs="Times New Roman"/>
          <w:noProof/>
          <w:sz w:val="24"/>
          <w:szCs w:val="24"/>
          <w:lang w:val="en-IE"/>
        </w:rPr>
        <w:t xml:space="preserve">recorded in 2022 </w:t>
      </w:r>
      <w:r w:rsidR="007128FD">
        <w:rPr>
          <w:rFonts w:ascii="Times New Roman" w:eastAsia="Calibri" w:hAnsi="Times New Roman" w:cs="Times New Roman"/>
          <w:noProof/>
          <w:sz w:val="24"/>
          <w:szCs w:val="24"/>
          <w:lang w:val="en-IE"/>
        </w:rPr>
        <w:t xml:space="preserve">was </w:t>
      </w:r>
      <w:r w:rsidRPr="00D33F79">
        <w:rPr>
          <w:rFonts w:ascii="Times New Roman" w:eastAsia="Calibri" w:hAnsi="Times New Roman" w:cs="Times New Roman"/>
          <w:noProof/>
          <w:sz w:val="24"/>
          <w:szCs w:val="24"/>
          <w:lang w:val="en-IE"/>
        </w:rPr>
        <w:t xml:space="preserve">almost the same as in 2021. </w:t>
      </w:r>
      <w:r w:rsidR="00520F6C" w:rsidRPr="00D33F79">
        <w:rPr>
          <w:rFonts w:ascii="Times New Roman" w:eastAsia="Calibri" w:hAnsi="Times New Roman" w:cs="Times New Roman"/>
          <w:noProof/>
          <w:sz w:val="24"/>
          <w:szCs w:val="24"/>
          <w:lang w:val="en-IE"/>
        </w:rPr>
        <w:t>V</w:t>
      </w:r>
      <w:r w:rsidRPr="00D33F79">
        <w:rPr>
          <w:rFonts w:ascii="Times New Roman" w:eastAsia="Calibri" w:hAnsi="Times New Roman" w:cs="Times New Roman"/>
          <w:noProof/>
          <w:sz w:val="24"/>
          <w:szCs w:val="24"/>
          <w:lang w:val="en-IE"/>
        </w:rPr>
        <w:t>oyages starting or ending outside the EEA represent</w:t>
      </w:r>
      <w:r w:rsidR="009D0306" w:rsidRPr="00D33F79">
        <w:rPr>
          <w:rFonts w:ascii="Times New Roman" w:eastAsia="Calibri" w:hAnsi="Times New Roman" w:cs="Times New Roman"/>
          <w:noProof/>
          <w:sz w:val="24"/>
          <w:szCs w:val="24"/>
          <w:lang w:val="en-IE"/>
        </w:rPr>
        <w:t>ed</w:t>
      </w:r>
      <w:r w:rsidRPr="00D33F79">
        <w:rPr>
          <w:rFonts w:ascii="Times New Roman" w:eastAsia="Calibri" w:hAnsi="Times New Roman" w:cs="Times New Roman"/>
          <w:noProof/>
          <w:sz w:val="24"/>
          <w:szCs w:val="24"/>
          <w:lang w:val="en-IE"/>
        </w:rPr>
        <w:t xml:space="preserve"> the bulk of the CO</w:t>
      </w:r>
      <w:r w:rsidRPr="00D33F79">
        <w:rPr>
          <w:rFonts w:ascii="Times New Roman" w:eastAsia="Calibri" w:hAnsi="Times New Roman" w:cs="Times New Roman"/>
          <w:noProof/>
          <w:sz w:val="24"/>
          <w:szCs w:val="24"/>
          <w:vertAlign w:val="subscript"/>
          <w:lang w:val="en-IE"/>
        </w:rPr>
        <w:t>2</w:t>
      </w:r>
      <w:r w:rsidRPr="00D33F79">
        <w:rPr>
          <w:rFonts w:ascii="Times New Roman" w:eastAsia="Calibri" w:hAnsi="Times New Roman" w:cs="Times New Roman"/>
          <w:noProof/>
          <w:sz w:val="24"/>
          <w:szCs w:val="24"/>
          <w:lang w:val="en-IE"/>
        </w:rPr>
        <w:t xml:space="preserve"> emissions (around two</w:t>
      </w:r>
      <w:r w:rsidR="00534963">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thirds)</w:t>
      </w:r>
      <w:r w:rsidR="007128FD">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w:t>
      </w:r>
      <w:r w:rsidR="007128FD">
        <w:rPr>
          <w:rFonts w:ascii="Times New Roman" w:eastAsia="Calibri" w:hAnsi="Times New Roman" w:cs="Times New Roman"/>
          <w:noProof/>
          <w:sz w:val="24"/>
          <w:szCs w:val="24"/>
          <w:lang w:val="en-IE"/>
        </w:rPr>
        <w:t>V</w:t>
      </w:r>
      <w:r w:rsidRPr="00D33F79">
        <w:rPr>
          <w:rFonts w:ascii="Times New Roman" w:eastAsia="Calibri" w:hAnsi="Times New Roman" w:cs="Times New Roman"/>
          <w:noProof/>
          <w:sz w:val="24"/>
          <w:szCs w:val="24"/>
          <w:lang w:val="en-IE"/>
        </w:rPr>
        <w:t xml:space="preserve">oyages between two ports in the EEA </w:t>
      </w:r>
      <w:r w:rsidR="007128FD">
        <w:rPr>
          <w:rFonts w:ascii="Times New Roman" w:eastAsia="Calibri" w:hAnsi="Times New Roman" w:cs="Times New Roman"/>
          <w:noProof/>
          <w:sz w:val="24"/>
          <w:szCs w:val="24"/>
          <w:lang w:val="en-IE"/>
        </w:rPr>
        <w:t xml:space="preserve">represented </w:t>
      </w:r>
      <w:r w:rsidRPr="00D33F79">
        <w:rPr>
          <w:rFonts w:ascii="Times New Roman" w:eastAsia="Calibri" w:hAnsi="Times New Roman" w:cs="Times New Roman"/>
          <w:noProof/>
          <w:sz w:val="24"/>
          <w:szCs w:val="24"/>
          <w:lang w:val="en-IE"/>
        </w:rPr>
        <w:t xml:space="preserve">around a quarter of all </w:t>
      </w:r>
      <w:r w:rsidR="00C7262A" w:rsidRPr="00D33F79">
        <w:rPr>
          <w:rFonts w:ascii="Times New Roman" w:eastAsia="Calibri" w:hAnsi="Times New Roman" w:cs="Times New Roman"/>
          <w:noProof/>
          <w:sz w:val="24"/>
          <w:szCs w:val="24"/>
          <w:lang w:val="en-IE"/>
        </w:rPr>
        <w:t>CO</w:t>
      </w:r>
      <w:r w:rsidR="00C7262A" w:rsidRPr="00D33F79">
        <w:rPr>
          <w:rFonts w:ascii="Times New Roman" w:eastAsia="Calibri" w:hAnsi="Times New Roman" w:cs="Times New Roman"/>
          <w:noProof/>
          <w:sz w:val="24"/>
          <w:szCs w:val="24"/>
          <w:vertAlign w:val="subscript"/>
          <w:lang w:val="en-IE"/>
        </w:rPr>
        <w:t>2</w:t>
      </w:r>
      <w:r w:rsidR="00C7262A"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emissions, in line with the </w:t>
      </w:r>
      <w:r w:rsidR="006E031C" w:rsidRPr="00D33F79">
        <w:rPr>
          <w:rFonts w:ascii="Times New Roman" w:eastAsia="Calibri" w:hAnsi="Times New Roman" w:cs="Times New Roman"/>
          <w:noProof/>
          <w:sz w:val="24"/>
          <w:szCs w:val="24"/>
          <w:lang w:val="en-IE"/>
        </w:rPr>
        <w:t>share</w:t>
      </w:r>
      <w:r w:rsidRPr="00D33F79">
        <w:rPr>
          <w:rFonts w:ascii="Times New Roman" w:eastAsia="Calibri" w:hAnsi="Times New Roman" w:cs="Times New Roman"/>
          <w:noProof/>
          <w:sz w:val="24"/>
          <w:szCs w:val="24"/>
          <w:lang w:val="en-IE"/>
        </w:rPr>
        <w:t xml:space="preserve"> observed in 2021 after the withdrawal of the United Kingdom from the EU. CO</w:t>
      </w:r>
      <w:r w:rsidRPr="00D33F79">
        <w:rPr>
          <w:rFonts w:ascii="Times New Roman" w:eastAsia="Calibri" w:hAnsi="Times New Roman" w:cs="Times New Roman"/>
          <w:noProof/>
          <w:sz w:val="24"/>
          <w:szCs w:val="24"/>
          <w:vertAlign w:val="subscript"/>
          <w:lang w:val="en-IE"/>
        </w:rPr>
        <w:t>2</w:t>
      </w:r>
      <w:r w:rsidRPr="00D33F79">
        <w:rPr>
          <w:rFonts w:ascii="Times New Roman" w:eastAsia="Calibri" w:hAnsi="Times New Roman" w:cs="Times New Roman"/>
          <w:noProof/>
          <w:sz w:val="24"/>
          <w:szCs w:val="24"/>
          <w:lang w:val="en-IE"/>
        </w:rPr>
        <w:t xml:space="preserve"> emissions occurring when ships are at berth in EEA ports represent</w:t>
      </w:r>
      <w:r w:rsidR="00AF64DF" w:rsidRPr="00D33F79">
        <w:rPr>
          <w:rFonts w:ascii="Times New Roman" w:eastAsia="Calibri" w:hAnsi="Times New Roman" w:cs="Times New Roman"/>
          <w:noProof/>
          <w:sz w:val="24"/>
          <w:szCs w:val="24"/>
          <w:lang w:val="en-IE"/>
        </w:rPr>
        <w:t>ed</w:t>
      </w:r>
      <w:r w:rsidRPr="00D33F79">
        <w:rPr>
          <w:rFonts w:ascii="Times New Roman" w:eastAsia="Calibri" w:hAnsi="Times New Roman" w:cs="Times New Roman"/>
          <w:noProof/>
          <w:sz w:val="24"/>
          <w:szCs w:val="24"/>
          <w:lang w:val="en-IE"/>
        </w:rPr>
        <w:t xml:space="preserve"> around 6% of total emissions. These </w:t>
      </w:r>
      <w:r w:rsidR="00BB1A01" w:rsidRPr="00D33F79">
        <w:rPr>
          <w:rFonts w:ascii="Times New Roman" w:eastAsia="Calibri" w:hAnsi="Times New Roman" w:cs="Times New Roman"/>
          <w:noProof/>
          <w:sz w:val="24"/>
          <w:szCs w:val="24"/>
          <w:lang w:val="en-IE"/>
        </w:rPr>
        <w:t>shares</w:t>
      </w:r>
      <w:r w:rsidRPr="00D33F79">
        <w:rPr>
          <w:rFonts w:ascii="Times New Roman" w:eastAsia="Calibri" w:hAnsi="Times New Roman" w:cs="Times New Roman"/>
          <w:noProof/>
          <w:sz w:val="24"/>
          <w:szCs w:val="24"/>
          <w:lang w:val="en-IE"/>
        </w:rPr>
        <w:t xml:space="preserve"> are </w:t>
      </w:r>
      <w:r w:rsidR="00A71D06" w:rsidRPr="00D33F79">
        <w:rPr>
          <w:rFonts w:ascii="Times New Roman" w:eastAsia="Calibri" w:hAnsi="Times New Roman" w:cs="Times New Roman"/>
          <w:noProof/>
          <w:sz w:val="24"/>
          <w:szCs w:val="24"/>
          <w:lang w:val="en-IE"/>
        </w:rPr>
        <w:t xml:space="preserve">in </w:t>
      </w:r>
      <w:r w:rsidRPr="00D33F79">
        <w:rPr>
          <w:rFonts w:ascii="Times New Roman" w:eastAsia="Calibri" w:hAnsi="Times New Roman" w:cs="Times New Roman"/>
          <w:noProof/>
          <w:sz w:val="24"/>
          <w:szCs w:val="24"/>
          <w:lang w:val="en-IE"/>
        </w:rPr>
        <w:t xml:space="preserve">line with the volume of inward and outward flows </w:t>
      </w:r>
      <w:r w:rsidR="00A71D06" w:rsidRPr="00D33F79">
        <w:rPr>
          <w:rFonts w:ascii="Times New Roman" w:eastAsia="Calibri" w:hAnsi="Times New Roman" w:cs="Times New Roman"/>
          <w:noProof/>
          <w:sz w:val="24"/>
          <w:szCs w:val="24"/>
          <w:lang w:val="en-IE"/>
        </w:rPr>
        <w:t>recorded</w:t>
      </w:r>
      <w:r w:rsidRPr="00D33F79">
        <w:rPr>
          <w:rFonts w:ascii="Times New Roman" w:eastAsia="Calibri" w:hAnsi="Times New Roman" w:cs="Times New Roman"/>
          <w:noProof/>
          <w:sz w:val="24"/>
          <w:szCs w:val="24"/>
          <w:lang w:val="en-IE"/>
        </w:rPr>
        <w:t xml:space="preserve"> by Eurostat data.</w:t>
      </w:r>
    </w:p>
    <w:p w14:paraId="4ECD20B6" w14:textId="77777777" w:rsidR="00160A3D" w:rsidRPr="00D33F79" w:rsidRDefault="00160A3D" w:rsidP="00160A3D">
      <w:pPr>
        <w:contextualSpacing/>
        <w:jc w:val="both"/>
        <w:rPr>
          <w:rFonts w:ascii="Times New Roman" w:eastAsia="Calibri" w:hAnsi="Times New Roman" w:cs="Times New Roman"/>
          <w:noProof/>
          <w:sz w:val="24"/>
          <w:szCs w:val="24"/>
          <w:lang w:val="en-IE"/>
        </w:rPr>
      </w:pPr>
    </w:p>
    <w:p w14:paraId="3F2DE127" w14:textId="1201C1FD" w:rsidR="00FC7120"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In terms of </w:t>
      </w:r>
      <w:r w:rsidRPr="00D33F79">
        <w:rPr>
          <w:rFonts w:ascii="Times New Roman" w:eastAsia="Calibri" w:hAnsi="Times New Roman" w:cs="Times New Roman"/>
          <w:b/>
          <w:bCs/>
          <w:noProof/>
          <w:sz w:val="24"/>
          <w:szCs w:val="24"/>
          <w:lang w:val="en-IE"/>
        </w:rPr>
        <w:t>fuel consumption</w:t>
      </w:r>
      <w:r w:rsidRPr="00D33F79">
        <w:rPr>
          <w:rFonts w:ascii="Times New Roman" w:eastAsia="Calibri" w:hAnsi="Times New Roman" w:cs="Times New Roman"/>
          <w:noProof/>
          <w:sz w:val="24"/>
          <w:szCs w:val="24"/>
          <w:lang w:val="en-IE"/>
        </w:rPr>
        <w:t>, the monitored ships consumed more than 43 million tonnes of fuel in 2022. Fuel consumption data for 2022 confirmed established trends for 2018-</w:t>
      </w:r>
      <w:r w:rsidR="00543A9C" w:rsidRPr="00D33F79">
        <w:rPr>
          <w:rFonts w:ascii="Times New Roman" w:eastAsia="Calibri" w:hAnsi="Times New Roman" w:cs="Times New Roman"/>
          <w:noProof/>
          <w:sz w:val="24"/>
          <w:szCs w:val="24"/>
          <w:lang w:val="en-IE"/>
        </w:rPr>
        <w:t>2021</w:t>
      </w:r>
      <w:r w:rsidR="007128FD">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 namely the shift towards light fuel oil, LNG</w:t>
      </w:r>
      <w:r w:rsidR="00CE467C">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and diesel oil, which followed the introduction of the 2020 IMO limit on the sulphur content </w:t>
      </w:r>
      <w:r w:rsidR="002D36D9" w:rsidRPr="00D33F79">
        <w:rPr>
          <w:rFonts w:ascii="Times New Roman" w:eastAsia="Calibri" w:hAnsi="Times New Roman" w:cs="Times New Roman"/>
          <w:noProof/>
          <w:sz w:val="24"/>
          <w:szCs w:val="24"/>
          <w:lang w:val="en-IE"/>
        </w:rPr>
        <w:t xml:space="preserve">of </w:t>
      </w:r>
      <w:r w:rsidRPr="00D33F79">
        <w:rPr>
          <w:rFonts w:ascii="Times New Roman" w:eastAsia="Calibri" w:hAnsi="Times New Roman" w:cs="Times New Roman"/>
          <w:noProof/>
          <w:sz w:val="24"/>
          <w:szCs w:val="24"/>
          <w:lang w:val="en-IE"/>
        </w:rPr>
        <w:t xml:space="preserve">fuel oil used onboard ships. </w:t>
      </w:r>
      <w:r w:rsidR="00CC4746" w:rsidRPr="00D33F79">
        <w:rPr>
          <w:rFonts w:ascii="Times New Roman" w:eastAsia="Calibri" w:hAnsi="Times New Roman" w:cs="Times New Roman"/>
          <w:noProof/>
          <w:sz w:val="24"/>
          <w:szCs w:val="24"/>
          <w:lang w:val="en-IE"/>
        </w:rPr>
        <w:t xml:space="preserve">The composition of the </w:t>
      </w:r>
      <w:r w:rsidR="003508F8" w:rsidRPr="00D33F79">
        <w:rPr>
          <w:rFonts w:ascii="Times New Roman" w:eastAsia="Calibri" w:hAnsi="Times New Roman" w:cs="Times New Roman"/>
          <w:noProof/>
          <w:sz w:val="24"/>
          <w:szCs w:val="24"/>
          <w:lang w:val="en-IE"/>
        </w:rPr>
        <w:t xml:space="preserve">2022 </w:t>
      </w:r>
      <w:r w:rsidR="00CC4746" w:rsidRPr="00D33F79">
        <w:rPr>
          <w:rFonts w:ascii="Times New Roman" w:eastAsia="Calibri" w:hAnsi="Times New Roman" w:cs="Times New Roman"/>
          <w:noProof/>
          <w:sz w:val="24"/>
          <w:szCs w:val="24"/>
          <w:lang w:val="en-IE"/>
        </w:rPr>
        <w:t xml:space="preserve">fuel mix, </w:t>
      </w:r>
      <w:r w:rsidRPr="00D33F79">
        <w:rPr>
          <w:rFonts w:ascii="Times New Roman" w:eastAsia="Calibri" w:hAnsi="Times New Roman" w:cs="Times New Roman"/>
          <w:noProof/>
          <w:sz w:val="24"/>
          <w:szCs w:val="24"/>
          <w:lang w:val="en-IE"/>
        </w:rPr>
        <w:t xml:space="preserve">in comparison </w:t>
      </w:r>
      <w:r w:rsidR="007128FD">
        <w:rPr>
          <w:rFonts w:ascii="Times New Roman" w:eastAsia="Calibri" w:hAnsi="Times New Roman" w:cs="Times New Roman"/>
          <w:noProof/>
          <w:sz w:val="24"/>
          <w:szCs w:val="24"/>
          <w:lang w:val="en-IE"/>
        </w:rPr>
        <w:t>with</w:t>
      </w:r>
      <w:r w:rsidRPr="00D33F79">
        <w:rPr>
          <w:rFonts w:ascii="Times New Roman" w:eastAsia="Calibri" w:hAnsi="Times New Roman" w:cs="Times New Roman"/>
          <w:noProof/>
          <w:sz w:val="24"/>
          <w:szCs w:val="24"/>
          <w:lang w:val="en-IE"/>
        </w:rPr>
        <w:t xml:space="preserve"> 2021, </w:t>
      </w:r>
      <w:r w:rsidR="00C74561" w:rsidRPr="00D33F79">
        <w:rPr>
          <w:rFonts w:ascii="Times New Roman" w:eastAsia="Calibri" w:hAnsi="Times New Roman" w:cs="Times New Roman"/>
          <w:noProof/>
          <w:sz w:val="24"/>
          <w:szCs w:val="24"/>
          <w:lang w:val="en-IE"/>
        </w:rPr>
        <w:t>highlights</w:t>
      </w:r>
      <w:r w:rsidRPr="00D33F79">
        <w:rPr>
          <w:rFonts w:ascii="Times New Roman" w:eastAsia="Calibri" w:hAnsi="Times New Roman" w:cs="Times New Roman"/>
          <w:noProof/>
          <w:sz w:val="24"/>
          <w:szCs w:val="24"/>
          <w:lang w:val="en-IE"/>
        </w:rPr>
        <w:t xml:space="preserve"> a decrease (from 26% to 22%) </w:t>
      </w:r>
      <w:r w:rsidR="007128FD">
        <w:rPr>
          <w:rFonts w:ascii="Times New Roman" w:eastAsia="Calibri" w:hAnsi="Times New Roman" w:cs="Times New Roman"/>
          <w:noProof/>
          <w:sz w:val="24"/>
          <w:szCs w:val="24"/>
          <w:lang w:val="en-IE"/>
        </w:rPr>
        <w:t xml:space="preserve">in </w:t>
      </w:r>
      <w:r w:rsidR="359CB071" w:rsidRPr="00D33F79">
        <w:rPr>
          <w:rFonts w:ascii="Times New Roman" w:eastAsia="Calibri" w:hAnsi="Times New Roman" w:cs="Times New Roman"/>
          <w:noProof/>
          <w:sz w:val="24"/>
          <w:szCs w:val="24"/>
          <w:lang w:val="en-IE"/>
        </w:rPr>
        <w:t>the</w:t>
      </w:r>
      <w:r w:rsidRPr="00D33F79">
        <w:rPr>
          <w:rFonts w:ascii="Times New Roman" w:eastAsia="Calibri" w:hAnsi="Times New Roman" w:cs="Times New Roman"/>
          <w:noProof/>
          <w:sz w:val="24"/>
          <w:szCs w:val="24"/>
          <w:lang w:val="en-IE"/>
        </w:rPr>
        <w:t xml:space="preserve"> share of light fuel oil</w:t>
      </w:r>
      <w:r w:rsidR="004C4797" w:rsidRPr="00D33F79">
        <w:rPr>
          <w:rFonts w:ascii="Times New Roman" w:eastAsia="Calibri" w:hAnsi="Times New Roman" w:cs="Times New Roman"/>
          <w:noProof/>
          <w:sz w:val="24"/>
          <w:szCs w:val="24"/>
          <w:lang w:val="en-IE"/>
        </w:rPr>
        <w:t xml:space="preserve"> </w:t>
      </w:r>
      <w:r w:rsidR="00555731" w:rsidRPr="00D33F79">
        <w:rPr>
          <w:rFonts w:ascii="Times New Roman" w:eastAsia="Calibri" w:hAnsi="Times New Roman" w:cs="Times New Roman"/>
          <w:noProof/>
          <w:sz w:val="24"/>
          <w:szCs w:val="24"/>
          <w:lang w:val="en-IE"/>
        </w:rPr>
        <w:t>and a</w:t>
      </w:r>
      <w:r w:rsidR="00E93478" w:rsidRPr="00D33F79">
        <w:rPr>
          <w:rFonts w:ascii="Times New Roman" w:eastAsia="Calibri" w:hAnsi="Times New Roman" w:cs="Times New Roman"/>
          <w:noProof/>
          <w:sz w:val="24"/>
          <w:szCs w:val="24"/>
          <w:lang w:val="en-IE"/>
        </w:rPr>
        <w:t>n</w:t>
      </w:r>
      <w:r w:rsidR="00555731" w:rsidRPr="00D33F79">
        <w:rPr>
          <w:rFonts w:ascii="Times New Roman" w:eastAsia="Calibri" w:hAnsi="Times New Roman" w:cs="Times New Roman"/>
          <w:noProof/>
          <w:sz w:val="24"/>
          <w:szCs w:val="24"/>
          <w:lang w:val="en-IE"/>
        </w:rPr>
        <w:t xml:space="preserve"> increase </w:t>
      </w:r>
      <w:r w:rsidR="003C5255" w:rsidRPr="00D33F79">
        <w:rPr>
          <w:rFonts w:ascii="Times New Roman" w:eastAsia="Calibri" w:hAnsi="Times New Roman" w:cs="Times New Roman"/>
          <w:noProof/>
          <w:sz w:val="24"/>
          <w:szCs w:val="24"/>
          <w:lang w:val="en-IE"/>
        </w:rPr>
        <w:t xml:space="preserve">in the </w:t>
      </w:r>
      <w:r w:rsidR="00555731" w:rsidRPr="00D33F79">
        <w:rPr>
          <w:rFonts w:ascii="Times New Roman" w:eastAsia="Calibri" w:hAnsi="Times New Roman" w:cs="Times New Roman"/>
          <w:noProof/>
          <w:sz w:val="24"/>
          <w:szCs w:val="24"/>
          <w:lang w:val="en-IE"/>
        </w:rPr>
        <w:t>use of heavy fuel oil (from 48% to 50%)</w:t>
      </w:r>
      <w:r w:rsidRPr="00D33F79">
        <w:rPr>
          <w:rFonts w:ascii="Times New Roman" w:eastAsia="Calibri" w:hAnsi="Times New Roman" w:cs="Times New Roman"/>
          <w:noProof/>
          <w:sz w:val="24"/>
          <w:szCs w:val="24"/>
          <w:lang w:val="en-IE"/>
        </w:rPr>
        <w:t xml:space="preserve">. 2022 saw the highest recorded level of LNG consumed by the fleet (around +32% </w:t>
      </w:r>
      <w:r w:rsidR="003F0FE2" w:rsidRPr="00D33F79">
        <w:rPr>
          <w:rFonts w:ascii="Times New Roman" w:eastAsia="Calibri" w:hAnsi="Times New Roman" w:cs="Times New Roman"/>
          <w:noProof/>
          <w:sz w:val="24"/>
          <w:szCs w:val="24"/>
          <w:lang w:val="en-IE"/>
        </w:rPr>
        <w:t xml:space="preserve">higher </w:t>
      </w:r>
      <w:r w:rsidRPr="00D33F79">
        <w:rPr>
          <w:rFonts w:ascii="Times New Roman" w:eastAsia="Calibri" w:hAnsi="Times New Roman" w:cs="Times New Roman"/>
          <w:noProof/>
          <w:sz w:val="24"/>
          <w:szCs w:val="24"/>
          <w:lang w:val="en-IE"/>
        </w:rPr>
        <w:t xml:space="preserve">than in 2021), fuelled by </w:t>
      </w:r>
      <w:r w:rsidR="002D36D9" w:rsidRPr="00D33F79">
        <w:rPr>
          <w:rFonts w:ascii="Times New Roman" w:eastAsia="Calibri" w:hAnsi="Times New Roman" w:cs="Times New Roman"/>
          <w:noProof/>
          <w:sz w:val="24"/>
          <w:szCs w:val="24"/>
          <w:lang w:val="en-IE"/>
        </w:rPr>
        <w:t xml:space="preserve">an </w:t>
      </w:r>
      <w:r w:rsidRPr="00D33F79">
        <w:rPr>
          <w:rFonts w:ascii="Times New Roman" w:eastAsia="Calibri" w:hAnsi="Times New Roman" w:cs="Times New Roman"/>
          <w:noProof/>
          <w:sz w:val="24"/>
          <w:szCs w:val="24"/>
          <w:lang w:val="en-IE"/>
        </w:rPr>
        <w:t xml:space="preserve">increase </w:t>
      </w:r>
      <w:r w:rsidR="002D36D9" w:rsidRPr="00D33F79">
        <w:rPr>
          <w:rFonts w:ascii="Times New Roman" w:eastAsia="Calibri" w:hAnsi="Times New Roman" w:cs="Times New Roman"/>
          <w:noProof/>
          <w:sz w:val="24"/>
          <w:szCs w:val="24"/>
          <w:lang w:val="en-IE"/>
        </w:rPr>
        <w:t xml:space="preserve">in </w:t>
      </w:r>
      <w:r w:rsidR="007128FD">
        <w:rPr>
          <w:rFonts w:ascii="Times New Roman" w:eastAsia="Calibri" w:hAnsi="Times New Roman" w:cs="Times New Roman"/>
          <w:noProof/>
          <w:sz w:val="24"/>
          <w:szCs w:val="24"/>
          <w:lang w:val="en-IE"/>
        </w:rPr>
        <w:t xml:space="preserve">the </w:t>
      </w:r>
      <w:r w:rsidRPr="00D33F79">
        <w:rPr>
          <w:rFonts w:ascii="Times New Roman" w:eastAsia="Calibri" w:hAnsi="Times New Roman" w:cs="Times New Roman"/>
          <w:noProof/>
          <w:sz w:val="24"/>
          <w:szCs w:val="24"/>
          <w:lang w:val="en-IE"/>
        </w:rPr>
        <w:t>activity of LNG carriers combined with the accelerating uptake of LNG</w:t>
      </w:r>
      <w:r w:rsidR="007128FD">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use by container ships. The consumption of non-fossil bunker fuels remained negligible, as in all previous years. </w:t>
      </w:r>
    </w:p>
    <w:p w14:paraId="6C36C2E0" w14:textId="77777777" w:rsidR="00986FEA" w:rsidRPr="00D33F79" w:rsidRDefault="00986FEA" w:rsidP="00FC7120">
      <w:pPr>
        <w:contextualSpacing/>
        <w:jc w:val="both"/>
        <w:rPr>
          <w:rFonts w:ascii="Times New Roman" w:eastAsia="Calibri" w:hAnsi="Times New Roman" w:cs="Times New Roman"/>
          <w:noProof/>
          <w:sz w:val="24"/>
          <w:szCs w:val="24"/>
          <w:lang w:val="en-IE"/>
        </w:rPr>
      </w:pPr>
    </w:p>
    <w:p w14:paraId="0E31FD78" w14:textId="77777777" w:rsidR="00FC7120" w:rsidRPr="00D33F79" w:rsidRDefault="00FC7120" w:rsidP="00FC7120">
      <w:pPr>
        <w:numPr>
          <w:ilvl w:val="0"/>
          <w:numId w:val="3"/>
        </w:numPr>
        <w:contextualSpacing/>
        <w:rPr>
          <w:rFonts w:ascii="Times New Roman" w:eastAsia="Calibri" w:hAnsi="Times New Roman" w:cs="Times New Roman"/>
          <w:b/>
          <w:bCs/>
          <w:noProof/>
          <w:sz w:val="24"/>
          <w:szCs w:val="24"/>
          <w:lang w:val="en-IE"/>
        </w:rPr>
      </w:pPr>
      <w:r w:rsidRPr="00D33F79">
        <w:rPr>
          <w:rFonts w:ascii="Times New Roman" w:eastAsia="Calibri" w:hAnsi="Times New Roman" w:cs="Times New Roman"/>
          <w:b/>
          <w:bCs/>
          <w:noProof/>
          <w:sz w:val="24"/>
          <w:szCs w:val="24"/>
          <w:lang w:val="en-IE"/>
        </w:rPr>
        <w:t>The monitored fleet: shipping routes, speed time and time spent at sea</w:t>
      </w:r>
    </w:p>
    <w:p w14:paraId="12211D7C" w14:textId="77777777" w:rsidR="00FC7120" w:rsidRPr="00D33F79" w:rsidRDefault="00FC7120" w:rsidP="00FC7120">
      <w:pPr>
        <w:contextualSpacing/>
        <w:jc w:val="both"/>
        <w:rPr>
          <w:rFonts w:ascii="Times New Roman" w:eastAsia="Calibri" w:hAnsi="Times New Roman" w:cs="Times New Roman"/>
          <w:noProof/>
          <w:sz w:val="24"/>
          <w:szCs w:val="24"/>
          <w:lang w:val="en-IE"/>
        </w:rPr>
      </w:pPr>
    </w:p>
    <w:p w14:paraId="67E6462A" w14:textId="0E5996F2" w:rsidR="00FC7120"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According to Eurostat data, the total 2022 </w:t>
      </w:r>
      <w:r w:rsidRPr="00D33F79">
        <w:rPr>
          <w:rFonts w:ascii="Times New Roman" w:eastAsia="Calibri" w:hAnsi="Times New Roman" w:cs="Times New Roman"/>
          <w:b/>
          <w:bCs/>
          <w:noProof/>
          <w:sz w:val="24"/>
          <w:szCs w:val="24"/>
          <w:lang w:val="en-IE"/>
        </w:rPr>
        <w:t>volume of inward</w:t>
      </w:r>
      <w:r w:rsidR="00C865BB" w:rsidRPr="00D33F79">
        <w:rPr>
          <w:rFonts w:ascii="Times New Roman" w:eastAsia="Calibri" w:hAnsi="Times New Roman" w:cs="Times New Roman"/>
          <w:b/>
          <w:bCs/>
          <w:noProof/>
          <w:sz w:val="24"/>
          <w:szCs w:val="24"/>
          <w:lang w:val="en-IE"/>
        </w:rPr>
        <w:t xml:space="preserve"> trade</w:t>
      </w:r>
      <w:r w:rsidRPr="00D33F79">
        <w:rPr>
          <w:rFonts w:ascii="Times New Roman" w:eastAsia="Calibri" w:hAnsi="Times New Roman" w:cs="Times New Roman"/>
          <w:b/>
          <w:bCs/>
          <w:noProof/>
          <w:sz w:val="24"/>
          <w:szCs w:val="24"/>
          <w:lang w:val="en-IE"/>
        </w:rPr>
        <w:t xml:space="preserve"> flows</w:t>
      </w:r>
      <w:r w:rsidRPr="00D33F79">
        <w:rPr>
          <w:rFonts w:ascii="Times New Roman" w:eastAsia="Calibri" w:hAnsi="Times New Roman" w:cs="Times New Roman"/>
          <w:noProof/>
          <w:sz w:val="24"/>
          <w:szCs w:val="24"/>
          <w:lang w:val="en-IE"/>
        </w:rPr>
        <w:t xml:space="preserve"> increased by 2.5% and </w:t>
      </w:r>
      <w:r w:rsidR="007128FD">
        <w:rPr>
          <w:rFonts w:ascii="Times New Roman" w:eastAsia="Calibri" w:hAnsi="Times New Roman" w:cs="Times New Roman"/>
          <w:noProof/>
          <w:sz w:val="24"/>
          <w:szCs w:val="24"/>
          <w:lang w:val="en-IE"/>
        </w:rPr>
        <w:t xml:space="preserve">was </w:t>
      </w:r>
      <w:r w:rsidRPr="00D33F79">
        <w:rPr>
          <w:rFonts w:ascii="Times New Roman" w:eastAsia="Calibri" w:hAnsi="Times New Roman" w:cs="Times New Roman"/>
          <w:noProof/>
          <w:sz w:val="24"/>
          <w:szCs w:val="24"/>
          <w:lang w:val="en-IE"/>
        </w:rPr>
        <w:t xml:space="preserve">nearly the same as in 2019. Compared </w:t>
      </w:r>
      <w:r w:rsidR="007128FD">
        <w:rPr>
          <w:rFonts w:ascii="Times New Roman" w:eastAsia="Calibri" w:hAnsi="Times New Roman" w:cs="Times New Roman"/>
          <w:noProof/>
          <w:sz w:val="24"/>
          <w:szCs w:val="24"/>
          <w:lang w:val="en-IE"/>
        </w:rPr>
        <w:t>with</w:t>
      </w:r>
      <w:r w:rsidRPr="00D33F79">
        <w:rPr>
          <w:rFonts w:ascii="Times New Roman" w:eastAsia="Calibri" w:hAnsi="Times New Roman" w:cs="Times New Roman"/>
          <w:noProof/>
          <w:sz w:val="24"/>
          <w:szCs w:val="24"/>
          <w:lang w:val="en-IE"/>
        </w:rPr>
        <w:t xml:space="preserve"> 2021, the inflow from the </w:t>
      </w:r>
      <w:r w:rsidR="00B1341A" w:rsidRPr="00D33F79">
        <w:rPr>
          <w:rFonts w:ascii="Times New Roman" w:eastAsia="Calibri" w:hAnsi="Times New Roman" w:cs="Times New Roman"/>
          <w:noProof/>
          <w:sz w:val="24"/>
          <w:szCs w:val="24"/>
          <w:lang w:val="en-IE"/>
        </w:rPr>
        <w:t xml:space="preserve">United States </w:t>
      </w:r>
      <w:r w:rsidRPr="00D33F79">
        <w:rPr>
          <w:rFonts w:ascii="Times New Roman" w:eastAsia="Calibri" w:hAnsi="Times New Roman" w:cs="Times New Roman"/>
          <w:noProof/>
          <w:sz w:val="24"/>
          <w:szCs w:val="24"/>
          <w:lang w:val="en-IE"/>
        </w:rPr>
        <w:t>(East Coast), Egypt, Norway, China, the UK, Brazil</w:t>
      </w:r>
      <w:r w:rsidR="00CE467C">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and Canada (East Coast) increased in 2022, while the inflows from Russia (Black Sea</w:t>
      </w:r>
      <w:r w:rsidR="007128FD">
        <w:rPr>
          <w:rFonts w:ascii="Times New Roman" w:eastAsia="Calibri" w:hAnsi="Times New Roman" w:cs="Times New Roman"/>
          <w:noProof/>
          <w:sz w:val="24"/>
          <w:szCs w:val="24"/>
          <w:lang w:val="en-IE"/>
        </w:rPr>
        <w:t xml:space="preserve"> and</w:t>
      </w:r>
      <w:r w:rsidRPr="00D33F79">
        <w:rPr>
          <w:rFonts w:ascii="Times New Roman" w:eastAsia="Calibri" w:hAnsi="Times New Roman" w:cs="Times New Roman"/>
          <w:noProof/>
          <w:sz w:val="24"/>
          <w:szCs w:val="24"/>
          <w:lang w:val="en-IE"/>
        </w:rPr>
        <w:t xml:space="preserve"> Baltic Sea), Nigeria and T</w:t>
      </w:r>
      <w:r w:rsidR="00534963">
        <w:rPr>
          <w:rFonts w:ascii="Times New Roman" w:eastAsia="Calibri" w:hAnsi="Times New Roman" w:cs="Times New Roman"/>
          <w:noProof/>
          <w:sz w:val="24"/>
          <w:szCs w:val="24"/>
          <w:lang w:val="en-IE"/>
        </w:rPr>
        <w:t>ürkiye</w:t>
      </w:r>
      <w:r w:rsidRPr="00D33F79">
        <w:rPr>
          <w:rFonts w:ascii="Times New Roman" w:eastAsia="Calibri" w:hAnsi="Times New Roman" w:cs="Times New Roman"/>
          <w:noProof/>
          <w:sz w:val="24"/>
          <w:szCs w:val="24"/>
          <w:lang w:val="en-IE"/>
        </w:rPr>
        <w:t xml:space="preserve"> decreased. The total 2022 volume of outward flows decreased by 1.4% and </w:t>
      </w:r>
      <w:r w:rsidR="007128FD">
        <w:rPr>
          <w:rFonts w:ascii="Times New Roman" w:eastAsia="Calibri" w:hAnsi="Times New Roman" w:cs="Times New Roman"/>
          <w:noProof/>
          <w:sz w:val="24"/>
          <w:szCs w:val="24"/>
          <w:lang w:val="en-IE"/>
        </w:rPr>
        <w:t>was</w:t>
      </w:r>
      <w:r w:rsidRPr="00D33F79">
        <w:rPr>
          <w:rFonts w:ascii="Times New Roman" w:eastAsia="Calibri" w:hAnsi="Times New Roman" w:cs="Times New Roman"/>
          <w:noProof/>
          <w:sz w:val="24"/>
          <w:szCs w:val="24"/>
          <w:lang w:val="en-IE"/>
        </w:rPr>
        <w:t xml:space="preserve"> nearly the same as in 2019. </w:t>
      </w:r>
      <w:r w:rsidR="00757A0A">
        <w:rPr>
          <w:rFonts w:ascii="Times New Roman" w:eastAsia="Calibri" w:hAnsi="Times New Roman" w:cs="Times New Roman"/>
          <w:noProof/>
          <w:sz w:val="24"/>
          <w:szCs w:val="24"/>
          <w:lang w:val="en-IE"/>
        </w:rPr>
        <w:t xml:space="preserve">It was primarily </w:t>
      </w:r>
      <w:r w:rsidRPr="00D33F79">
        <w:rPr>
          <w:rFonts w:ascii="Times New Roman" w:eastAsia="Calibri" w:hAnsi="Times New Roman" w:cs="Times New Roman"/>
          <w:noProof/>
          <w:sz w:val="24"/>
          <w:szCs w:val="24"/>
          <w:lang w:val="en-IE"/>
        </w:rPr>
        <w:t xml:space="preserve">the outflows to China and the UK </w:t>
      </w:r>
      <w:r w:rsidR="00757A0A">
        <w:rPr>
          <w:rFonts w:ascii="Times New Roman" w:eastAsia="Calibri" w:hAnsi="Times New Roman" w:cs="Times New Roman"/>
          <w:noProof/>
          <w:sz w:val="24"/>
          <w:szCs w:val="24"/>
          <w:lang w:val="en-IE"/>
        </w:rPr>
        <w:t xml:space="preserve">that </w:t>
      </w:r>
      <w:r w:rsidRPr="00D33F79">
        <w:rPr>
          <w:rFonts w:ascii="Times New Roman" w:eastAsia="Calibri" w:hAnsi="Times New Roman" w:cs="Times New Roman"/>
          <w:noProof/>
          <w:sz w:val="24"/>
          <w:szCs w:val="24"/>
          <w:lang w:val="en-IE"/>
        </w:rPr>
        <w:t>decreased in 2022</w:t>
      </w:r>
      <w:r w:rsidR="00757A0A">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but</w:t>
      </w:r>
      <w:r w:rsidR="00B95E36" w:rsidRPr="00D33F79">
        <w:rPr>
          <w:rFonts w:ascii="Times New Roman" w:eastAsia="Calibri" w:hAnsi="Times New Roman" w:cs="Times New Roman"/>
          <w:noProof/>
          <w:sz w:val="24"/>
          <w:szCs w:val="24"/>
          <w:lang w:val="en-IE"/>
        </w:rPr>
        <w:t xml:space="preserve"> total outflows</w:t>
      </w:r>
      <w:r w:rsidRPr="00D33F79">
        <w:rPr>
          <w:rFonts w:ascii="Times New Roman" w:eastAsia="Calibri" w:hAnsi="Times New Roman" w:cs="Times New Roman"/>
          <w:noProof/>
          <w:sz w:val="24"/>
          <w:szCs w:val="24"/>
          <w:lang w:val="en-IE"/>
        </w:rPr>
        <w:t xml:space="preserve"> </w:t>
      </w:r>
      <w:r w:rsidR="00413A39" w:rsidRPr="00D33F79">
        <w:rPr>
          <w:rFonts w:ascii="Times New Roman" w:eastAsia="Calibri" w:hAnsi="Times New Roman" w:cs="Times New Roman"/>
          <w:noProof/>
          <w:sz w:val="24"/>
          <w:szCs w:val="24"/>
          <w:lang w:val="en-IE"/>
        </w:rPr>
        <w:t xml:space="preserve">are </w:t>
      </w:r>
      <w:r w:rsidRPr="00D33F79">
        <w:rPr>
          <w:rFonts w:ascii="Times New Roman" w:eastAsia="Calibri" w:hAnsi="Times New Roman" w:cs="Times New Roman"/>
          <w:noProof/>
          <w:sz w:val="24"/>
          <w:szCs w:val="24"/>
          <w:lang w:val="en-IE"/>
        </w:rPr>
        <w:t>still dominated by the outward flow to the UK.</w:t>
      </w:r>
    </w:p>
    <w:p w14:paraId="4D29C3E6" w14:textId="77777777" w:rsidR="00FC7120" w:rsidRPr="00D33F79" w:rsidRDefault="00FC7120" w:rsidP="00FC7120">
      <w:pPr>
        <w:contextualSpacing/>
        <w:jc w:val="both"/>
        <w:rPr>
          <w:rFonts w:ascii="Times New Roman" w:eastAsia="Calibri" w:hAnsi="Times New Roman" w:cs="Times New Roman"/>
          <w:noProof/>
          <w:sz w:val="24"/>
          <w:szCs w:val="24"/>
          <w:lang w:val="en-IE"/>
        </w:rPr>
      </w:pPr>
    </w:p>
    <w:p w14:paraId="081E9BDE" w14:textId="5EA7B3C9" w:rsidR="00FC7120"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MRV data </w:t>
      </w:r>
      <w:r w:rsidR="00757A0A">
        <w:rPr>
          <w:rFonts w:ascii="Times New Roman" w:eastAsia="Calibri" w:hAnsi="Times New Roman" w:cs="Times New Roman"/>
          <w:noProof/>
          <w:sz w:val="24"/>
          <w:szCs w:val="24"/>
          <w:lang w:val="en-IE"/>
        </w:rPr>
        <w:t>for</w:t>
      </w:r>
      <w:r w:rsidRPr="00D33F79">
        <w:rPr>
          <w:rFonts w:ascii="Times New Roman" w:eastAsia="Calibri" w:hAnsi="Times New Roman" w:cs="Times New Roman"/>
          <w:noProof/>
          <w:sz w:val="24"/>
          <w:szCs w:val="24"/>
          <w:lang w:val="en-IE"/>
        </w:rPr>
        <w:t xml:space="preserve"> 2018-2022 highlights </w:t>
      </w:r>
      <w:r w:rsidR="00757A0A">
        <w:rPr>
          <w:rFonts w:ascii="Times New Roman" w:eastAsia="Calibri" w:hAnsi="Times New Roman" w:cs="Times New Roman"/>
          <w:noProof/>
          <w:sz w:val="24"/>
          <w:szCs w:val="24"/>
          <w:lang w:val="en-IE"/>
        </w:rPr>
        <w:t xml:space="preserve">the fact </w:t>
      </w:r>
      <w:r w:rsidRPr="00D33F79">
        <w:rPr>
          <w:rFonts w:ascii="Times New Roman" w:eastAsia="Calibri" w:hAnsi="Times New Roman" w:cs="Times New Roman"/>
          <w:noProof/>
          <w:sz w:val="24"/>
          <w:szCs w:val="24"/>
          <w:lang w:val="en-IE"/>
        </w:rPr>
        <w:t xml:space="preserve">that </w:t>
      </w:r>
      <w:r w:rsidRPr="00D33F79">
        <w:rPr>
          <w:rFonts w:ascii="Times New Roman" w:eastAsia="Calibri" w:hAnsi="Times New Roman" w:cs="Times New Roman"/>
          <w:b/>
          <w:bCs/>
          <w:noProof/>
          <w:sz w:val="24"/>
          <w:szCs w:val="24"/>
          <w:lang w:val="en-IE"/>
        </w:rPr>
        <w:t>speed variation</w:t>
      </w:r>
      <w:r w:rsidRPr="00D33F79">
        <w:rPr>
          <w:rFonts w:ascii="Times New Roman" w:eastAsia="Calibri" w:hAnsi="Times New Roman" w:cs="Times New Roman"/>
          <w:noProof/>
          <w:sz w:val="24"/>
          <w:szCs w:val="24"/>
          <w:lang w:val="en-IE"/>
        </w:rPr>
        <w:t xml:space="preserve"> was minor for most ship types. </w:t>
      </w:r>
      <w:r w:rsidR="00B619DE" w:rsidRPr="00D33F79">
        <w:rPr>
          <w:rFonts w:ascii="Times New Roman" w:eastAsia="Calibri" w:hAnsi="Times New Roman" w:cs="Times New Roman"/>
          <w:noProof/>
          <w:sz w:val="24"/>
          <w:szCs w:val="24"/>
          <w:lang w:val="en-IE"/>
        </w:rPr>
        <w:t>However, it is to be noted that</w:t>
      </w:r>
      <w:r w:rsidR="00757A0A">
        <w:rPr>
          <w:rFonts w:ascii="Times New Roman" w:eastAsia="Calibri" w:hAnsi="Times New Roman" w:cs="Times New Roman"/>
          <w:noProof/>
          <w:sz w:val="24"/>
          <w:szCs w:val="24"/>
          <w:lang w:val="en-IE"/>
        </w:rPr>
        <w:t>,</w:t>
      </w:r>
      <w:r w:rsidR="00B619DE" w:rsidRPr="00D33F79">
        <w:rPr>
          <w:rFonts w:ascii="Times New Roman" w:eastAsia="Calibri" w:hAnsi="Times New Roman" w:cs="Times New Roman"/>
          <w:noProof/>
          <w:sz w:val="24"/>
          <w:szCs w:val="24"/>
          <w:lang w:val="en-IE"/>
        </w:rPr>
        <w:t xml:space="preserve"> f</w:t>
      </w:r>
      <w:r w:rsidRPr="00D33F79">
        <w:rPr>
          <w:rFonts w:ascii="Times New Roman" w:eastAsia="Calibri" w:hAnsi="Times New Roman" w:cs="Times New Roman"/>
          <w:noProof/>
          <w:sz w:val="24"/>
          <w:szCs w:val="24"/>
          <w:lang w:val="en-IE"/>
        </w:rPr>
        <w:t xml:space="preserve">ollowing an increase in average speed in 2020 and 2021, container ships recorded </w:t>
      </w:r>
      <w:r w:rsidR="00A4655F" w:rsidRPr="00D33F79">
        <w:rPr>
          <w:rFonts w:ascii="Times New Roman" w:eastAsia="Calibri" w:hAnsi="Times New Roman" w:cs="Times New Roman"/>
          <w:noProof/>
          <w:sz w:val="24"/>
          <w:szCs w:val="24"/>
          <w:lang w:val="en-IE"/>
        </w:rPr>
        <w:t xml:space="preserve">in 2022 </w:t>
      </w:r>
      <w:r w:rsidRPr="00D33F79">
        <w:rPr>
          <w:rFonts w:ascii="Times New Roman" w:eastAsia="Calibri" w:hAnsi="Times New Roman" w:cs="Times New Roman"/>
          <w:noProof/>
          <w:sz w:val="24"/>
          <w:szCs w:val="24"/>
          <w:lang w:val="en-IE"/>
        </w:rPr>
        <w:t>a 4.7% decrease in average speed in comparison with 2021</w:t>
      </w:r>
      <w:r w:rsidR="00757A0A">
        <w:rPr>
          <w:rFonts w:ascii="Times New Roman" w:eastAsia="Calibri" w:hAnsi="Times New Roman" w:cs="Times New Roman"/>
          <w:noProof/>
          <w:sz w:val="24"/>
          <w:szCs w:val="24"/>
          <w:lang w:val="en-IE"/>
        </w:rPr>
        <w:t>.</w:t>
      </w:r>
      <w:r w:rsidRPr="00D33F79">
        <w:rPr>
          <w:rFonts w:ascii="Times New Roman" w:eastAsia="Calibri" w:hAnsi="Times New Roman" w:cs="Times New Roman"/>
          <w:noProof/>
          <w:sz w:val="24"/>
          <w:szCs w:val="24"/>
          <w:lang w:val="en-IE"/>
        </w:rPr>
        <w:t xml:space="preserve"> </w:t>
      </w:r>
      <w:r w:rsidR="00757A0A">
        <w:rPr>
          <w:rFonts w:ascii="Times New Roman" w:eastAsia="Calibri" w:hAnsi="Times New Roman" w:cs="Times New Roman"/>
          <w:noProof/>
          <w:sz w:val="24"/>
          <w:szCs w:val="24"/>
          <w:lang w:val="en-IE"/>
        </w:rPr>
        <w:t xml:space="preserve">This was </w:t>
      </w:r>
      <w:r w:rsidR="00F37CBE" w:rsidRPr="00D33F79">
        <w:rPr>
          <w:rFonts w:ascii="Times New Roman" w:eastAsia="Calibri" w:hAnsi="Times New Roman" w:cs="Times New Roman"/>
          <w:noProof/>
          <w:sz w:val="24"/>
          <w:szCs w:val="24"/>
          <w:lang w:val="en-IE"/>
        </w:rPr>
        <w:t xml:space="preserve">a major driver </w:t>
      </w:r>
      <w:r w:rsidR="00A4655F" w:rsidRPr="00D33F79">
        <w:rPr>
          <w:rFonts w:ascii="Times New Roman" w:eastAsia="Calibri" w:hAnsi="Times New Roman" w:cs="Times New Roman"/>
          <w:noProof/>
          <w:sz w:val="24"/>
          <w:szCs w:val="24"/>
          <w:lang w:val="en-IE"/>
        </w:rPr>
        <w:t>of the</w:t>
      </w:r>
      <w:r w:rsidRPr="00D33F79">
        <w:rPr>
          <w:rFonts w:ascii="Times New Roman" w:eastAsia="Calibri" w:hAnsi="Times New Roman" w:cs="Times New Roman"/>
          <w:noProof/>
          <w:sz w:val="24"/>
          <w:szCs w:val="24"/>
          <w:lang w:val="en-IE"/>
        </w:rPr>
        <w:t xml:space="preserve"> reduction in total emissions for this ship type in 2022</w:t>
      </w:r>
      <w:r w:rsidR="00431F09" w:rsidRPr="00D33F79">
        <w:rPr>
          <w:rFonts w:ascii="Times New Roman" w:eastAsia="Calibri" w:hAnsi="Times New Roman" w:cs="Times New Roman"/>
          <w:noProof/>
          <w:sz w:val="24"/>
          <w:szCs w:val="24"/>
          <w:lang w:val="en-IE"/>
        </w:rPr>
        <w:t xml:space="preserve"> (-7.6% on 2021)</w:t>
      </w:r>
      <w:r w:rsidRPr="00D33F79">
        <w:rPr>
          <w:rFonts w:ascii="Times New Roman" w:eastAsia="Calibri" w:hAnsi="Times New Roman" w:cs="Times New Roman"/>
          <w:noProof/>
          <w:sz w:val="24"/>
          <w:szCs w:val="24"/>
          <w:lang w:val="en-IE"/>
        </w:rPr>
        <w:t>.</w:t>
      </w:r>
    </w:p>
    <w:p w14:paraId="68898292" w14:textId="77777777" w:rsidR="00FC7120" w:rsidRPr="00D33F79" w:rsidRDefault="00FC7120" w:rsidP="00FC7120">
      <w:pPr>
        <w:contextualSpacing/>
        <w:jc w:val="both"/>
        <w:rPr>
          <w:rFonts w:ascii="Times New Roman" w:eastAsia="Calibri" w:hAnsi="Times New Roman" w:cs="Times New Roman"/>
          <w:noProof/>
          <w:sz w:val="24"/>
          <w:szCs w:val="24"/>
          <w:lang w:val="en-IE"/>
        </w:rPr>
      </w:pPr>
    </w:p>
    <w:p w14:paraId="194E48A0" w14:textId="2FFC2648" w:rsidR="00FC7120" w:rsidRPr="00D33F79" w:rsidRDefault="00FC7120" w:rsidP="00FC7120">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Between 2021 and 2022 the </w:t>
      </w:r>
      <w:r w:rsidRPr="00D33F79">
        <w:rPr>
          <w:rFonts w:ascii="Times New Roman" w:eastAsia="Calibri" w:hAnsi="Times New Roman" w:cs="Times New Roman"/>
          <w:b/>
          <w:bCs/>
          <w:noProof/>
          <w:sz w:val="24"/>
          <w:szCs w:val="24"/>
          <w:lang w:val="en-IE"/>
        </w:rPr>
        <w:t>average time spent at sea</w:t>
      </w:r>
      <w:r w:rsidRPr="00D33F79">
        <w:rPr>
          <w:rFonts w:ascii="Times New Roman" w:eastAsia="Calibri" w:hAnsi="Times New Roman" w:cs="Times New Roman"/>
          <w:noProof/>
          <w:sz w:val="24"/>
          <w:szCs w:val="24"/>
          <w:lang w:val="en-IE"/>
        </w:rPr>
        <w:t xml:space="preserve"> decreased for </w:t>
      </w:r>
      <w:r w:rsidR="00757A0A">
        <w:rPr>
          <w:rFonts w:ascii="Times New Roman" w:eastAsia="Calibri" w:hAnsi="Times New Roman" w:cs="Times New Roman"/>
          <w:noProof/>
          <w:sz w:val="24"/>
          <w:szCs w:val="24"/>
          <w:lang w:val="en-IE"/>
        </w:rPr>
        <w:t>6</w:t>
      </w:r>
      <w:r w:rsidR="00757A0A"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of the </w:t>
      </w:r>
      <w:r w:rsidR="00757A0A">
        <w:rPr>
          <w:rFonts w:ascii="Times New Roman" w:eastAsia="Calibri" w:hAnsi="Times New Roman" w:cs="Times New Roman"/>
          <w:noProof/>
          <w:sz w:val="24"/>
          <w:szCs w:val="24"/>
          <w:lang w:val="en-IE"/>
        </w:rPr>
        <w:t>15</w:t>
      </w:r>
      <w:r w:rsidR="00757A0A"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ship </w:t>
      </w:r>
      <w:r w:rsidR="00CE467C" w:rsidRPr="00D33F79">
        <w:rPr>
          <w:rFonts w:ascii="Times New Roman" w:eastAsia="Calibri" w:hAnsi="Times New Roman" w:cs="Times New Roman"/>
          <w:noProof/>
          <w:sz w:val="24"/>
          <w:szCs w:val="24"/>
          <w:lang w:val="en-IE"/>
        </w:rPr>
        <w:t>types but</w:t>
      </w:r>
      <w:r w:rsidR="00757A0A">
        <w:rPr>
          <w:rFonts w:ascii="Times New Roman" w:eastAsia="Calibri" w:hAnsi="Times New Roman" w:cs="Times New Roman"/>
          <w:noProof/>
          <w:sz w:val="24"/>
          <w:szCs w:val="24"/>
          <w:lang w:val="en-IE"/>
        </w:rPr>
        <w:t xml:space="preserve"> increased </w:t>
      </w:r>
      <w:r w:rsidRPr="00D33F79">
        <w:rPr>
          <w:rFonts w:ascii="Times New Roman" w:eastAsia="Calibri" w:hAnsi="Times New Roman" w:cs="Times New Roman"/>
          <w:noProof/>
          <w:sz w:val="24"/>
          <w:szCs w:val="24"/>
          <w:lang w:val="en-IE"/>
        </w:rPr>
        <w:t xml:space="preserve">for </w:t>
      </w:r>
      <w:r w:rsidR="00757A0A">
        <w:rPr>
          <w:rFonts w:ascii="Times New Roman" w:eastAsia="Calibri" w:hAnsi="Times New Roman" w:cs="Times New Roman"/>
          <w:noProof/>
          <w:sz w:val="24"/>
          <w:szCs w:val="24"/>
          <w:lang w:val="en-IE"/>
        </w:rPr>
        <w:t>8</w:t>
      </w:r>
      <w:r w:rsidR="00757A0A"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ship types. Among the ship types that experienced a longer average time at sea</w:t>
      </w:r>
      <w:r w:rsidR="007C5366" w:rsidRPr="00D33F79">
        <w:rPr>
          <w:rFonts w:ascii="Times New Roman" w:eastAsia="Calibri" w:hAnsi="Times New Roman" w:cs="Times New Roman"/>
          <w:noProof/>
          <w:sz w:val="24"/>
          <w:szCs w:val="24"/>
          <w:lang w:val="en-IE"/>
        </w:rPr>
        <w:t xml:space="preserve"> in 2022</w:t>
      </w:r>
      <w:r w:rsidRPr="00D33F79">
        <w:rPr>
          <w:rFonts w:ascii="Times New Roman" w:eastAsia="Calibri" w:hAnsi="Times New Roman" w:cs="Times New Roman"/>
          <w:noProof/>
          <w:sz w:val="24"/>
          <w:szCs w:val="24"/>
          <w:lang w:val="en-IE"/>
        </w:rPr>
        <w:t xml:space="preserve">, passenger ships, LNG carriers, and bulk carriers </w:t>
      </w:r>
      <w:r w:rsidR="00757A0A">
        <w:rPr>
          <w:rFonts w:ascii="Times New Roman" w:eastAsia="Calibri" w:hAnsi="Times New Roman" w:cs="Times New Roman"/>
          <w:noProof/>
          <w:sz w:val="24"/>
          <w:szCs w:val="24"/>
          <w:lang w:val="en-IE"/>
        </w:rPr>
        <w:t xml:space="preserve">have </w:t>
      </w:r>
      <w:r w:rsidR="007C5366" w:rsidRPr="00D33F79">
        <w:rPr>
          <w:rFonts w:ascii="Times New Roman" w:eastAsia="Calibri" w:hAnsi="Times New Roman" w:cs="Times New Roman"/>
          <w:noProof/>
          <w:sz w:val="24"/>
          <w:szCs w:val="24"/>
          <w:lang w:val="en-IE"/>
        </w:rPr>
        <w:t xml:space="preserve">spent the longest </w:t>
      </w:r>
      <w:r w:rsidRPr="00D33F79">
        <w:rPr>
          <w:rFonts w:ascii="Times New Roman" w:eastAsia="Calibri" w:hAnsi="Times New Roman" w:cs="Times New Roman"/>
          <w:noProof/>
          <w:sz w:val="24"/>
          <w:szCs w:val="24"/>
          <w:lang w:val="en-IE"/>
        </w:rPr>
        <w:t>total time at sea</w:t>
      </w:r>
      <w:r w:rsidR="00B1341A" w:rsidRPr="00D33F79">
        <w:rPr>
          <w:rFonts w:ascii="Times New Roman" w:eastAsia="Calibri" w:hAnsi="Times New Roman" w:cs="Times New Roman"/>
          <w:noProof/>
          <w:sz w:val="24"/>
          <w:szCs w:val="24"/>
          <w:lang w:val="en-IE"/>
        </w:rPr>
        <w:t xml:space="preserve"> </w:t>
      </w:r>
      <w:r w:rsidR="00BD5782" w:rsidRPr="00D33F79">
        <w:rPr>
          <w:rFonts w:ascii="Times New Roman" w:eastAsia="Calibri" w:hAnsi="Times New Roman" w:cs="Times New Roman"/>
          <w:noProof/>
          <w:sz w:val="24"/>
          <w:szCs w:val="24"/>
          <w:lang w:val="en-IE"/>
        </w:rPr>
        <w:t>since 2018</w:t>
      </w:r>
      <w:r w:rsidR="00757A0A">
        <w:rPr>
          <w:rFonts w:ascii="Times New Roman" w:eastAsia="Calibri" w:hAnsi="Times New Roman" w:cs="Times New Roman"/>
          <w:noProof/>
          <w:sz w:val="24"/>
          <w:szCs w:val="24"/>
          <w:lang w:val="en-IE"/>
        </w:rPr>
        <w:t>. This</w:t>
      </w:r>
      <w:r w:rsidRPr="00D33F79">
        <w:rPr>
          <w:rFonts w:ascii="Times New Roman" w:eastAsia="Calibri" w:hAnsi="Times New Roman" w:cs="Times New Roman"/>
          <w:noProof/>
          <w:sz w:val="24"/>
          <w:szCs w:val="24"/>
          <w:lang w:val="en-IE"/>
        </w:rPr>
        <w:t xml:space="preserve"> </w:t>
      </w:r>
      <w:r w:rsidR="007C5366" w:rsidRPr="00D33F79">
        <w:rPr>
          <w:rFonts w:ascii="Times New Roman" w:eastAsia="Calibri" w:hAnsi="Times New Roman" w:cs="Times New Roman"/>
          <w:noProof/>
          <w:sz w:val="24"/>
          <w:szCs w:val="24"/>
          <w:lang w:val="en-IE"/>
        </w:rPr>
        <w:t xml:space="preserve">indicates </w:t>
      </w:r>
      <w:r w:rsidR="00757A0A">
        <w:rPr>
          <w:rFonts w:ascii="Times New Roman" w:eastAsia="Calibri" w:hAnsi="Times New Roman" w:cs="Times New Roman"/>
          <w:noProof/>
          <w:sz w:val="24"/>
          <w:szCs w:val="24"/>
          <w:lang w:val="en-IE"/>
        </w:rPr>
        <w:t xml:space="preserve">that </w:t>
      </w:r>
      <w:r w:rsidR="007C5366" w:rsidRPr="00D33F79">
        <w:rPr>
          <w:rFonts w:ascii="Times New Roman" w:eastAsia="Calibri" w:hAnsi="Times New Roman" w:cs="Times New Roman"/>
          <w:noProof/>
          <w:sz w:val="24"/>
          <w:szCs w:val="24"/>
          <w:lang w:val="en-IE"/>
        </w:rPr>
        <w:t xml:space="preserve">there has been a </w:t>
      </w:r>
      <w:r w:rsidRPr="00D33F79">
        <w:rPr>
          <w:rFonts w:ascii="Times New Roman" w:eastAsia="Calibri" w:hAnsi="Times New Roman" w:cs="Times New Roman"/>
          <w:noProof/>
          <w:sz w:val="24"/>
          <w:szCs w:val="24"/>
          <w:lang w:val="en-IE"/>
        </w:rPr>
        <w:t xml:space="preserve">recovery from the COVID-19 crisis </w:t>
      </w:r>
      <w:r w:rsidR="007C5366" w:rsidRPr="00D33F79">
        <w:rPr>
          <w:rFonts w:ascii="Times New Roman" w:eastAsia="Calibri" w:hAnsi="Times New Roman" w:cs="Times New Roman"/>
          <w:noProof/>
          <w:sz w:val="24"/>
          <w:szCs w:val="24"/>
          <w:lang w:val="en-IE"/>
        </w:rPr>
        <w:t xml:space="preserve">and </w:t>
      </w:r>
      <w:r w:rsidR="00757A0A">
        <w:rPr>
          <w:rFonts w:ascii="Times New Roman" w:eastAsia="Calibri" w:hAnsi="Times New Roman" w:cs="Times New Roman"/>
          <w:noProof/>
          <w:sz w:val="24"/>
          <w:szCs w:val="24"/>
          <w:lang w:val="en-IE"/>
        </w:rPr>
        <w:t xml:space="preserve">that </w:t>
      </w:r>
      <w:r w:rsidR="007C5366" w:rsidRPr="00D33F79">
        <w:rPr>
          <w:rFonts w:ascii="Times New Roman" w:eastAsia="Calibri" w:hAnsi="Times New Roman" w:cs="Times New Roman"/>
          <w:noProof/>
          <w:sz w:val="24"/>
          <w:szCs w:val="24"/>
          <w:lang w:val="en-IE"/>
        </w:rPr>
        <w:t xml:space="preserve">the </w:t>
      </w:r>
      <w:r w:rsidRPr="00D33F79">
        <w:rPr>
          <w:rFonts w:ascii="Times New Roman" w:eastAsia="Calibri" w:hAnsi="Times New Roman" w:cs="Times New Roman"/>
          <w:noProof/>
          <w:sz w:val="24"/>
          <w:szCs w:val="24"/>
          <w:lang w:val="en-IE"/>
        </w:rPr>
        <w:t xml:space="preserve">EU’s efforts to diversify its energy imports </w:t>
      </w:r>
      <w:r w:rsidR="007C5366" w:rsidRPr="00D33F79">
        <w:rPr>
          <w:rFonts w:ascii="Times New Roman" w:eastAsia="Calibri" w:hAnsi="Times New Roman" w:cs="Times New Roman"/>
          <w:noProof/>
          <w:sz w:val="24"/>
          <w:szCs w:val="24"/>
          <w:lang w:val="en-IE"/>
        </w:rPr>
        <w:t>have been at least partially successful</w:t>
      </w:r>
      <w:r w:rsidRPr="00D33F79">
        <w:rPr>
          <w:rFonts w:ascii="Times New Roman" w:eastAsia="Calibri" w:hAnsi="Times New Roman" w:cs="Times New Roman"/>
          <w:noProof/>
          <w:sz w:val="24"/>
          <w:szCs w:val="24"/>
          <w:lang w:val="en-IE"/>
        </w:rPr>
        <w:t xml:space="preserve">. </w:t>
      </w:r>
    </w:p>
    <w:p w14:paraId="7257BE37" w14:textId="77777777" w:rsidR="00B20809" w:rsidRPr="00D33F79" w:rsidRDefault="00B20809" w:rsidP="00B20809">
      <w:pPr>
        <w:pStyle w:val="ListParagraph"/>
        <w:numPr>
          <w:ilvl w:val="0"/>
          <w:numId w:val="3"/>
        </w:numPr>
        <w:jc w:val="both"/>
        <w:rPr>
          <w:rFonts w:ascii="Times New Roman" w:eastAsia="Calibri" w:hAnsi="Times New Roman" w:cs="Times New Roman"/>
          <w:b/>
          <w:bCs/>
          <w:noProof/>
          <w:sz w:val="24"/>
          <w:szCs w:val="24"/>
          <w:lang w:val="en-IE"/>
        </w:rPr>
      </w:pPr>
      <w:r w:rsidRPr="00D33F79">
        <w:rPr>
          <w:rFonts w:ascii="Times New Roman" w:eastAsia="Calibri" w:hAnsi="Times New Roman" w:cs="Times New Roman"/>
          <w:b/>
          <w:bCs/>
          <w:noProof/>
          <w:sz w:val="24"/>
          <w:szCs w:val="24"/>
          <w:lang w:val="en-IE"/>
        </w:rPr>
        <w:t>Technical and operational efficiency of the monitored fleet</w:t>
      </w:r>
    </w:p>
    <w:p w14:paraId="6AD0EBAD" w14:textId="330F4E74" w:rsidR="00AE5C7D" w:rsidRPr="00D33F79" w:rsidRDefault="00FC7120" w:rsidP="00B20809">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The graphical analysis of key technical and operational efficiency</w:t>
      </w:r>
      <w:r w:rsidR="000503D1" w:rsidRPr="00D33F79">
        <w:rPr>
          <w:rFonts w:ascii="Times New Roman" w:eastAsia="Calibri" w:hAnsi="Times New Roman" w:cs="Times New Roman"/>
          <w:noProof/>
          <w:sz w:val="24"/>
          <w:szCs w:val="24"/>
          <w:lang w:val="en-IE"/>
        </w:rPr>
        <w:t xml:space="preserve"> </w:t>
      </w:r>
      <w:r w:rsidRPr="00D33F79">
        <w:rPr>
          <w:rFonts w:ascii="Times New Roman" w:eastAsia="Calibri" w:hAnsi="Times New Roman" w:cs="Times New Roman"/>
          <w:noProof/>
          <w:sz w:val="24"/>
          <w:szCs w:val="24"/>
          <w:lang w:val="en-IE"/>
        </w:rPr>
        <w:t xml:space="preserve">indicators shows that no significant changes took place </w:t>
      </w:r>
      <w:r w:rsidR="00757A0A">
        <w:rPr>
          <w:rFonts w:ascii="Times New Roman" w:eastAsia="Calibri" w:hAnsi="Times New Roman" w:cs="Times New Roman"/>
          <w:noProof/>
          <w:sz w:val="24"/>
          <w:szCs w:val="24"/>
          <w:lang w:val="en-IE"/>
        </w:rPr>
        <w:t>in</w:t>
      </w:r>
      <w:r w:rsidRPr="00D33F79">
        <w:rPr>
          <w:rFonts w:ascii="Times New Roman" w:eastAsia="Calibri" w:hAnsi="Times New Roman" w:cs="Times New Roman"/>
          <w:noProof/>
          <w:sz w:val="24"/>
          <w:szCs w:val="24"/>
          <w:lang w:val="en-IE"/>
        </w:rPr>
        <w:t xml:space="preserve"> 2018-2022. Furthermore, the </w:t>
      </w:r>
      <w:r w:rsidR="00082592" w:rsidRPr="00D33F79">
        <w:rPr>
          <w:rFonts w:ascii="Times New Roman" w:eastAsia="Calibri" w:hAnsi="Times New Roman" w:cs="Times New Roman"/>
          <w:noProof/>
          <w:sz w:val="24"/>
          <w:szCs w:val="24"/>
          <w:lang w:val="en-IE"/>
        </w:rPr>
        <w:t>completeness and correctness of the reported data</w:t>
      </w:r>
      <w:r w:rsidR="00FF48E5" w:rsidRPr="00D33F79">
        <w:rPr>
          <w:rFonts w:ascii="Times New Roman" w:eastAsia="Calibri" w:hAnsi="Times New Roman" w:cs="Times New Roman"/>
          <w:noProof/>
          <w:sz w:val="24"/>
          <w:szCs w:val="24"/>
          <w:lang w:val="en-IE"/>
        </w:rPr>
        <w:t xml:space="preserve">, </w:t>
      </w:r>
      <w:r w:rsidR="00615E1F" w:rsidRPr="00D33F79">
        <w:rPr>
          <w:rFonts w:ascii="Times New Roman" w:eastAsia="Calibri" w:hAnsi="Times New Roman" w:cs="Times New Roman"/>
          <w:noProof/>
          <w:sz w:val="24"/>
          <w:szCs w:val="24"/>
          <w:lang w:val="en-IE"/>
        </w:rPr>
        <w:t>which improved</w:t>
      </w:r>
      <w:r w:rsidR="00FF48E5" w:rsidRPr="00D33F79">
        <w:rPr>
          <w:rFonts w:ascii="Times New Roman" w:eastAsia="Calibri" w:hAnsi="Times New Roman" w:cs="Times New Roman"/>
          <w:noProof/>
          <w:sz w:val="24"/>
          <w:szCs w:val="24"/>
          <w:lang w:val="en-IE"/>
        </w:rPr>
        <w:t xml:space="preserve"> </w:t>
      </w:r>
      <w:r w:rsidR="00082592" w:rsidRPr="00D33F79">
        <w:rPr>
          <w:rFonts w:ascii="Times New Roman" w:eastAsia="Calibri" w:hAnsi="Times New Roman" w:cs="Times New Roman"/>
          <w:noProof/>
          <w:sz w:val="24"/>
          <w:szCs w:val="24"/>
          <w:lang w:val="en-IE"/>
        </w:rPr>
        <w:t xml:space="preserve">over the period, is confirmed </w:t>
      </w:r>
      <w:r w:rsidR="00CE0C91" w:rsidRPr="00D33F79">
        <w:rPr>
          <w:rFonts w:ascii="Times New Roman" w:eastAsia="Calibri" w:hAnsi="Times New Roman" w:cs="Times New Roman"/>
          <w:noProof/>
          <w:sz w:val="24"/>
          <w:szCs w:val="24"/>
          <w:lang w:val="en-IE"/>
        </w:rPr>
        <w:t>by</w:t>
      </w:r>
      <w:r w:rsidR="00FF48E5" w:rsidRPr="00D33F79">
        <w:rPr>
          <w:rFonts w:ascii="Times New Roman" w:eastAsia="Calibri" w:hAnsi="Times New Roman" w:cs="Times New Roman"/>
          <w:noProof/>
          <w:sz w:val="24"/>
          <w:szCs w:val="24"/>
          <w:lang w:val="en-IE"/>
        </w:rPr>
        <w:t xml:space="preserve"> increasing</w:t>
      </w:r>
      <w:r w:rsidR="00CE0C91" w:rsidRPr="00D33F79">
        <w:rPr>
          <w:rFonts w:ascii="Times New Roman" w:eastAsia="Calibri" w:hAnsi="Times New Roman" w:cs="Times New Roman"/>
          <w:noProof/>
          <w:sz w:val="24"/>
          <w:szCs w:val="24"/>
          <w:lang w:val="en-IE"/>
        </w:rPr>
        <w:t xml:space="preserve"> data correlation values</w:t>
      </w:r>
      <w:r w:rsidR="00615E1F" w:rsidRPr="00D33F79">
        <w:rPr>
          <w:rFonts w:ascii="Times New Roman" w:eastAsia="Calibri" w:hAnsi="Times New Roman" w:cs="Times New Roman"/>
          <w:noProof/>
          <w:sz w:val="24"/>
          <w:szCs w:val="24"/>
          <w:lang w:val="en-IE"/>
        </w:rPr>
        <w:t xml:space="preserve"> </w:t>
      </w:r>
      <w:r w:rsidR="001473F3" w:rsidRPr="00D33F79">
        <w:rPr>
          <w:rFonts w:ascii="Times New Roman" w:eastAsia="Calibri" w:hAnsi="Times New Roman" w:cs="Times New Roman"/>
          <w:noProof/>
          <w:sz w:val="24"/>
          <w:szCs w:val="24"/>
          <w:lang w:val="en-IE"/>
        </w:rPr>
        <w:t xml:space="preserve">between </w:t>
      </w:r>
      <w:r w:rsidR="00A90E97" w:rsidRPr="00D33F79">
        <w:rPr>
          <w:rFonts w:ascii="Times New Roman" w:eastAsia="Calibri" w:hAnsi="Times New Roman" w:cs="Times New Roman"/>
          <w:noProof/>
          <w:sz w:val="24"/>
          <w:szCs w:val="24"/>
          <w:lang w:val="en-IE"/>
        </w:rPr>
        <w:t>key technical and operational efficiency indicators</w:t>
      </w:r>
      <w:r w:rsidR="00757A0A">
        <w:rPr>
          <w:rFonts w:ascii="Times New Roman" w:eastAsia="Calibri" w:hAnsi="Times New Roman" w:cs="Times New Roman"/>
          <w:noProof/>
          <w:sz w:val="24"/>
          <w:szCs w:val="24"/>
          <w:lang w:val="en-IE"/>
        </w:rPr>
        <w:t> </w:t>
      </w:r>
      <w:r w:rsidR="00CE308E" w:rsidRPr="00D33F79">
        <w:rPr>
          <w:rStyle w:val="FootnoteReference"/>
          <w:rFonts w:ascii="Times New Roman" w:eastAsia="Calibri" w:hAnsi="Times New Roman" w:cs="Times New Roman"/>
          <w:noProof/>
          <w:sz w:val="24"/>
          <w:szCs w:val="24"/>
          <w:lang w:val="en-IE"/>
        </w:rPr>
        <w:footnoteReference w:id="13"/>
      </w:r>
      <w:r w:rsidR="00A90E97" w:rsidRPr="00D33F79">
        <w:rPr>
          <w:rFonts w:ascii="Times New Roman" w:eastAsia="Calibri" w:hAnsi="Times New Roman" w:cs="Times New Roman"/>
          <w:noProof/>
          <w:sz w:val="24"/>
          <w:szCs w:val="24"/>
          <w:lang w:val="en-IE"/>
        </w:rPr>
        <w:t xml:space="preserve"> </w:t>
      </w:r>
      <w:r w:rsidR="0093748A" w:rsidRPr="00D33F79">
        <w:rPr>
          <w:rFonts w:ascii="Times New Roman" w:eastAsia="Calibri" w:hAnsi="Times New Roman" w:cs="Times New Roman"/>
          <w:noProof/>
          <w:sz w:val="24"/>
          <w:szCs w:val="24"/>
          <w:lang w:val="en-IE"/>
        </w:rPr>
        <w:t>and the</w:t>
      </w:r>
      <w:r w:rsidR="00A90E97" w:rsidRPr="00D33F79">
        <w:rPr>
          <w:rFonts w:ascii="Times New Roman" w:eastAsia="Calibri" w:hAnsi="Times New Roman" w:cs="Times New Roman"/>
          <w:noProof/>
          <w:sz w:val="24"/>
          <w:szCs w:val="24"/>
          <w:lang w:val="en-IE"/>
        </w:rPr>
        <w:t xml:space="preserve"> </w:t>
      </w:r>
      <w:r w:rsidR="00CE308E" w:rsidRPr="00D33F79">
        <w:rPr>
          <w:rFonts w:ascii="Times New Roman" w:eastAsia="Calibri" w:hAnsi="Times New Roman" w:cs="Times New Roman"/>
          <w:noProof/>
          <w:sz w:val="24"/>
          <w:szCs w:val="24"/>
          <w:lang w:val="en-IE"/>
        </w:rPr>
        <w:t>size</w:t>
      </w:r>
      <w:r w:rsidR="0093748A" w:rsidRPr="00D33F79">
        <w:rPr>
          <w:rFonts w:ascii="Times New Roman" w:eastAsia="Calibri" w:hAnsi="Times New Roman" w:cs="Times New Roman"/>
          <w:noProof/>
          <w:sz w:val="24"/>
          <w:szCs w:val="24"/>
          <w:lang w:val="en-IE"/>
        </w:rPr>
        <w:t xml:space="preserve"> </w:t>
      </w:r>
      <w:r w:rsidR="00D8524E" w:rsidRPr="00D33F79">
        <w:rPr>
          <w:rFonts w:ascii="Times New Roman" w:eastAsia="Calibri" w:hAnsi="Times New Roman" w:cs="Times New Roman"/>
          <w:noProof/>
          <w:sz w:val="24"/>
          <w:szCs w:val="24"/>
          <w:lang w:val="en-IE"/>
        </w:rPr>
        <w:t>of the ship</w:t>
      </w:r>
      <w:r w:rsidR="00611481" w:rsidRPr="00D33F79">
        <w:rPr>
          <w:rFonts w:ascii="Times New Roman" w:eastAsia="Calibri" w:hAnsi="Times New Roman" w:cs="Times New Roman"/>
          <w:noProof/>
          <w:sz w:val="24"/>
          <w:szCs w:val="24"/>
          <w:lang w:val="en-IE"/>
        </w:rPr>
        <w:t>s</w:t>
      </w:r>
      <w:r w:rsidR="00D8524E" w:rsidRPr="00D33F79">
        <w:rPr>
          <w:rFonts w:ascii="Times New Roman" w:eastAsia="Calibri" w:hAnsi="Times New Roman" w:cs="Times New Roman"/>
          <w:noProof/>
          <w:sz w:val="24"/>
          <w:szCs w:val="24"/>
          <w:lang w:val="en-IE"/>
        </w:rPr>
        <w:t xml:space="preserve"> </w:t>
      </w:r>
      <w:r w:rsidR="00A7792E" w:rsidRPr="00D33F79">
        <w:rPr>
          <w:rFonts w:ascii="Times New Roman" w:eastAsia="Calibri" w:hAnsi="Times New Roman" w:cs="Times New Roman"/>
          <w:noProof/>
          <w:sz w:val="24"/>
          <w:szCs w:val="24"/>
          <w:lang w:val="en-IE"/>
        </w:rPr>
        <w:t xml:space="preserve">reporting under the </w:t>
      </w:r>
      <w:r w:rsidR="00757A0A" w:rsidRPr="00D33F79">
        <w:rPr>
          <w:rFonts w:ascii="Times New Roman" w:eastAsia="Calibri" w:hAnsi="Times New Roman" w:cs="Times New Roman"/>
          <w:noProof/>
          <w:sz w:val="24"/>
          <w:szCs w:val="24"/>
          <w:lang w:val="en-IE"/>
        </w:rPr>
        <w:t xml:space="preserve">EU Maritime MRV </w:t>
      </w:r>
      <w:r w:rsidR="00A7792E" w:rsidRPr="00D33F79">
        <w:rPr>
          <w:rFonts w:ascii="Times New Roman" w:eastAsia="Calibri" w:hAnsi="Times New Roman" w:cs="Times New Roman"/>
          <w:noProof/>
          <w:sz w:val="24"/>
          <w:szCs w:val="24"/>
          <w:lang w:val="en-IE"/>
        </w:rPr>
        <w:t>Regulation</w:t>
      </w:r>
      <w:r w:rsidR="00611481" w:rsidRPr="00D33F79">
        <w:rPr>
          <w:rFonts w:ascii="Times New Roman" w:eastAsia="Calibri" w:hAnsi="Times New Roman" w:cs="Times New Roman"/>
          <w:noProof/>
          <w:sz w:val="24"/>
          <w:szCs w:val="24"/>
          <w:lang w:val="en-IE"/>
        </w:rPr>
        <w:t>.</w:t>
      </w:r>
    </w:p>
    <w:p w14:paraId="2F4A4782" w14:textId="77777777" w:rsidR="00AE5C7D" w:rsidRPr="00D33F79" w:rsidRDefault="00AE5C7D" w:rsidP="00B20809">
      <w:pPr>
        <w:contextualSpacing/>
        <w:jc w:val="both"/>
        <w:rPr>
          <w:rFonts w:ascii="Times New Roman" w:eastAsia="Calibri" w:hAnsi="Times New Roman" w:cs="Times New Roman"/>
          <w:noProof/>
          <w:sz w:val="24"/>
          <w:szCs w:val="24"/>
          <w:lang w:val="en-IE"/>
        </w:rPr>
      </w:pPr>
    </w:p>
    <w:p w14:paraId="2E791182" w14:textId="2EB8A246" w:rsidR="00B20809" w:rsidRPr="00D33F79" w:rsidRDefault="00DA4376" w:rsidP="00B20809">
      <w:pPr>
        <w:contextualSpacing/>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S</w:t>
      </w:r>
      <w:r w:rsidR="00AE5C7D" w:rsidRPr="00D33F79">
        <w:rPr>
          <w:rFonts w:ascii="Times New Roman" w:eastAsia="Calibri" w:hAnsi="Times New Roman" w:cs="Times New Roman"/>
          <w:noProof/>
          <w:sz w:val="24"/>
          <w:szCs w:val="24"/>
          <w:lang w:val="en-IE"/>
        </w:rPr>
        <w:t>hips reported</w:t>
      </w:r>
      <w:r w:rsidR="00243213" w:rsidRPr="00D33F79">
        <w:rPr>
          <w:rFonts w:ascii="Times New Roman" w:eastAsia="Calibri" w:hAnsi="Times New Roman" w:cs="Times New Roman"/>
          <w:noProof/>
          <w:sz w:val="24"/>
          <w:szCs w:val="24"/>
          <w:lang w:val="en-IE"/>
        </w:rPr>
        <w:t xml:space="preserve"> </w:t>
      </w:r>
      <w:r w:rsidR="00271346" w:rsidRPr="00D33F79">
        <w:rPr>
          <w:rFonts w:ascii="Times New Roman" w:eastAsia="Calibri" w:hAnsi="Times New Roman" w:cs="Times New Roman"/>
          <w:noProof/>
          <w:sz w:val="24"/>
          <w:szCs w:val="24"/>
          <w:lang w:val="en-IE"/>
        </w:rPr>
        <w:t xml:space="preserve">a </w:t>
      </w:r>
      <w:r w:rsidR="00243213" w:rsidRPr="00D33F79">
        <w:rPr>
          <w:rFonts w:ascii="Times New Roman" w:eastAsia="Calibri" w:hAnsi="Times New Roman" w:cs="Times New Roman"/>
          <w:b/>
          <w:bCs/>
          <w:noProof/>
          <w:sz w:val="24"/>
          <w:szCs w:val="24"/>
          <w:lang w:val="en-IE"/>
        </w:rPr>
        <w:t>better energy efficiency design index</w:t>
      </w:r>
      <w:r w:rsidR="00243213" w:rsidRPr="00D33F79">
        <w:rPr>
          <w:rFonts w:ascii="Times New Roman" w:eastAsia="Calibri" w:hAnsi="Times New Roman" w:cs="Times New Roman"/>
          <w:noProof/>
          <w:sz w:val="24"/>
          <w:szCs w:val="24"/>
          <w:lang w:val="en-IE"/>
        </w:rPr>
        <w:t xml:space="preserve"> </w:t>
      </w:r>
      <w:r w:rsidR="00271346" w:rsidRPr="00D33F79">
        <w:rPr>
          <w:rFonts w:ascii="Times New Roman" w:eastAsia="Calibri" w:hAnsi="Times New Roman" w:cs="Times New Roman"/>
          <w:noProof/>
          <w:sz w:val="24"/>
          <w:szCs w:val="24"/>
          <w:lang w:val="en-IE"/>
        </w:rPr>
        <w:t xml:space="preserve">in 2022 </w:t>
      </w:r>
      <w:r w:rsidR="00243213" w:rsidRPr="00D33F79">
        <w:rPr>
          <w:rFonts w:ascii="Times New Roman" w:eastAsia="Calibri" w:hAnsi="Times New Roman" w:cs="Times New Roman"/>
          <w:noProof/>
          <w:sz w:val="24"/>
          <w:szCs w:val="24"/>
          <w:lang w:val="en-IE"/>
        </w:rPr>
        <w:t>when cumulated at fleet level (</w:t>
      </w:r>
      <w:r w:rsidR="00757A0A">
        <w:rPr>
          <w:rFonts w:ascii="Times New Roman" w:eastAsia="Calibri" w:hAnsi="Times New Roman" w:cs="Times New Roman"/>
          <w:noProof/>
          <w:sz w:val="24"/>
          <w:szCs w:val="24"/>
          <w:lang w:val="en-IE"/>
        </w:rPr>
        <w:t xml:space="preserve">a </w:t>
      </w:r>
      <w:r w:rsidR="00243213" w:rsidRPr="00D33F79">
        <w:rPr>
          <w:rFonts w:ascii="Times New Roman" w:eastAsia="Calibri" w:hAnsi="Times New Roman" w:cs="Times New Roman"/>
          <w:noProof/>
          <w:sz w:val="24"/>
          <w:szCs w:val="24"/>
          <w:lang w:val="en-IE"/>
        </w:rPr>
        <w:t>5</w:t>
      </w:r>
      <w:r w:rsidR="000857AB" w:rsidRPr="00D33F79">
        <w:rPr>
          <w:rFonts w:ascii="Times New Roman" w:eastAsia="Calibri" w:hAnsi="Times New Roman" w:cs="Times New Roman"/>
          <w:noProof/>
          <w:sz w:val="24"/>
          <w:szCs w:val="24"/>
          <w:lang w:val="en-IE"/>
        </w:rPr>
        <w:t>.</w:t>
      </w:r>
      <w:r w:rsidR="00243213" w:rsidRPr="00D33F79">
        <w:rPr>
          <w:rFonts w:ascii="Times New Roman" w:eastAsia="Calibri" w:hAnsi="Times New Roman" w:cs="Times New Roman"/>
          <w:noProof/>
          <w:sz w:val="24"/>
          <w:szCs w:val="24"/>
          <w:lang w:val="en-IE"/>
        </w:rPr>
        <w:t xml:space="preserve">6% improvement </w:t>
      </w:r>
      <w:r w:rsidR="00757A0A">
        <w:rPr>
          <w:rFonts w:ascii="Times New Roman" w:eastAsia="Calibri" w:hAnsi="Times New Roman" w:cs="Times New Roman"/>
          <w:noProof/>
          <w:sz w:val="24"/>
          <w:szCs w:val="24"/>
          <w:lang w:val="en-IE"/>
        </w:rPr>
        <w:t>on</w:t>
      </w:r>
      <w:r w:rsidR="00243213" w:rsidRPr="00D33F79">
        <w:rPr>
          <w:rFonts w:ascii="Times New Roman" w:eastAsia="Calibri" w:hAnsi="Times New Roman" w:cs="Times New Roman"/>
          <w:noProof/>
          <w:sz w:val="24"/>
          <w:szCs w:val="24"/>
          <w:lang w:val="en-IE"/>
        </w:rPr>
        <w:t xml:space="preserve"> 2021) and their average size increased by 5</w:t>
      </w:r>
      <w:r w:rsidR="008122AE" w:rsidRPr="00D33F79">
        <w:rPr>
          <w:rFonts w:ascii="Times New Roman" w:eastAsia="Calibri" w:hAnsi="Times New Roman" w:cs="Times New Roman"/>
          <w:noProof/>
          <w:sz w:val="24"/>
          <w:szCs w:val="24"/>
          <w:lang w:val="en-IE"/>
        </w:rPr>
        <w:t>.</w:t>
      </w:r>
      <w:r w:rsidR="00243213" w:rsidRPr="00D33F79">
        <w:rPr>
          <w:rFonts w:ascii="Times New Roman" w:eastAsia="Calibri" w:hAnsi="Times New Roman" w:cs="Times New Roman"/>
          <w:noProof/>
          <w:sz w:val="24"/>
          <w:szCs w:val="24"/>
          <w:lang w:val="en-IE"/>
        </w:rPr>
        <w:t xml:space="preserve">7% compared </w:t>
      </w:r>
      <w:r w:rsidR="00757A0A">
        <w:rPr>
          <w:rFonts w:ascii="Times New Roman" w:eastAsia="Calibri" w:hAnsi="Times New Roman" w:cs="Times New Roman"/>
          <w:noProof/>
          <w:sz w:val="24"/>
          <w:szCs w:val="24"/>
          <w:lang w:val="en-IE"/>
        </w:rPr>
        <w:t xml:space="preserve">with </w:t>
      </w:r>
      <w:r w:rsidR="00243213" w:rsidRPr="00D33F79">
        <w:rPr>
          <w:rFonts w:ascii="Times New Roman" w:eastAsia="Calibri" w:hAnsi="Times New Roman" w:cs="Times New Roman"/>
          <w:noProof/>
          <w:sz w:val="24"/>
          <w:szCs w:val="24"/>
          <w:lang w:val="en-IE"/>
        </w:rPr>
        <w:t>2018-2021.</w:t>
      </w:r>
      <w:r w:rsidR="00FC7120" w:rsidRPr="00D33F79">
        <w:rPr>
          <w:rFonts w:ascii="Times New Roman" w:eastAsia="Calibri" w:hAnsi="Times New Roman" w:cs="Times New Roman"/>
          <w:noProof/>
          <w:sz w:val="24"/>
          <w:szCs w:val="24"/>
          <w:lang w:val="en-IE"/>
        </w:rPr>
        <w:t xml:space="preserve"> </w:t>
      </w:r>
    </w:p>
    <w:p w14:paraId="3D97A26C" w14:textId="77777777" w:rsidR="00B20809" w:rsidRPr="00D33F79" w:rsidRDefault="00B20809" w:rsidP="00B20809">
      <w:pPr>
        <w:contextualSpacing/>
        <w:jc w:val="both"/>
        <w:rPr>
          <w:rFonts w:ascii="Times New Roman" w:eastAsia="Calibri" w:hAnsi="Times New Roman" w:cs="Times New Roman"/>
          <w:noProof/>
          <w:sz w:val="24"/>
          <w:szCs w:val="24"/>
          <w:lang w:val="en-IE"/>
        </w:rPr>
      </w:pPr>
    </w:p>
    <w:p w14:paraId="103DED87" w14:textId="4BD20ACA" w:rsidR="00B20809" w:rsidRPr="00D33F79" w:rsidRDefault="00B20809" w:rsidP="00B20809">
      <w:pPr>
        <w:numPr>
          <w:ilvl w:val="0"/>
          <w:numId w:val="3"/>
        </w:numPr>
        <w:jc w:val="both"/>
        <w:textAlignment w:val="baseline"/>
        <w:rPr>
          <w:rFonts w:ascii="Times New Roman" w:eastAsia="Times New Roman" w:hAnsi="Times New Roman" w:cs="Times New Roman"/>
          <w:b/>
          <w:bCs/>
          <w:noProof/>
          <w:sz w:val="24"/>
          <w:szCs w:val="24"/>
          <w:lang w:val="en-IE"/>
        </w:rPr>
      </w:pPr>
      <w:r w:rsidRPr="00D33F79">
        <w:rPr>
          <w:rFonts w:ascii="Times New Roman" w:eastAsia="Times New Roman" w:hAnsi="Times New Roman" w:cs="Times New Roman"/>
          <w:b/>
          <w:bCs/>
          <w:noProof/>
          <w:sz w:val="24"/>
          <w:szCs w:val="24"/>
          <w:lang w:val="en-IE"/>
        </w:rPr>
        <w:t xml:space="preserve">The implementation of the EU Maritime MRV </w:t>
      </w:r>
      <w:r w:rsidR="009B4BC1" w:rsidRPr="00D33F79">
        <w:rPr>
          <w:rFonts w:ascii="Times New Roman" w:eastAsia="Times New Roman" w:hAnsi="Times New Roman" w:cs="Times New Roman"/>
          <w:b/>
          <w:bCs/>
          <w:noProof/>
          <w:sz w:val="24"/>
          <w:szCs w:val="24"/>
          <w:lang w:val="en-IE"/>
        </w:rPr>
        <w:t>Regulation in</w:t>
      </w:r>
      <w:r w:rsidRPr="00D33F79">
        <w:rPr>
          <w:rFonts w:ascii="Times New Roman" w:eastAsia="Times New Roman" w:hAnsi="Times New Roman" w:cs="Times New Roman"/>
          <w:b/>
          <w:bCs/>
          <w:noProof/>
          <w:sz w:val="24"/>
          <w:szCs w:val="24"/>
          <w:lang w:val="en-IE"/>
        </w:rPr>
        <w:t xml:space="preserve"> 2022</w:t>
      </w:r>
    </w:p>
    <w:p w14:paraId="19915302" w14:textId="0B26067A" w:rsidR="00BC5F01" w:rsidRPr="00D33F79" w:rsidRDefault="00FD572B" w:rsidP="00CE467C">
      <w:pPr>
        <w:spacing w:before="120" w:after="120"/>
        <w:jc w:val="both"/>
        <w:rPr>
          <w:rFonts w:ascii="Times New Roman" w:eastAsia="Calibri" w:hAnsi="Times New Roman" w:cs="Times New Roman"/>
          <w:noProof/>
          <w:sz w:val="24"/>
          <w:szCs w:val="24"/>
          <w:lang w:val="en-IE"/>
        </w:rPr>
      </w:pPr>
      <w:r w:rsidRPr="00D33F79">
        <w:rPr>
          <w:rFonts w:ascii="Times New Roman" w:eastAsia="Calibri" w:hAnsi="Times New Roman" w:cs="Times New Roman"/>
          <w:noProof/>
          <w:sz w:val="24"/>
          <w:szCs w:val="24"/>
          <w:lang w:val="en-IE"/>
        </w:rPr>
        <w:t xml:space="preserve">In terms of implementation of the EU Maritime MRV Regulation, </w:t>
      </w:r>
      <w:r w:rsidR="006C1530" w:rsidRPr="00D33F79">
        <w:rPr>
          <w:rFonts w:ascii="Times New Roman" w:eastAsia="Calibri" w:hAnsi="Times New Roman" w:cs="Times New Roman"/>
          <w:noProof/>
          <w:sz w:val="24"/>
          <w:szCs w:val="24"/>
          <w:lang w:val="en-IE"/>
        </w:rPr>
        <w:t xml:space="preserve">the </w:t>
      </w:r>
      <w:r w:rsidR="00271346" w:rsidRPr="00D33F79">
        <w:rPr>
          <w:rFonts w:ascii="Times New Roman" w:eastAsia="Calibri" w:hAnsi="Times New Roman" w:cs="Times New Roman"/>
          <w:noProof/>
          <w:sz w:val="24"/>
          <w:szCs w:val="24"/>
          <w:lang w:val="en-IE"/>
        </w:rPr>
        <w:t xml:space="preserve">2022 </w:t>
      </w:r>
      <w:r w:rsidR="00757A0A">
        <w:rPr>
          <w:rFonts w:ascii="Times New Roman" w:eastAsia="Calibri" w:hAnsi="Times New Roman" w:cs="Times New Roman"/>
          <w:noProof/>
          <w:sz w:val="24"/>
          <w:szCs w:val="24"/>
          <w:lang w:val="en-IE"/>
        </w:rPr>
        <w:t xml:space="preserve">results </w:t>
      </w:r>
      <w:r w:rsidR="006C1530" w:rsidRPr="00D33F79">
        <w:rPr>
          <w:rFonts w:ascii="Times New Roman" w:eastAsia="Calibri" w:hAnsi="Times New Roman" w:cs="Times New Roman"/>
          <w:noProof/>
          <w:sz w:val="24"/>
          <w:szCs w:val="24"/>
          <w:lang w:val="en-IE"/>
        </w:rPr>
        <w:t>confirm</w:t>
      </w:r>
      <w:r w:rsidR="3302E499" w:rsidRPr="00D33F79">
        <w:rPr>
          <w:rFonts w:ascii="Times New Roman" w:eastAsia="Calibri" w:hAnsi="Times New Roman" w:cs="Times New Roman"/>
          <w:noProof/>
          <w:sz w:val="24"/>
          <w:szCs w:val="24"/>
          <w:lang w:val="en-IE"/>
        </w:rPr>
        <w:t xml:space="preserve"> the</w:t>
      </w:r>
      <w:r w:rsidRPr="00D33F79">
        <w:rPr>
          <w:rFonts w:ascii="Times New Roman" w:eastAsia="Calibri" w:hAnsi="Times New Roman" w:cs="Times New Roman"/>
          <w:noProof/>
          <w:sz w:val="24"/>
          <w:szCs w:val="24"/>
          <w:lang w:val="en-IE"/>
        </w:rPr>
        <w:t xml:space="preserve"> continu</w:t>
      </w:r>
      <w:r w:rsidR="00757A0A">
        <w:rPr>
          <w:rFonts w:ascii="Times New Roman" w:eastAsia="Calibri" w:hAnsi="Times New Roman" w:cs="Times New Roman"/>
          <w:noProof/>
          <w:sz w:val="24"/>
          <w:szCs w:val="24"/>
          <w:lang w:val="en-IE"/>
        </w:rPr>
        <w:t>ing</w:t>
      </w:r>
      <w:r w:rsidRPr="00D33F79">
        <w:rPr>
          <w:rFonts w:ascii="Times New Roman" w:eastAsia="Calibri" w:hAnsi="Times New Roman" w:cs="Times New Roman"/>
          <w:noProof/>
          <w:sz w:val="24"/>
          <w:szCs w:val="24"/>
          <w:lang w:val="en-IE"/>
        </w:rPr>
        <w:t xml:space="preserve"> improvement </w:t>
      </w:r>
      <w:r w:rsidR="00271346" w:rsidRPr="00D33F79">
        <w:rPr>
          <w:rFonts w:ascii="Times New Roman" w:eastAsia="Calibri" w:hAnsi="Times New Roman" w:cs="Times New Roman"/>
          <w:noProof/>
          <w:sz w:val="24"/>
          <w:szCs w:val="24"/>
          <w:lang w:val="en-IE"/>
        </w:rPr>
        <w:t xml:space="preserve">in the </w:t>
      </w:r>
      <w:r w:rsidRPr="00D33F79">
        <w:rPr>
          <w:rFonts w:ascii="Times New Roman" w:eastAsia="Calibri" w:hAnsi="Times New Roman" w:cs="Times New Roman"/>
          <w:noProof/>
          <w:sz w:val="24"/>
          <w:szCs w:val="24"/>
          <w:lang w:val="en-IE"/>
        </w:rPr>
        <w:t>quality of data</w:t>
      </w:r>
      <w:r w:rsidR="00757A0A">
        <w:rPr>
          <w:rFonts w:ascii="Times New Roman" w:eastAsia="Calibri" w:hAnsi="Times New Roman" w:cs="Times New Roman"/>
          <w:noProof/>
          <w:sz w:val="24"/>
          <w:szCs w:val="24"/>
          <w:lang w:val="en-IE"/>
        </w:rPr>
        <w:t>. However,</w:t>
      </w:r>
      <w:r w:rsidRPr="00D33F79">
        <w:rPr>
          <w:rFonts w:ascii="Times New Roman" w:eastAsia="Calibri" w:hAnsi="Times New Roman" w:cs="Times New Roman"/>
          <w:noProof/>
          <w:sz w:val="24"/>
          <w:szCs w:val="24"/>
          <w:lang w:val="en-IE"/>
        </w:rPr>
        <w:t xml:space="preserve"> punctuality in data submission decreased after considerable improvements in the first </w:t>
      </w:r>
      <w:r w:rsidR="00757A0A">
        <w:rPr>
          <w:rFonts w:ascii="Times New Roman" w:eastAsia="Calibri" w:hAnsi="Times New Roman" w:cs="Times New Roman"/>
          <w:noProof/>
          <w:sz w:val="24"/>
          <w:szCs w:val="24"/>
          <w:lang w:val="en-IE"/>
        </w:rPr>
        <w:t xml:space="preserve">4 </w:t>
      </w:r>
      <w:r w:rsidRPr="00D33F79">
        <w:rPr>
          <w:rFonts w:ascii="Times New Roman" w:eastAsia="Calibri" w:hAnsi="Times New Roman" w:cs="Times New Roman"/>
          <w:noProof/>
          <w:sz w:val="24"/>
          <w:szCs w:val="24"/>
          <w:lang w:val="en-IE"/>
        </w:rPr>
        <w:t xml:space="preserve">reporting years. </w:t>
      </w:r>
      <w:bookmarkEnd w:id="0"/>
    </w:p>
    <w:sectPr w:rsidR="00BC5F01" w:rsidRPr="00D33F79" w:rsidSect="002F72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2A461" w14:textId="77777777" w:rsidR="00CE33F3" w:rsidRDefault="00CE33F3" w:rsidP="0032594D">
      <w:pPr>
        <w:spacing w:after="0" w:line="240" w:lineRule="auto"/>
      </w:pPr>
      <w:r>
        <w:separator/>
      </w:r>
    </w:p>
  </w:endnote>
  <w:endnote w:type="continuationSeparator" w:id="0">
    <w:p w14:paraId="253D9E90" w14:textId="77777777" w:rsidR="00CE33F3" w:rsidRDefault="00CE33F3" w:rsidP="0032594D">
      <w:pPr>
        <w:spacing w:after="0" w:line="240" w:lineRule="auto"/>
      </w:pPr>
      <w:r>
        <w:continuationSeparator/>
      </w:r>
    </w:p>
  </w:endnote>
  <w:endnote w:type="continuationNotice" w:id="1">
    <w:p w14:paraId="2CD091CB" w14:textId="77777777" w:rsidR="00CE33F3" w:rsidRDefault="00CE3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001E" w14:textId="45A6D684" w:rsidR="00F12BC6" w:rsidRPr="00F12BC6" w:rsidRDefault="00F12BC6" w:rsidP="00F12BC6">
    <w:pPr>
      <w:pStyle w:val="FooterCoverPage"/>
      <w:rPr>
        <w:rFonts w:ascii="Arial" w:hAnsi="Arial" w:cs="Arial"/>
        <w:b/>
        <w:sz w:val="48"/>
      </w:rPr>
    </w:pPr>
    <w:r w:rsidRPr="00F12BC6">
      <w:rPr>
        <w:rFonts w:ascii="Arial" w:hAnsi="Arial" w:cs="Arial"/>
        <w:b/>
        <w:sz w:val="48"/>
      </w:rPr>
      <w:t>EN</w:t>
    </w:r>
    <w:r w:rsidRPr="00F12BC6">
      <w:rPr>
        <w:rFonts w:ascii="Arial" w:hAnsi="Arial" w:cs="Arial"/>
        <w:b/>
        <w:sz w:val="48"/>
      </w:rPr>
      <w:tab/>
    </w:r>
    <w:r w:rsidRPr="00F12BC6">
      <w:rPr>
        <w:rFonts w:ascii="Arial" w:hAnsi="Arial" w:cs="Arial"/>
        <w:b/>
        <w:sz w:val="48"/>
      </w:rPr>
      <w:tab/>
    </w:r>
    <w:r w:rsidRPr="00F12BC6">
      <w:tab/>
    </w:r>
    <w:r w:rsidRPr="00F12BC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B6C5" w14:textId="293A7DDF" w:rsidR="00F12BC6" w:rsidRPr="00F12BC6" w:rsidRDefault="00F12BC6" w:rsidP="00F12BC6">
    <w:pPr>
      <w:pStyle w:val="FooterCoverPage"/>
      <w:rPr>
        <w:rFonts w:ascii="Arial" w:hAnsi="Arial" w:cs="Arial"/>
        <w:b/>
        <w:sz w:val="48"/>
      </w:rPr>
    </w:pPr>
    <w:r w:rsidRPr="00F12BC6">
      <w:rPr>
        <w:rFonts w:ascii="Arial" w:hAnsi="Arial" w:cs="Arial"/>
        <w:b/>
        <w:sz w:val="48"/>
      </w:rPr>
      <w:t>EN</w:t>
    </w:r>
    <w:r w:rsidRPr="00F12BC6">
      <w:rPr>
        <w:rFonts w:ascii="Arial" w:hAnsi="Arial" w:cs="Arial"/>
        <w:b/>
        <w:sz w:val="48"/>
      </w:rPr>
      <w:tab/>
    </w:r>
    <w:r w:rsidRPr="00F12BC6">
      <w:rPr>
        <w:rFonts w:ascii="Arial" w:hAnsi="Arial" w:cs="Arial"/>
        <w:b/>
        <w:sz w:val="48"/>
      </w:rPr>
      <w:tab/>
    </w:r>
    <w:r w:rsidRPr="00F12BC6">
      <w:tab/>
    </w:r>
    <w:r w:rsidRPr="00F12BC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04D3" w14:textId="77777777" w:rsidR="00F12BC6" w:rsidRPr="00F12BC6" w:rsidRDefault="00F12BC6" w:rsidP="00F12BC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4DE86" w14:textId="77777777" w:rsidR="002F72EE" w:rsidRDefault="002F72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98236"/>
      <w:docPartObj>
        <w:docPartGallery w:val="Page Numbers (Bottom of Page)"/>
        <w:docPartUnique/>
      </w:docPartObj>
    </w:sdtPr>
    <w:sdtEndPr>
      <w:rPr>
        <w:noProof/>
      </w:rPr>
    </w:sdtEndPr>
    <w:sdtContent>
      <w:p w14:paraId="0A744477" w14:textId="32D09C1B" w:rsidR="002F72EE" w:rsidRDefault="002F72EE">
        <w:pPr>
          <w:pStyle w:val="Footer"/>
          <w:jc w:val="right"/>
        </w:pPr>
        <w:r>
          <w:fldChar w:fldCharType="begin"/>
        </w:r>
        <w:r>
          <w:instrText xml:space="preserve"> PAGE   \* MERGEFORMAT </w:instrText>
        </w:r>
        <w:r>
          <w:fldChar w:fldCharType="separate"/>
        </w:r>
        <w:r w:rsidR="00F12BC6">
          <w:rPr>
            <w:noProof/>
          </w:rPr>
          <w:t>1</w:t>
        </w:r>
        <w:r>
          <w:rPr>
            <w:noProof/>
          </w:rPr>
          <w:fldChar w:fldCharType="end"/>
        </w:r>
      </w:p>
    </w:sdtContent>
  </w:sdt>
  <w:p w14:paraId="29734CBE" w14:textId="77777777" w:rsidR="002F72EE" w:rsidRDefault="002F72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630D4" w14:textId="77777777" w:rsidR="002F72EE" w:rsidRDefault="002F7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11130" w14:textId="77777777" w:rsidR="00CE33F3" w:rsidRDefault="00CE33F3" w:rsidP="0032594D">
      <w:pPr>
        <w:spacing w:after="0" w:line="240" w:lineRule="auto"/>
      </w:pPr>
      <w:r>
        <w:separator/>
      </w:r>
    </w:p>
  </w:footnote>
  <w:footnote w:type="continuationSeparator" w:id="0">
    <w:p w14:paraId="1598B6A6" w14:textId="77777777" w:rsidR="00CE33F3" w:rsidRDefault="00CE33F3" w:rsidP="0032594D">
      <w:pPr>
        <w:spacing w:after="0" w:line="240" w:lineRule="auto"/>
      </w:pPr>
      <w:r>
        <w:continuationSeparator/>
      </w:r>
    </w:p>
  </w:footnote>
  <w:footnote w:type="continuationNotice" w:id="1">
    <w:p w14:paraId="0C718E98" w14:textId="77777777" w:rsidR="00CE33F3" w:rsidRDefault="00CE33F3">
      <w:pPr>
        <w:spacing w:after="0" w:line="240" w:lineRule="auto"/>
      </w:pPr>
    </w:p>
  </w:footnote>
  <w:footnote w:id="2">
    <w:p w14:paraId="31F4C434" w14:textId="7767832C" w:rsidR="00133E49" w:rsidRPr="00BD358A" w:rsidRDefault="00133E49" w:rsidP="00757A0A">
      <w:pPr>
        <w:pStyle w:val="FootnoteText"/>
        <w:jc w:val="both"/>
        <w:rPr>
          <w:rFonts w:ascii="Times New Roman" w:hAnsi="Times New Roman" w:cs="Times New Roman"/>
        </w:rPr>
      </w:pPr>
      <w:r w:rsidRPr="0047323A">
        <w:rPr>
          <w:rStyle w:val="FootnoteReference"/>
          <w:rFonts w:ascii="Times New Roman" w:hAnsi="Times New Roman" w:cs="Times New Roman"/>
        </w:rPr>
        <w:footnoteRef/>
      </w:r>
      <w:r w:rsidR="00EB3FA4">
        <w:rPr>
          <w:rFonts w:ascii="Segoe UI" w:hAnsi="Segoe UI" w:cs="Segoe UI"/>
          <w:b/>
          <w:bCs/>
          <w:color w:val="333333"/>
          <w:sz w:val="21"/>
          <w:szCs w:val="21"/>
          <w:shd w:val="clear" w:color="auto" w:fill="FFFFFF"/>
        </w:rPr>
        <w:t> </w:t>
      </w:r>
      <w:r w:rsidR="6EEDDE4A" w:rsidRPr="68D47371">
        <w:rPr>
          <w:rFonts w:ascii="Times New Roman" w:hAnsi="Times New Roman" w:cs="Times New Roman"/>
        </w:rPr>
        <w:t>Regulation (EU) 2015/757 of the European Parliament and of the Council of 29</w:t>
      </w:r>
      <w:r w:rsidR="00534963">
        <w:rPr>
          <w:rFonts w:ascii="Times New Roman" w:hAnsi="Times New Roman" w:cs="Times New Roman"/>
        </w:rPr>
        <w:t> </w:t>
      </w:r>
      <w:r w:rsidR="6EEDDE4A" w:rsidRPr="68D47371">
        <w:rPr>
          <w:rFonts w:ascii="Times New Roman" w:hAnsi="Times New Roman" w:cs="Times New Roman"/>
        </w:rPr>
        <w:t>April</w:t>
      </w:r>
      <w:r w:rsidR="00534963">
        <w:rPr>
          <w:rFonts w:ascii="Times New Roman" w:hAnsi="Times New Roman" w:cs="Times New Roman"/>
        </w:rPr>
        <w:t> </w:t>
      </w:r>
      <w:r w:rsidR="6EEDDE4A" w:rsidRPr="68D47371">
        <w:rPr>
          <w:rFonts w:ascii="Times New Roman" w:hAnsi="Times New Roman" w:cs="Times New Roman"/>
        </w:rPr>
        <w:t>2015 on the monitoring, reporting and verification of carbon dioxide emissions from maritime transport, and amending Directive</w:t>
      </w:r>
      <w:r w:rsidR="006D2800">
        <w:rPr>
          <w:rFonts w:ascii="Times New Roman" w:hAnsi="Times New Roman" w:cs="Times New Roman"/>
        </w:rPr>
        <w:t> </w:t>
      </w:r>
      <w:r w:rsidR="00D56CFC">
        <w:rPr>
          <w:rFonts w:ascii="Times New Roman" w:hAnsi="Times New Roman" w:cs="Times New Roman"/>
        </w:rPr>
        <w:t>2</w:t>
      </w:r>
      <w:r w:rsidR="6EEDDE4A" w:rsidRPr="68D47371">
        <w:rPr>
          <w:rFonts w:ascii="Times New Roman" w:hAnsi="Times New Roman" w:cs="Times New Roman"/>
        </w:rPr>
        <w:t>009/16/EC, OJ</w:t>
      </w:r>
      <w:r w:rsidR="006D2800">
        <w:rPr>
          <w:rFonts w:ascii="Times New Roman" w:hAnsi="Times New Roman" w:cs="Times New Roman"/>
        </w:rPr>
        <w:t> </w:t>
      </w:r>
      <w:r w:rsidR="6EEDDE4A" w:rsidRPr="68D47371">
        <w:rPr>
          <w:rFonts w:ascii="Times New Roman" w:hAnsi="Times New Roman" w:cs="Times New Roman"/>
        </w:rPr>
        <w:t>L</w:t>
      </w:r>
      <w:r w:rsidR="006D2800">
        <w:rPr>
          <w:rFonts w:ascii="Times New Roman" w:hAnsi="Times New Roman" w:cs="Times New Roman"/>
        </w:rPr>
        <w:t> </w:t>
      </w:r>
      <w:r w:rsidR="6EEDDE4A" w:rsidRPr="68D47371">
        <w:rPr>
          <w:rFonts w:ascii="Times New Roman" w:hAnsi="Times New Roman" w:cs="Times New Roman"/>
        </w:rPr>
        <w:t>123, 19.5.2015, p.</w:t>
      </w:r>
      <w:r w:rsidR="006D2800">
        <w:rPr>
          <w:rFonts w:ascii="Times New Roman" w:hAnsi="Times New Roman" w:cs="Times New Roman"/>
        </w:rPr>
        <w:t> </w:t>
      </w:r>
      <w:r w:rsidR="6EEDDE4A" w:rsidRPr="68D47371">
        <w:rPr>
          <w:rFonts w:ascii="Times New Roman" w:hAnsi="Times New Roman" w:cs="Times New Roman"/>
        </w:rPr>
        <w:t>55.</w:t>
      </w:r>
    </w:p>
  </w:footnote>
  <w:footnote w:id="3">
    <w:p w14:paraId="005C38CF" w14:textId="0D63EA55" w:rsidR="000417D9" w:rsidRPr="0002478A" w:rsidRDefault="000417D9" w:rsidP="0002478A">
      <w:pPr>
        <w:pStyle w:val="FootnoteText"/>
        <w:jc w:val="both"/>
        <w:rPr>
          <w:rFonts w:ascii="Times New Roman" w:hAnsi="Times New Roman" w:cs="Times New Roman"/>
          <w:lang w:val="en-US"/>
        </w:rPr>
      </w:pPr>
      <w:r w:rsidRPr="0047323A">
        <w:rPr>
          <w:rStyle w:val="FootnoteReference"/>
          <w:rFonts w:ascii="Times New Roman" w:hAnsi="Times New Roman" w:cs="Times New Roman"/>
        </w:rPr>
        <w:footnoteRef/>
      </w:r>
      <w:r w:rsidR="00EB3FA4">
        <w:rPr>
          <w:rFonts w:ascii="Times New Roman" w:hAnsi="Times New Roman" w:cs="Times New Roman"/>
        </w:rPr>
        <w:t> </w:t>
      </w:r>
      <w:r w:rsidR="6EEDDE4A" w:rsidRPr="0047323A">
        <w:rPr>
          <w:rFonts w:ascii="Times New Roman" w:hAnsi="Times New Roman" w:cs="Times New Roman"/>
        </w:rPr>
        <w:t>Commun</w:t>
      </w:r>
      <w:r w:rsidR="6EEDDE4A">
        <w:rPr>
          <w:rFonts w:ascii="Times New Roman" w:hAnsi="Times New Roman" w:cs="Times New Roman"/>
        </w:rPr>
        <w:t>ication C(2020) 3184</w:t>
      </w:r>
      <w:r w:rsidR="000F4ED5">
        <w:rPr>
          <w:rFonts w:ascii="Times New Roman" w:hAnsi="Times New Roman" w:cs="Times New Roman"/>
        </w:rPr>
        <w:t> </w:t>
      </w:r>
      <w:r w:rsidR="6EEDDE4A">
        <w:rPr>
          <w:rFonts w:ascii="Times New Roman" w:hAnsi="Times New Roman" w:cs="Times New Roman"/>
        </w:rPr>
        <w:t xml:space="preserve">final, </w:t>
      </w:r>
      <w:r w:rsidR="00EF63A7">
        <w:rPr>
          <w:rFonts w:ascii="Times New Roman" w:hAnsi="Times New Roman" w:cs="Times New Roman"/>
          <w:lang w:val="en-US"/>
        </w:rPr>
        <w:t>2019</w:t>
      </w:r>
      <w:r w:rsidR="00EF63A7" w:rsidRPr="00EF63A7">
        <w:rPr>
          <w:rFonts w:ascii="Times New Roman" w:hAnsi="Times New Roman" w:cs="Times New Roman"/>
          <w:lang w:val="en-US"/>
        </w:rPr>
        <w:t xml:space="preserve"> Annual Report from the European Commission on CO</w:t>
      </w:r>
      <w:r w:rsidR="00EF63A7" w:rsidRPr="00EF63A7">
        <w:rPr>
          <w:rFonts w:ascii="Times New Roman" w:hAnsi="Times New Roman" w:cs="Times New Roman"/>
          <w:vertAlign w:val="subscript"/>
          <w:lang w:val="en-US"/>
        </w:rPr>
        <w:t>2</w:t>
      </w:r>
      <w:r w:rsidR="00EF63A7" w:rsidRPr="00EF63A7">
        <w:rPr>
          <w:rFonts w:ascii="Times New Roman" w:hAnsi="Times New Roman" w:cs="Times New Roman"/>
          <w:lang w:val="en-US"/>
        </w:rPr>
        <w:t xml:space="preserve"> Emissions from Maritime</w:t>
      </w:r>
      <w:r w:rsidR="0002478A">
        <w:rPr>
          <w:rFonts w:ascii="Times New Roman" w:hAnsi="Times New Roman" w:cs="Times New Roman"/>
          <w:lang w:val="en-US"/>
        </w:rPr>
        <w:t>Transport,</w:t>
      </w:r>
      <w:hyperlink r:id="rId1" w:history="1">
        <w:r w:rsidR="0002478A" w:rsidRPr="00BE7FFC">
          <w:rPr>
            <w:rStyle w:val="Hyperlink"/>
            <w:rFonts w:ascii="Times New Roman" w:hAnsi="Times New Roman" w:cs="Times New Roman"/>
            <w:lang w:val="en-US"/>
          </w:rPr>
          <w:t>https://climate.ec.europa.eu/document/download/676175fd-f8db-40fb-b37a-cc7323c680a2_en?filename=c_2020_3184_en.pdf</w:t>
        </w:r>
      </w:hyperlink>
      <w:r w:rsidR="00EF63A7">
        <w:rPr>
          <w:rFonts w:ascii="Times New Roman" w:hAnsi="Times New Roman" w:cs="Times New Roman"/>
          <w:lang w:val="en-US"/>
        </w:rPr>
        <w:t xml:space="preserve">, </w:t>
      </w:r>
      <w:r w:rsidR="6EEDDE4A" w:rsidRPr="0047323A">
        <w:rPr>
          <w:rFonts w:ascii="Times New Roman" w:hAnsi="Times New Roman" w:cs="Times New Roman"/>
        </w:rPr>
        <w:t>C</w:t>
      </w:r>
      <w:r w:rsidR="6EEDDE4A">
        <w:rPr>
          <w:rFonts w:ascii="Times New Roman" w:hAnsi="Times New Roman" w:cs="Times New Roman"/>
        </w:rPr>
        <w:t>ommunication</w:t>
      </w:r>
      <w:r w:rsidR="000F4ED5">
        <w:rPr>
          <w:rFonts w:ascii="Times New Roman" w:hAnsi="Times New Roman" w:cs="Times New Roman"/>
        </w:rPr>
        <w:t> </w:t>
      </w:r>
      <w:r w:rsidR="6EEDDE4A">
        <w:rPr>
          <w:rFonts w:ascii="Times New Roman" w:hAnsi="Times New Roman" w:cs="Times New Roman"/>
        </w:rPr>
        <w:t>C(2021)</w:t>
      </w:r>
      <w:r w:rsidR="000F4ED5">
        <w:rPr>
          <w:rFonts w:ascii="Times New Roman" w:hAnsi="Times New Roman" w:cs="Times New Roman"/>
        </w:rPr>
        <w:t> </w:t>
      </w:r>
      <w:r w:rsidR="6EEDDE4A">
        <w:rPr>
          <w:rFonts w:ascii="Times New Roman" w:hAnsi="Times New Roman" w:cs="Times New Roman"/>
        </w:rPr>
        <w:t>6022 final,</w:t>
      </w:r>
      <w:r w:rsidR="00EF63A7">
        <w:rPr>
          <w:rFonts w:ascii="Times New Roman" w:hAnsi="Times New Roman" w:cs="Times New Roman"/>
        </w:rPr>
        <w:t xml:space="preserve"> </w:t>
      </w:r>
      <w:r w:rsidR="00EF63A7">
        <w:rPr>
          <w:rFonts w:ascii="Times New Roman" w:hAnsi="Times New Roman" w:cs="Times New Roman"/>
          <w:lang w:val="en-US"/>
        </w:rPr>
        <w:t>2020</w:t>
      </w:r>
      <w:r w:rsidR="00EF63A7" w:rsidRPr="00EF63A7">
        <w:rPr>
          <w:rFonts w:ascii="Times New Roman" w:hAnsi="Times New Roman" w:cs="Times New Roman"/>
          <w:lang w:val="en-US"/>
        </w:rPr>
        <w:t xml:space="preserve"> Annual Report from the European Commission on CO</w:t>
      </w:r>
      <w:r w:rsidR="00EF63A7" w:rsidRPr="00EF63A7">
        <w:rPr>
          <w:rFonts w:ascii="Times New Roman" w:hAnsi="Times New Roman" w:cs="Times New Roman"/>
          <w:vertAlign w:val="subscript"/>
          <w:lang w:val="en-US"/>
        </w:rPr>
        <w:t>2</w:t>
      </w:r>
      <w:r w:rsidR="00EF63A7" w:rsidRPr="00EF63A7">
        <w:rPr>
          <w:rFonts w:ascii="Times New Roman" w:hAnsi="Times New Roman" w:cs="Times New Roman"/>
          <w:lang w:val="en-US"/>
        </w:rPr>
        <w:t xml:space="preserve"> Emissions from Maritime Transport</w:t>
      </w:r>
      <w:r w:rsidR="00EF63A7">
        <w:rPr>
          <w:rFonts w:ascii="Times New Roman" w:hAnsi="Times New Roman" w:cs="Times New Roman"/>
          <w:lang w:val="en-US"/>
        </w:rPr>
        <w:t xml:space="preserve">, </w:t>
      </w:r>
      <w:hyperlink r:id="rId2" w:history="1">
        <w:r w:rsidR="0002478A" w:rsidRPr="0002478A">
          <w:rPr>
            <w:rStyle w:val="Hyperlink"/>
            <w:rFonts w:ascii="Times New Roman" w:hAnsi="Times New Roman" w:cs="Times New Roman"/>
            <w:lang w:val="en-US"/>
          </w:rPr>
          <w:t>8cd736dc-d508-408c-8cf7-9317048d1ff0_en (europa.eu)</w:t>
        </w:r>
      </w:hyperlink>
      <w:r w:rsidR="00EF63A7">
        <w:rPr>
          <w:rFonts w:ascii="Times New Roman" w:hAnsi="Times New Roman" w:cs="Times New Roman"/>
        </w:rPr>
        <w:t>,</w:t>
      </w:r>
      <w:r w:rsidR="6EEDDE4A">
        <w:rPr>
          <w:rFonts w:ascii="Times New Roman" w:hAnsi="Times New Roman" w:cs="Times New Roman"/>
        </w:rPr>
        <w:t xml:space="preserve"> Communication </w:t>
      </w:r>
      <w:r w:rsidR="6EEDDE4A" w:rsidRPr="002F2A69">
        <w:rPr>
          <w:rFonts w:ascii="Times New Roman" w:hAnsi="Times New Roman" w:cs="Times New Roman"/>
          <w:lang w:val="en-US"/>
        </w:rPr>
        <w:t>C(2022)</w:t>
      </w:r>
      <w:r w:rsidR="000F4ED5">
        <w:rPr>
          <w:rFonts w:ascii="Times New Roman" w:hAnsi="Times New Roman" w:cs="Times New Roman"/>
          <w:lang w:val="en-US"/>
        </w:rPr>
        <w:t> </w:t>
      </w:r>
      <w:r w:rsidR="6EEDDE4A" w:rsidRPr="002F2A69">
        <w:rPr>
          <w:rFonts w:ascii="Times New Roman" w:hAnsi="Times New Roman" w:cs="Times New Roman"/>
          <w:lang w:val="en-US"/>
        </w:rPr>
        <w:t>5759 final</w:t>
      </w:r>
      <w:r w:rsidR="0091071D">
        <w:rPr>
          <w:rFonts w:ascii="Times New Roman" w:hAnsi="Times New Roman" w:cs="Times New Roman"/>
          <w:lang w:val="en-US"/>
        </w:rPr>
        <w:t xml:space="preserve">, </w:t>
      </w:r>
      <w:r w:rsidR="0002478A">
        <w:rPr>
          <w:rFonts w:ascii="Times New Roman" w:hAnsi="Times New Roman" w:cs="Times New Roman"/>
          <w:lang w:val="en-US"/>
        </w:rPr>
        <w:t>Third</w:t>
      </w:r>
      <w:r w:rsidR="00EF63A7" w:rsidRPr="00EF63A7">
        <w:rPr>
          <w:rFonts w:ascii="Times New Roman" w:hAnsi="Times New Roman" w:cs="Times New Roman"/>
          <w:lang w:val="en-US"/>
        </w:rPr>
        <w:t xml:space="preserve"> Annual Report from the European Commission on CO</w:t>
      </w:r>
      <w:r w:rsidR="00EF63A7" w:rsidRPr="00EF63A7">
        <w:rPr>
          <w:rFonts w:ascii="Times New Roman" w:hAnsi="Times New Roman" w:cs="Times New Roman"/>
          <w:vertAlign w:val="subscript"/>
          <w:lang w:val="en-US"/>
        </w:rPr>
        <w:t>2</w:t>
      </w:r>
      <w:r w:rsidR="00EF63A7" w:rsidRPr="00EF63A7">
        <w:rPr>
          <w:rFonts w:ascii="Times New Roman" w:hAnsi="Times New Roman" w:cs="Times New Roman"/>
          <w:lang w:val="en-US"/>
        </w:rPr>
        <w:t xml:space="preserve"> Emissions from Maritime Transport (period 2018-202</w:t>
      </w:r>
      <w:r w:rsidR="0002478A">
        <w:rPr>
          <w:rFonts w:ascii="Times New Roman" w:hAnsi="Times New Roman" w:cs="Times New Roman"/>
          <w:lang w:val="en-US"/>
        </w:rPr>
        <w:t>0</w:t>
      </w:r>
      <w:r w:rsidR="00EF63A7" w:rsidRPr="00EF63A7">
        <w:rPr>
          <w:rFonts w:ascii="Times New Roman" w:hAnsi="Times New Roman" w:cs="Times New Roman"/>
          <w:lang w:val="en-US"/>
        </w:rPr>
        <w:t>)</w:t>
      </w:r>
      <w:r w:rsidR="00EF63A7">
        <w:rPr>
          <w:rFonts w:ascii="Times New Roman" w:hAnsi="Times New Roman" w:cs="Times New Roman"/>
          <w:lang w:val="en-US"/>
        </w:rPr>
        <w:t xml:space="preserve">, </w:t>
      </w:r>
      <w:hyperlink r:id="rId3" w:history="1">
        <w:r w:rsidR="0002478A" w:rsidRPr="00BE7FFC">
          <w:rPr>
            <w:rStyle w:val="Hyperlink"/>
            <w:rFonts w:ascii="Times New Roman" w:hAnsi="Times New Roman" w:cs="Times New Roman"/>
            <w:lang w:val="en-US"/>
          </w:rPr>
          <w:t>https://climate.ec.europa.eu/document/download/06c406a8-df93-4e38-b7ca-9a6929d5bddb_en?filename=c_2022_5759__en.pdf</w:t>
        </w:r>
      </w:hyperlink>
      <w:r w:rsidR="00EF63A7">
        <w:rPr>
          <w:rFonts w:ascii="Times New Roman" w:hAnsi="Times New Roman" w:cs="Times New Roman"/>
          <w:lang w:val="en-US"/>
        </w:rPr>
        <w:t xml:space="preserve">, </w:t>
      </w:r>
      <w:r w:rsidR="0091071D">
        <w:rPr>
          <w:rFonts w:ascii="Times New Roman" w:hAnsi="Times New Roman" w:cs="Times New Roman"/>
          <w:lang w:val="en-US"/>
        </w:rPr>
        <w:t xml:space="preserve">and </w:t>
      </w:r>
      <w:r w:rsidR="0091071D" w:rsidRPr="0091071D">
        <w:rPr>
          <w:rFonts w:ascii="Times New Roman" w:hAnsi="Times New Roman" w:cs="Times New Roman"/>
          <w:lang w:val="en-US"/>
        </w:rPr>
        <w:t>Communication C(202</w:t>
      </w:r>
      <w:r w:rsidR="0091071D">
        <w:rPr>
          <w:rFonts w:ascii="Times New Roman" w:hAnsi="Times New Roman" w:cs="Times New Roman"/>
          <w:lang w:val="en-US"/>
        </w:rPr>
        <w:t>3</w:t>
      </w:r>
      <w:r w:rsidR="0091071D" w:rsidRPr="0091071D">
        <w:rPr>
          <w:rFonts w:ascii="Times New Roman" w:hAnsi="Times New Roman" w:cs="Times New Roman"/>
          <w:lang w:val="en-US"/>
        </w:rPr>
        <w:t>)</w:t>
      </w:r>
      <w:r w:rsidR="000F4ED5">
        <w:rPr>
          <w:rFonts w:ascii="Times New Roman" w:hAnsi="Times New Roman" w:cs="Times New Roman"/>
          <w:lang w:val="en-US"/>
        </w:rPr>
        <w:t> </w:t>
      </w:r>
      <w:r w:rsidR="0091071D">
        <w:rPr>
          <w:rFonts w:ascii="Times New Roman" w:hAnsi="Times New Roman" w:cs="Times New Roman"/>
          <w:lang w:val="en-US"/>
        </w:rPr>
        <w:t>1585</w:t>
      </w:r>
      <w:r w:rsidR="000F4ED5">
        <w:rPr>
          <w:rFonts w:ascii="Times New Roman" w:hAnsi="Times New Roman" w:cs="Times New Roman"/>
          <w:lang w:val="en-US"/>
        </w:rPr>
        <w:t> </w:t>
      </w:r>
      <w:r w:rsidR="0091071D" w:rsidRPr="0091071D">
        <w:rPr>
          <w:rFonts w:ascii="Times New Roman" w:hAnsi="Times New Roman" w:cs="Times New Roman"/>
          <w:lang w:val="en-US"/>
        </w:rPr>
        <w:t>final</w:t>
      </w:r>
      <w:r w:rsidR="00EF63A7">
        <w:rPr>
          <w:rFonts w:ascii="Times New Roman" w:hAnsi="Times New Roman" w:cs="Times New Roman"/>
          <w:lang w:val="en-US"/>
        </w:rPr>
        <w:t xml:space="preserve">, </w:t>
      </w:r>
      <w:r w:rsidR="00EF63A7" w:rsidRPr="00EF63A7">
        <w:rPr>
          <w:rFonts w:ascii="Times New Roman" w:hAnsi="Times New Roman" w:cs="Times New Roman"/>
          <w:lang w:val="en-US"/>
        </w:rPr>
        <w:t>Fourth Annual Report from the European Commission on CO</w:t>
      </w:r>
      <w:r w:rsidR="00EF63A7" w:rsidRPr="001D0E91">
        <w:rPr>
          <w:rFonts w:ascii="Times New Roman" w:hAnsi="Times New Roman" w:cs="Times New Roman"/>
          <w:vertAlign w:val="subscript"/>
          <w:lang w:val="en-US"/>
        </w:rPr>
        <w:t>2</w:t>
      </w:r>
      <w:r w:rsidR="00EF63A7" w:rsidRPr="00EF63A7">
        <w:rPr>
          <w:rFonts w:ascii="Times New Roman" w:hAnsi="Times New Roman" w:cs="Times New Roman"/>
          <w:lang w:val="en-US"/>
        </w:rPr>
        <w:t xml:space="preserve"> Emissions from Maritime Transport (period 2018-2021)</w:t>
      </w:r>
      <w:r w:rsidR="00EF63A7">
        <w:rPr>
          <w:rFonts w:ascii="Times New Roman" w:hAnsi="Times New Roman" w:cs="Times New Roman"/>
          <w:lang w:val="en-US"/>
        </w:rPr>
        <w:t>,</w:t>
      </w:r>
      <w:r w:rsidR="00EF63A7" w:rsidRPr="00EF63A7">
        <w:rPr>
          <w:rFonts w:ascii="Times New Roman" w:hAnsi="Times New Roman" w:cs="Times New Roman"/>
          <w:lang w:val="en-US"/>
        </w:rPr>
        <w:t xml:space="preserve"> </w:t>
      </w:r>
      <w:hyperlink r:id="rId4" w:history="1">
        <w:r w:rsidR="00EF63A7" w:rsidRPr="00EF63A7">
          <w:rPr>
            <w:rStyle w:val="Hyperlink"/>
            <w:rFonts w:ascii="Times New Roman" w:hAnsi="Times New Roman" w:cs="Times New Roman"/>
            <w:lang w:val="en-US"/>
          </w:rPr>
          <w:t>01688bd2-e5a5-48cd-97b7-415fb99666fa_en (europa.eu)</w:t>
        </w:r>
      </w:hyperlink>
      <w:r w:rsidR="00EF63A7">
        <w:rPr>
          <w:rFonts w:ascii="Times New Roman" w:hAnsi="Times New Roman" w:cs="Times New Roman"/>
          <w:lang w:val="en-US"/>
        </w:rPr>
        <w:t xml:space="preserve">, </w:t>
      </w:r>
    </w:p>
  </w:footnote>
  <w:footnote w:id="4">
    <w:p w14:paraId="7E5FD9BB" w14:textId="74F8D9C7" w:rsidR="00A16CAB" w:rsidRPr="0047246B" w:rsidRDefault="00A16CAB" w:rsidP="00757A0A">
      <w:pPr>
        <w:pStyle w:val="FootnoteText"/>
        <w:jc w:val="both"/>
        <w:rPr>
          <w:rFonts w:ascii="Times New Roman" w:hAnsi="Times New Roman" w:cs="Times New Roman"/>
        </w:rPr>
      </w:pPr>
      <w:r w:rsidRPr="0047246B">
        <w:rPr>
          <w:rStyle w:val="FootnoteReference"/>
        </w:rPr>
        <w:footnoteRef/>
      </w:r>
      <w:r w:rsidR="00EB3FA4">
        <w:t> </w:t>
      </w:r>
      <w:r w:rsidR="00651100">
        <w:rPr>
          <w:rFonts w:ascii="Times New Roman" w:eastAsia="Calibri" w:hAnsi="Times New Roman" w:cs="Times New Roman"/>
          <w:color w:val="000000"/>
        </w:rPr>
        <w:t>T</w:t>
      </w:r>
      <w:r w:rsidR="00651100" w:rsidRPr="00CA7933">
        <w:rPr>
          <w:rFonts w:ascii="Times New Roman" w:eastAsia="Calibri" w:hAnsi="Times New Roman" w:cs="Times New Roman"/>
          <w:color w:val="000000"/>
        </w:rPr>
        <w:t>hrough Directive</w:t>
      </w:r>
      <w:r w:rsidR="006D2800">
        <w:rPr>
          <w:rFonts w:ascii="Times New Roman" w:eastAsia="Calibri" w:hAnsi="Times New Roman" w:cs="Times New Roman"/>
          <w:color w:val="000000"/>
        </w:rPr>
        <w:t> </w:t>
      </w:r>
      <w:r w:rsidR="00651100" w:rsidRPr="00CA7933">
        <w:rPr>
          <w:rFonts w:ascii="Times New Roman" w:eastAsia="Calibri" w:hAnsi="Times New Roman" w:cs="Times New Roman"/>
          <w:color w:val="000000"/>
        </w:rPr>
        <w:t>(EU)</w:t>
      </w:r>
      <w:r w:rsidR="006D2800">
        <w:rPr>
          <w:rFonts w:ascii="Times New Roman" w:eastAsia="Calibri" w:hAnsi="Times New Roman" w:cs="Times New Roman"/>
          <w:color w:val="000000"/>
        </w:rPr>
        <w:t> </w:t>
      </w:r>
      <w:r w:rsidR="00651100" w:rsidRPr="00FA1104">
        <w:rPr>
          <w:rFonts w:ascii="Times New Roman" w:eastAsia="Calibri" w:hAnsi="Times New Roman" w:cs="Times New Roman"/>
          <w:color w:val="000000"/>
        </w:rPr>
        <w:t>2023/959,</w:t>
      </w:r>
      <w:r w:rsidR="00651100" w:rsidRPr="00EF63A7">
        <w:rPr>
          <w:rFonts w:ascii="Times New Roman" w:eastAsia="Calibri" w:hAnsi="Times New Roman" w:cs="Times New Roman"/>
          <w:color w:val="000000"/>
        </w:rPr>
        <w:t> </w:t>
      </w:r>
      <w:bookmarkStart w:id="3" w:name="_Hlk152078498"/>
      <w:r w:rsidR="00FA1104" w:rsidRPr="00EF63A7">
        <w:rPr>
          <w:rFonts w:ascii="Times New Roman" w:eastAsia="Calibri" w:hAnsi="Times New Roman" w:cs="Times New Roman"/>
          <w:color w:val="000000"/>
        </w:rPr>
        <w:t>OJ</w:t>
      </w:r>
      <w:r w:rsidR="00FA1104" w:rsidRPr="00FA1104">
        <w:rPr>
          <w:rFonts w:ascii="Times New Roman" w:hAnsi="Times New Roman" w:cs="Times New Roman"/>
        </w:rPr>
        <w:t xml:space="preserve"> L 130</w:t>
      </w:r>
      <w:r w:rsidRPr="00FA1104">
        <w:rPr>
          <w:rFonts w:ascii="Times New Roman" w:hAnsi="Times New Roman" w:cs="Times New Roman"/>
        </w:rPr>
        <w:t>, 16.</w:t>
      </w:r>
      <w:r w:rsidRPr="0047246B">
        <w:rPr>
          <w:rFonts w:ascii="Times New Roman" w:hAnsi="Times New Roman" w:cs="Times New Roman"/>
        </w:rPr>
        <w:t xml:space="preserve">5.2023, </w:t>
      </w:r>
      <w:r w:rsidR="00FA1104">
        <w:rPr>
          <w:rFonts w:ascii="Times New Roman" w:hAnsi="Times New Roman" w:cs="Times New Roman"/>
        </w:rPr>
        <w:t>p.</w:t>
      </w:r>
      <w:r w:rsidR="006D2800">
        <w:rPr>
          <w:rFonts w:ascii="Times New Roman" w:hAnsi="Times New Roman" w:cs="Times New Roman"/>
        </w:rPr>
        <w:t> </w:t>
      </w:r>
      <w:r w:rsidRPr="0047246B">
        <w:rPr>
          <w:rFonts w:ascii="Times New Roman" w:hAnsi="Times New Roman" w:cs="Times New Roman"/>
        </w:rPr>
        <w:t xml:space="preserve">134, </w:t>
      </w:r>
      <w:bookmarkEnd w:id="3"/>
      <w:r w:rsidR="005E4210">
        <w:rPr>
          <w:rFonts w:ascii="Times New Roman" w:hAnsi="Times New Roman" w:cs="Times New Roman"/>
        </w:rPr>
        <w:fldChar w:fldCharType="begin"/>
      </w:r>
      <w:r w:rsidR="005E4210">
        <w:rPr>
          <w:rFonts w:ascii="Times New Roman" w:hAnsi="Times New Roman" w:cs="Times New Roman"/>
        </w:rPr>
        <w:instrText>HYPERLINK "http://data.europa.eu/eli/dir/2023/959/oj"</w:instrText>
      </w:r>
      <w:r w:rsidR="005E4210">
        <w:rPr>
          <w:rFonts w:ascii="Times New Roman" w:hAnsi="Times New Roman" w:cs="Times New Roman"/>
        </w:rPr>
        <w:fldChar w:fldCharType="separate"/>
      </w:r>
      <w:r w:rsidR="005E4210" w:rsidRPr="005E4210">
        <w:rPr>
          <w:rStyle w:val="Hyperlink"/>
          <w:rFonts w:ascii="Times New Roman" w:hAnsi="Times New Roman" w:cs="Times New Roman"/>
        </w:rPr>
        <w:t>http://data.europa.eu/eli/dir/2023/959/oj</w:t>
      </w:r>
      <w:r w:rsidR="005E4210">
        <w:rPr>
          <w:rFonts w:ascii="Times New Roman" w:hAnsi="Times New Roman" w:cs="Times New Roman"/>
        </w:rPr>
        <w:fldChar w:fldCharType="end"/>
      </w:r>
      <w:r w:rsidR="00EB3FA4">
        <w:rPr>
          <w:rFonts w:ascii="Times New Roman" w:hAnsi="Times New Roman" w:cs="Times New Roman"/>
          <w:lang w:val="en-US"/>
        </w:rPr>
        <w:t>.</w:t>
      </w:r>
    </w:p>
  </w:footnote>
  <w:footnote w:id="5">
    <w:p w14:paraId="3E30DF68" w14:textId="28DDE570" w:rsidR="00A16CAB" w:rsidRPr="00A72FD2" w:rsidRDefault="00A16CAB" w:rsidP="00757A0A">
      <w:pPr>
        <w:pStyle w:val="FootnoteText"/>
        <w:jc w:val="both"/>
        <w:rPr>
          <w:rFonts w:ascii="Times New Roman" w:hAnsi="Times New Roman" w:cs="Times New Roman"/>
        </w:rPr>
      </w:pPr>
      <w:r w:rsidRPr="0047246B">
        <w:rPr>
          <w:rStyle w:val="FootnoteReference"/>
        </w:rPr>
        <w:footnoteRef/>
      </w:r>
      <w:r w:rsidR="00EB3FA4" w:rsidRPr="00A72FD2">
        <w:t> </w:t>
      </w:r>
      <w:r w:rsidR="00CA7933" w:rsidRPr="00A72FD2">
        <w:rPr>
          <w:rFonts w:ascii="Times New Roman" w:hAnsi="Times New Roman" w:cs="Times New Roman"/>
        </w:rPr>
        <w:t>Regulation</w:t>
      </w:r>
      <w:r w:rsidR="006D2800" w:rsidRPr="00A72FD2">
        <w:rPr>
          <w:rFonts w:ascii="Times New Roman" w:hAnsi="Times New Roman" w:cs="Times New Roman"/>
        </w:rPr>
        <w:t> </w:t>
      </w:r>
      <w:r w:rsidR="00CA7933" w:rsidRPr="00A72FD2">
        <w:rPr>
          <w:rFonts w:ascii="Times New Roman" w:hAnsi="Times New Roman" w:cs="Times New Roman"/>
        </w:rPr>
        <w:t>(EU)</w:t>
      </w:r>
      <w:r w:rsidR="006D2800" w:rsidRPr="00A72FD2">
        <w:rPr>
          <w:rFonts w:ascii="Times New Roman" w:hAnsi="Times New Roman" w:cs="Times New Roman"/>
        </w:rPr>
        <w:t> </w:t>
      </w:r>
      <w:r w:rsidR="00CA7933" w:rsidRPr="00A72FD2">
        <w:rPr>
          <w:rFonts w:ascii="Times New Roman" w:hAnsi="Times New Roman" w:cs="Times New Roman"/>
        </w:rPr>
        <w:t>2023/1805,</w:t>
      </w:r>
      <w:r w:rsidR="006D2800" w:rsidRPr="00A72FD2">
        <w:rPr>
          <w:rFonts w:ascii="Times New Roman" w:hAnsi="Times New Roman" w:cs="Times New Roman"/>
        </w:rPr>
        <w:t xml:space="preserve"> OJ L 234</w:t>
      </w:r>
      <w:r w:rsidRPr="00A72FD2">
        <w:rPr>
          <w:rFonts w:ascii="Times New Roman" w:hAnsi="Times New Roman" w:cs="Times New Roman"/>
        </w:rPr>
        <w:t xml:space="preserve">, 22.9.2023, </w:t>
      </w:r>
      <w:r w:rsidR="006D2800" w:rsidRPr="00A72FD2">
        <w:rPr>
          <w:rFonts w:ascii="Times New Roman" w:hAnsi="Times New Roman" w:cs="Times New Roman"/>
        </w:rPr>
        <w:t>p. </w:t>
      </w:r>
      <w:r w:rsidRPr="00A72FD2">
        <w:rPr>
          <w:rFonts w:ascii="Times New Roman" w:hAnsi="Times New Roman" w:cs="Times New Roman"/>
        </w:rPr>
        <w:t xml:space="preserve">48, </w:t>
      </w:r>
      <w:hyperlink r:id="rId5" w:history="1">
        <w:r w:rsidR="005E4210" w:rsidRPr="00A72FD2">
          <w:rPr>
            <w:rStyle w:val="Hyperlink"/>
            <w:rFonts w:ascii="Times New Roman" w:hAnsi="Times New Roman" w:cs="Times New Roman"/>
          </w:rPr>
          <w:t>http://data.europa.eu/eli/reg/2023/1805/oj</w:t>
        </w:r>
      </w:hyperlink>
      <w:r w:rsidR="00EB3FA4" w:rsidRPr="00A72FD2">
        <w:rPr>
          <w:rFonts w:ascii="Times New Roman" w:hAnsi="Times New Roman" w:cs="Times New Roman"/>
        </w:rPr>
        <w:t>.</w:t>
      </w:r>
    </w:p>
  </w:footnote>
  <w:footnote w:id="6">
    <w:p w14:paraId="73F77803" w14:textId="4D07A00C" w:rsidR="00A16CAB" w:rsidRPr="00B1441F" w:rsidRDefault="00A16CAB" w:rsidP="00757A0A">
      <w:pPr>
        <w:pStyle w:val="FootnoteText"/>
        <w:jc w:val="both"/>
        <w:rPr>
          <w:lang w:val="nl-NL"/>
        </w:rPr>
      </w:pPr>
      <w:r w:rsidRPr="0047246B">
        <w:rPr>
          <w:rStyle w:val="FootnoteReference"/>
        </w:rPr>
        <w:footnoteRef/>
      </w:r>
      <w:r w:rsidR="00EB3FA4" w:rsidRPr="00A72FD2">
        <w:t> </w:t>
      </w:r>
      <w:r w:rsidR="00785D89" w:rsidRPr="00A72FD2">
        <w:rPr>
          <w:rFonts w:ascii="Times New Roman" w:hAnsi="Times New Roman" w:cs="Times New Roman"/>
        </w:rPr>
        <w:t>Regulation</w:t>
      </w:r>
      <w:r w:rsidR="006D2800" w:rsidRPr="00A72FD2">
        <w:rPr>
          <w:rFonts w:ascii="Times New Roman" w:hAnsi="Times New Roman" w:cs="Times New Roman"/>
        </w:rPr>
        <w:t> </w:t>
      </w:r>
      <w:r w:rsidR="00785D89" w:rsidRPr="00A72FD2">
        <w:rPr>
          <w:rFonts w:ascii="Times New Roman" w:hAnsi="Times New Roman" w:cs="Times New Roman"/>
        </w:rPr>
        <w:t>(EU)</w:t>
      </w:r>
      <w:r w:rsidR="006D2800" w:rsidRPr="00A72FD2">
        <w:rPr>
          <w:rFonts w:ascii="Times New Roman" w:hAnsi="Times New Roman" w:cs="Times New Roman"/>
        </w:rPr>
        <w:t> </w:t>
      </w:r>
      <w:r w:rsidR="00785D89" w:rsidRPr="00A72FD2">
        <w:rPr>
          <w:rFonts w:ascii="Times New Roman" w:hAnsi="Times New Roman" w:cs="Times New Roman"/>
        </w:rPr>
        <w:t>2023/1804,</w:t>
      </w:r>
      <w:r w:rsidR="006D2800" w:rsidRPr="00A72FD2">
        <w:rPr>
          <w:rFonts w:ascii="Times New Roman" w:hAnsi="Times New Roman" w:cs="Times New Roman"/>
        </w:rPr>
        <w:t xml:space="preserve"> OJ L 234</w:t>
      </w:r>
      <w:r w:rsidRPr="00A72FD2">
        <w:rPr>
          <w:rFonts w:ascii="Times New Roman" w:hAnsi="Times New Roman" w:cs="Times New Roman"/>
        </w:rPr>
        <w:t xml:space="preserve">, 22.9.2023, </w:t>
      </w:r>
      <w:r w:rsidR="006D2800" w:rsidRPr="00A72FD2">
        <w:rPr>
          <w:rFonts w:ascii="Times New Roman" w:hAnsi="Times New Roman" w:cs="Times New Roman"/>
        </w:rPr>
        <w:t xml:space="preserve">p. </w:t>
      </w:r>
      <w:r w:rsidRPr="00A72FD2">
        <w:rPr>
          <w:rFonts w:ascii="Times New Roman" w:hAnsi="Times New Roman" w:cs="Times New Roman"/>
        </w:rPr>
        <w:t xml:space="preserve">1, </w:t>
      </w:r>
      <w:hyperlink r:id="rId6" w:history="1">
        <w:r w:rsidR="005E4210" w:rsidRPr="00A72FD2">
          <w:rPr>
            <w:rStyle w:val="Hyperlink"/>
            <w:rFonts w:ascii="Times New Roman" w:hAnsi="Times New Roman" w:cs="Times New Roman"/>
          </w:rPr>
          <w:t>http://data.europa.eu/eli/reg/2023/1804/oj</w:t>
        </w:r>
      </w:hyperlink>
      <w:r w:rsidR="00EB3FA4" w:rsidRPr="00A72FD2">
        <w:rPr>
          <w:rFonts w:ascii="Times New Roman" w:hAnsi="Times New Roman" w:cs="Times New Roman"/>
        </w:rPr>
        <w:t>.</w:t>
      </w:r>
    </w:p>
  </w:footnote>
  <w:footnote w:id="7">
    <w:p w14:paraId="3EB13E1F" w14:textId="64D63F13" w:rsidR="00E12739" w:rsidRPr="00EF63A7" w:rsidRDefault="00E12739" w:rsidP="00EF63A7">
      <w:pPr>
        <w:pStyle w:val="FootnoteText"/>
        <w:jc w:val="both"/>
        <w:rPr>
          <w:lang w:val="nl-NL"/>
        </w:rPr>
      </w:pPr>
      <w:r>
        <w:rPr>
          <w:rStyle w:val="FootnoteReference"/>
        </w:rPr>
        <w:footnoteRef/>
      </w:r>
      <w:r w:rsidR="00B729F3" w:rsidRPr="00EF63A7">
        <w:rPr>
          <w:lang w:val="nl-NL"/>
        </w:rPr>
        <w:t> </w:t>
      </w:r>
      <w:r w:rsidRPr="00EF63A7">
        <w:rPr>
          <w:rFonts w:ascii="Times New Roman" w:hAnsi="Times New Roman" w:cs="Times New Roman"/>
          <w:lang w:val="nl-NL"/>
        </w:rPr>
        <w:t>Directive</w:t>
      </w:r>
      <w:r w:rsidR="009A23C6" w:rsidRPr="00EF63A7">
        <w:rPr>
          <w:rFonts w:ascii="Times New Roman" w:hAnsi="Times New Roman" w:cs="Times New Roman"/>
          <w:lang w:val="nl-NL"/>
        </w:rPr>
        <w:t> </w:t>
      </w:r>
      <w:r w:rsidRPr="00EF63A7">
        <w:rPr>
          <w:rFonts w:ascii="Times New Roman" w:hAnsi="Times New Roman" w:cs="Times New Roman"/>
          <w:lang w:val="nl-NL"/>
        </w:rPr>
        <w:t>(EU)</w:t>
      </w:r>
      <w:r w:rsidR="009A23C6" w:rsidRPr="00EF63A7">
        <w:rPr>
          <w:rFonts w:ascii="Times New Roman" w:hAnsi="Times New Roman" w:cs="Times New Roman"/>
          <w:lang w:val="nl-NL"/>
        </w:rPr>
        <w:t> </w:t>
      </w:r>
      <w:r w:rsidRPr="00EF63A7">
        <w:rPr>
          <w:rFonts w:ascii="Times New Roman" w:hAnsi="Times New Roman" w:cs="Times New Roman"/>
          <w:lang w:val="nl-NL"/>
        </w:rPr>
        <w:t>2023/2413,</w:t>
      </w:r>
      <w:r w:rsidR="009A23C6" w:rsidRPr="00EF63A7">
        <w:rPr>
          <w:rFonts w:ascii="Times New Roman" w:hAnsi="Times New Roman" w:cs="Times New Roman"/>
          <w:lang w:val="nl-NL"/>
        </w:rPr>
        <w:t> </w:t>
      </w:r>
      <w:r w:rsidRPr="00EF63A7">
        <w:rPr>
          <w:rFonts w:ascii="Times New Roman" w:hAnsi="Times New Roman" w:cs="Times New Roman"/>
          <w:lang w:val="nl-NL"/>
        </w:rPr>
        <w:t>OJ</w:t>
      </w:r>
      <w:r w:rsidR="009A23C6" w:rsidRPr="00EF63A7">
        <w:rPr>
          <w:rFonts w:ascii="Times New Roman" w:hAnsi="Times New Roman" w:cs="Times New Roman"/>
          <w:lang w:val="nl-NL"/>
        </w:rPr>
        <w:t> </w:t>
      </w:r>
      <w:r w:rsidRPr="00EF63A7">
        <w:rPr>
          <w:rFonts w:ascii="Times New Roman" w:hAnsi="Times New Roman" w:cs="Times New Roman"/>
          <w:lang w:val="nl-NL"/>
        </w:rPr>
        <w:t>L</w:t>
      </w:r>
      <w:r w:rsidR="009A23C6" w:rsidRPr="00EF63A7">
        <w:rPr>
          <w:rFonts w:ascii="Times New Roman" w:hAnsi="Times New Roman" w:cs="Times New Roman"/>
          <w:lang w:val="nl-NL"/>
        </w:rPr>
        <w:t> </w:t>
      </w:r>
      <w:r w:rsidRPr="00EF63A7">
        <w:rPr>
          <w:rFonts w:ascii="Times New Roman" w:hAnsi="Times New Roman" w:cs="Times New Roman"/>
          <w:lang w:val="nl-NL"/>
        </w:rPr>
        <w:t>2023/2413,</w:t>
      </w:r>
      <w:r w:rsidR="009A23C6" w:rsidRPr="00EF63A7">
        <w:rPr>
          <w:rFonts w:ascii="Times New Roman" w:hAnsi="Times New Roman" w:cs="Times New Roman"/>
          <w:lang w:val="nl-NL"/>
        </w:rPr>
        <w:t> </w:t>
      </w:r>
      <w:r w:rsidRPr="00EF63A7">
        <w:rPr>
          <w:rFonts w:ascii="Times New Roman" w:hAnsi="Times New Roman" w:cs="Times New Roman"/>
          <w:lang w:val="nl-NL"/>
        </w:rPr>
        <w:t>31.10.2023,</w:t>
      </w:r>
      <w:r w:rsidR="009A23C6" w:rsidRPr="00EF63A7">
        <w:rPr>
          <w:rFonts w:ascii="Times New Roman" w:hAnsi="Times New Roman" w:cs="Times New Roman"/>
          <w:lang w:val="nl-NL"/>
        </w:rPr>
        <w:t> </w:t>
      </w:r>
      <w:r w:rsidR="009A23C6">
        <w:rPr>
          <w:rFonts w:ascii="Times New Roman" w:hAnsi="Times New Roman" w:cs="Times New Roman"/>
          <w:lang w:val="nl-NL"/>
        </w:rPr>
        <w:t>ELI:</w:t>
      </w:r>
      <w:r w:rsidR="004271BF">
        <w:rPr>
          <w:rFonts w:ascii="Times New Roman" w:hAnsi="Times New Roman" w:cs="Times New Roman"/>
          <w:lang w:val="nl-NL"/>
        </w:rPr>
        <w:t> </w:t>
      </w:r>
      <w:hyperlink r:id="rId7" w:history="1">
        <w:r w:rsidR="00B729F3" w:rsidRPr="00EF63A7">
          <w:rPr>
            <w:rStyle w:val="Hyperlink"/>
            <w:rFonts w:ascii="Times New Roman" w:hAnsi="Times New Roman" w:cs="Times New Roman"/>
            <w:lang w:val="nl-NL"/>
          </w:rPr>
          <w:t>https://eur-lex.europa.eu/legal-content/EN/TXT/PDF/?uri=OJ:L_202302413</w:t>
        </w:r>
      </w:hyperlink>
      <w:r w:rsidR="00B729F3" w:rsidRPr="00EF63A7">
        <w:rPr>
          <w:rFonts w:ascii="Times New Roman" w:hAnsi="Times New Roman" w:cs="Times New Roman"/>
          <w:bCs/>
          <w:lang w:val="nl-NL"/>
        </w:rPr>
        <w:t>.</w:t>
      </w:r>
    </w:p>
  </w:footnote>
  <w:footnote w:id="8">
    <w:p w14:paraId="08DF7E1C" w14:textId="04D5498F" w:rsidR="004A100B" w:rsidRPr="004A100B" w:rsidRDefault="004A100B" w:rsidP="00EF63A7">
      <w:pPr>
        <w:pStyle w:val="FootnoteText"/>
        <w:jc w:val="both"/>
      </w:pPr>
      <w:r>
        <w:rPr>
          <w:rStyle w:val="FootnoteReference"/>
        </w:rPr>
        <w:footnoteRef/>
      </w:r>
      <w:r w:rsidRPr="008E3496">
        <w:rPr>
          <w:rStyle w:val="FootnoteReference"/>
        </w:rPr>
        <w:t xml:space="preserve"> </w:t>
      </w:r>
      <w:r w:rsidR="00B729F3">
        <w:t> </w:t>
      </w:r>
      <w:r w:rsidRPr="008E3496">
        <w:rPr>
          <w:rFonts w:ascii="Times New Roman" w:hAnsi="Times New Roman" w:cs="Times New Roman"/>
          <w:bCs/>
        </w:rPr>
        <w:t xml:space="preserve">The </w:t>
      </w:r>
      <w:r w:rsidR="00CF6807">
        <w:rPr>
          <w:rFonts w:ascii="Times New Roman" w:hAnsi="Times New Roman" w:cs="Times New Roman"/>
          <w:bCs/>
        </w:rPr>
        <w:t xml:space="preserve">Commission’s proposal for a </w:t>
      </w:r>
      <w:r w:rsidRPr="008E3496">
        <w:rPr>
          <w:rFonts w:ascii="Times New Roman" w:hAnsi="Times New Roman" w:cs="Times New Roman"/>
          <w:bCs/>
        </w:rPr>
        <w:t xml:space="preserve">revision of the </w:t>
      </w:r>
      <w:r w:rsidR="008E3496" w:rsidRPr="008E3496">
        <w:rPr>
          <w:rFonts w:ascii="Times New Roman" w:hAnsi="Times New Roman" w:cs="Times New Roman"/>
          <w:bCs/>
        </w:rPr>
        <w:t>Directive on energy taxation</w:t>
      </w:r>
      <w:r w:rsidR="004271BF">
        <w:rPr>
          <w:rFonts w:ascii="Times New Roman" w:hAnsi="Times New Roman" w:cs="Times New Roman"/>
          <w:bCs/>
        </w:rPr>
        <w:t xml:space="preserve"> (</w:t>
      </w:r>
      <w:r w:rsidR="008E3496" w:rsidRPr="008E3496">
        <w:rPr>
          <w:rFonts w:ascii="Times New Roman" w:hAnsi="Times New Roman" w:cs="Times New Roman"/>
          <w:bCs/>
        </w:rPr>
        <w:t>Council Directive 2003/96/EC of 27</w:t>
      </w:r>
      <w:r w:rsidR="00534963">
        <w:rPr>
          <w:rFonts w:ascii="Times New Roman" w:hAnsi="Times New Roman" w:cs="Times New Roman"/>
          <w:bCs/>
        </w:rPr>
        <w:t> October 2003</w:t>
      </w:r>
      <w:r w:rsidR="004271BF">
        <w:rPr>
          <w:rFonts w:ascii="Times New Roman" w:hAnsi="Times New Roman" w:cs="Times New Roman"/>
          <w:bCs/>
        </w:rPr>
        <w:t>)</w:t>
      </w:r>
      <w:r w:rsidR="008E3496" w:rsidRPr="008E3496">
        <w:rPr>
          <w:rFonts w:ascii="Times New Roman" w:hAnsi="Times New Roman" w:cs="Times New Roman"/>
          <w:bCs/>
        </w:rPr>
        <w:t xml:space="preserve"> is still </w:t>
      </w:r>
      <w:r w:rsidR="00CF6807">
        <w:rPr>
          <w:rFonts w:ascii="Times New Roman" w:hAnsi="Times New Roman" w:cs="Times New Roman"/>
          <w:bCs/>
        </w:rPr>
        <w:t>being considered by the co-legislators</w:t>
      </w:r>
      <w:r w:rsidR="00CF6807" w:rsidRPr="008E3496">
        <w:rPr>
          <w:rFonts w:ascii="Times New Roman" w:hAnsi="Times New Roman" w:cs="Times New Roman"/>
          <w:bCs/>
        </w:rPr>
        <w:t xml:space="preserve"> </w:t>
      </w:r>
      <w:r w:rsidR="008E3496" w:rsidRPr="008E3496">
        <w:rPr>
          <w:rFonts w:ascii="Times New Roman" w:hAnsi="Times New Roman" w:cs="Times New Roman"/>
          <w:bCs/>
        </w:rPr>
        <w:t>at the time of writing.</w:t>
      </w:r>
    </w:p>
  </w:footnote>
  <w:footnote w:id="9">
    <w:p w14:paraId="42EFF124" w14:textId="6ECAFA71" w:rsidR="00615E72" w:rsidRPr="00A72FD2" w:rsidRDefault="00615E72" w:rsidP="00615E72">
      <w:pPr>
        <w:pStyle w:val="FootnoteText"/>
        <w:rPr>
          <w:lang w:val="en-IE"/>
        </w:rPr>
      </w:pPr>
      <w:r>
        <w:rPr>
          <w:rStyle w:val="FootnoteReference"/>
        </w:rPr>
        <w:footnoteRef/>
      </w:r>
      <w:r w:rsidRPr="00A72FD2">
        <w:rPr>
          <w:lang w:val="en-IE"/>
        </w:rPr>
        <w:t xml:space="preserve"> </w:t>
      </w:r>
      <w:r w:rsidRPr="00A72FD2">
        <w:rPr>
          <w:rFonts w:ascii="Times New Roman" w:hAnsi="Times New Roman" w:cs="Times New Roman"/>
          <w:bCs/>
          <w:lang w:val="en-IE"/>
        </w:rPr>
        <w:t>Regulation (EU) 2021/695, OJ L 170, 12.5.2021,</w:t>
      </w:r>
      <w:r w:rsidRPr="00A72FD2">
        <w:rPr>
          <w:lang w:val="en-IE"/>
        </w:rPr>
        <w:t xml:space="preserve"> </w:t>
      </w:r>
      <w:hyperlink r:id="rId8" w:history="1">
        <w:r w:rsidRPr="00A72FD2">
          <w:rPr>
            <w:rStyle w:val="Hyperlink"/>
            <w:rFonts w:ascii="Times New Roman" w:hAnsi="Times New Roman" w:cs="Times New Roman"/>
            <w:bCs/>
            <w:lang w:val="en-IE"/>
          </w:rPr>
          <w:t>https://eur-lex.europa.eu/eli/reg/2021/695/oj</w:t>
        </w:r>
      </w:hyperlink>
      <w:r w:rsidRPr="00A72FD2">
        <w:rPr>
          <w:rStyle w:val="Hyperlink"/>
          <w:rFonts w:ascii="Times New Roman" w:hAnsi="Times New Roman" w:cs="Times New Roman"/>
          <w:bCs/>
          <w:lang w:val="en-IE"/>
        </w:rPr>
        <w:t>.</w:t>
      </w:r>
    </w:p>
  </w:footnote>
  <w:footnote w:id="10">
    <w:p w14:paraId="6ED731CB" w14:textId="73096209" w:rsidR="00615E72" w:rsidRPr="006676CD" w:rsidRDefault="00615E72" w:rsidP="00615E72">
      <w:pPr>
        <w:pStyle w:val="FootnoteText"/>
      </w:pPr>
      <w:r>
        <w:rPr>
          <w:rStyle w:val="FootnoteReference"/>
        </w:rPr>
        <w:footnoteRef/>
      </w:r>
      <w:r>
        <w:t xml:space="preserve"> </w:t>
      </w:r>
      <w:r w:rsidRPr="00615E72">
        <w:rPr>
          <w:rFonts w:ascii="Times New Roman" w:hAnsi="Times New Roman" w:cs="Times New Roman"/>
          <w:bCs/>
        </w:rPr>
        <w:t>Commission Decision C(2021) 4113 of 14.6.2021 on the approval and signature of eleven Memoranda of Understanding for Co-programmed European Partnerships for Research and Innovation</w:t>
      </w:r>
      <w:r>
        <w:rPr>
          <w:rFonts w:ascii="Times New Roman" w:hAnsi="Times New Roman" w:cs="Times New Roman"/>
          <w:bCs/>
        </w:rPr>
        <w:t>.</w:t>
      </w:r>
    </w:p>
  </w:footnote>
  <w:footnote w:id="11">
    <w:p w14:paraId="73B46111" w14:textId="5E85C6F7" w:rsidR="00A16CAB" w:rsidRPr="00A72FD2" w:rsidRDefault="00A16CAB" w:rsidP="00EF63A7">
      <w:pPr>
        <w:pStyle w:val="FootnoteText"/>
        <w:jc w:val="both"/>
        <w:rPr>
          <w:rFonts w:ascii="Times New Roman" w:hAnsi="Times New Roman" w:cs="Times New Roman"/>
          <w:bCs/>
          <w:lang w:val="en-IE"/>
        </w:rPr>
      </w:pPr>
      <w:r w:rsidRPr="0047246B">
        <w:rPr>
          <w:rStyle w:val="FootnoteReference"/>
        </w:rPr>
        <w:footnoteRef/>
      </w:r>
      <w:r w:rsidR="00B729F3" w:rsidRPr="00A72FD2">
        <w:rPr>
          <w:rFonts w:ascii="Times New Roman" w:hAnsi="Times New Roman" w:cs="Times New Roman"/>
          <w:bCs/>
          <w:lang w:val="en-IE"/>
        </w:rPr>
        <w:t> </w:t>
      </w:r>
      <w:r w:rsidR="001E7DC9" w:rsidRPr="00A72FD2">
        <w:rPr>
          <w:rFonts w:ascii="Times New Roman" w:hAnsi="Times New Roman" w:cs="Times New Roman"/>
          <w:bCs/>
          <w:lang w:val="en-IE"/>
        </w:rPr>
        <w:t>Regulation</w:t>
      </w:r>
      <w:r w:rsidR="00CF6807" w:rsidRPr="00A72FD2">
        <w:rPr>
          <w:rFonts w:ascii="Times New Roman" w:hAnsi="Times New Roman" w:cs="Times New Roman"/>
          <w:bCs/>
          <w:lang w:val="en-IE"/>
        </w:rPr>
        <w:t> </w:t>
      </w:r>
      <w:r w:rsidR="001E7DC9" w:rsidRPr="00A72FD2">
        <w:rPr>
          <w:rFonts w:ascii="Times New Roman" w:hAnsi="Times New Roman" w:cs="Times New Roman"/>
          <w:bCs/>
          <w:lang w:val="en-IE"/>
        </w:rPr>
        <w:t>(EU)</w:t>
      </w:r>
      <w:r w:rsidR="00CF6807" w:rsidRPr="00A72FD2">
        <w:rPr>
          <w:rFonts w:ascii="Times New Roman" w:hAnsi="Times New Roman" w:cs="Times New Roman"/>
          <w:bCs/>
          <w:lang w:val="en-IE"/>
        </w:rPr>
        <w:t> </w:t>
      </w:r>
      <w:r w:rsidR="001E7DC9" w:rsidRPr="00A72FD2">
        <w:rPr>
          <w:rFonts w:ascii="Times New Roman" w:hAnsi="Times New Roman" w:cs="Times New Roman"/>
          <w:bCs/>
          <w:lang w:val="en-IE"/>
        </w:rPr>
        <w:t xml:space="preserve">2023/957, </w:t>
      </w:r>
      <w:r w:rsidR="009A23C6" w:rsidRPr="00A72FD2">
        <w:rPr>
          <w:rFonts w:ascii="Times New Roman" w:hAnsi="Times New Roman" w:cs="Times New Roman"/>
          <w:bCs/>
          <w:lang w:val="en-IE"/>
        </w:rPr>
        <w:t>OJ L 130</w:t>
      </w:r>
      <w:r w:rsidRPr="00A72FD2">
        <w:rPr>
          <w:rFonts w:ascii="Times New Roman" w:hAnsi="Times New Roman" w:cs="Times New Roman"/>
          <w:bCs/>
          <w:lang w:val="en-IE"/>
        </w:rPr>
        <w:t>,</w:t>
      </w:r>
      <w:r w:rsidR="00CF6807" w:rsidRPr="00A72FD2">
        <w:rPr>
          <w:rFonts w:ascii="Times New Roman" w:hAnsi="Times New Roman" w:cs="Times New Roman"/>
          <w:bCs/>
          <w:lang w:val="en-IE"/>
        </w:rPr>
        <w:t> </w:t>
      </w:r>
      <w:r w:rsidRPr="00A72FD2">
        <w:rPr>
          <w:rFonts w:ascii="Times New Roman" w:hAnsi="Times New Roman" w:cs="Times New Roman"/>
          <w:bCs/>
          <w:lang w:val="en-IE"/>
        </w:rPr>
        <w:t>16.5.2023,</w:t>
      </w:r>
      <w:r w:rsidR="00CF6807" w:rsidRPr="00A72FD2">
        <w:rPr>
          <w:rFonts w:ascii="Times New Roman" w:hAnsi="Times New Roman" w:cs="Times New Roman"/>
          <w:bCs/>
          <w:lang w:val="en-IE"/>
        </w:rPr>
        <w:t> </w:t>
      </w:r>
      <w:r w:rsidR="009A23C6" w:rsidRPr="00A72FD2">
        <w:rPr>
          <w:rFonts w:ascii="Times New Roman" w:hAnsi="Times New Roman" w:cs="Times New Roman"/>
          <w:bCs/>
          <w:lang w:val="en-IE"/>
        </w:rPr>
        <w:t>p. </w:t>
      </w:r>
      <w:r w:rsidRPr="00A72FD2">
        <w:rPr>
          <w:rFonts w:ascii="Times New Roman" w:hAnsi="Times New Roman" w:cs="Times New Roman"/>
          <w:bCs/>
          <w:lang w:val="en-IE"/>
        </w:rPr>
        <w:t xml:space="preserve">105, </w:t>
      </w:r>
      <w:hyperlink r:id="rId9" w:history="1">
        <w:r w:rsidR="00B729F3" w:rsidRPr="00A72FD2">
          <w:rPr>
            <w:rStyle w:val="Hyperlink"/>
            <w:rFonts w:ascii="Times New Roman" w:hAnsi="Times New Roman" w:cs="Times New Roman"/>
            <w:bCs/>
            <w:lang w:val="en-IE"/>
          </w:rPr>
          <w:t>http://data.europa.eu/eli/reg/2023/957/oj</w:t>
        </w:r>
      </w:hyperlink>
      <w:r w:rsidR="00B729F3" w:rsidRPr="00A72FD2">
        <w:rPr>
          <w:rFonts w:ascii="Times New Roman" w:hAnsi="Times New Roman" w:cs="Times New Roman"/>
          <w:bCs/>
          <w:lang w:val="en-IE"/>
        </w:rPr>
        <w:t>.</w:t>
      </w:r>
    </w:p>
  </w:footnote>
  <w:footnote w:id="12">
    <w:p w14:paraId="008F08F1" w14:textId="759456ED" w:rsidR="00FC7120" w:rsidRPr="00FC7120" w:rsidRDefault="00FC7120" w:rsidP="00EF63A7">
      <w:pPr>
        <w:pStyle w:val="FootnoteText"/>
        <w:jc w:val="both"/>
      </w:pPr>
      <w:r>
        <w:rPr>
          <w:rStyle w:val="FootnoteReference"/>
        </w:rPr>
        <w:footnoteRef/>
      </w:r>
      <w:r w:rsidR="00B729F3">
        <w:t> </w:t>
      </w:r>
      <w:r w:rsidR="001602E3">
        <w:rPr>
          <w:rFonts w:ascii="Times New Roman" w:hAnsi="Times New Roman" w:cs="Times New Roman"/>
          <w:bCs/>
        </w:rPr>
        <w:t>I</w:t>
      </w:r>
      <w:r w:rsidRPr="00FC7120">
        <w:rPr>
          <w:rFonts w:ascii="Times New Roman" w:hAnsi="Times New Roman" w:cs="Times New Roman"/>
          <w:bCs/>
        </w:rPr>
        <w:t xml:space="preserve">t was not possible to recalculate historical data before 2021 so </w:t>
      </w:r>
      <w:r w:rsidR="00CF6807">
        <w:rPr>
          <w:rFonts w:ascii="Times New Roman" w:hAnsi="Times New Roman" w:cs="Times New Roman"/>
          <w:bCs/>
        </w:rPr>
        <w:t xml:space="preserve">as </w:t>
      </w:r>
      <w:r w:rsidRPr="00FC7120">
        <w:rPr>
          <w:rFonts w:ascii="Times New Roman" w:hAnsi="Times New Roman" w:cs="Times New Roman"/>
          <w:bCs/>
        </w:rPr>
        <w:t>to exclude the emissions resulting from the application of the EU Maritime MRV Regulation to the United Kingdom. This is because the legislation does not require shipping companies to report emissions at voyage level. Therefore, throughout th</w:t>
      </w:r>
      <w:r w:rsidR="009A1E57">
        <w:rPr>
          <w:rFonts w:ascii="Times New Roman" w:hAnsi="Times New Roman" w:cs="Times New Roman"/>
          <w:bCs/>
        </w:rPr>
        <w:t>is r</w:t>
      </w:r>
      <w:r w:rsidRPr="00FC7120">
        <w:rPr>
          <w:rFonts w:ascii="Times New Roman" w:hAnsi="Times New Roman" w:cs="Times New Roman"/>
          <w:bCs/>
        </w:rPr>
        <w:t xml:space="preserve">eport, the figures presented for the </w:t>
      </w:r>
      <w:r w:rsidR="009A1E57">
        <w:rPr>
          <w:rFonts w:ascii="Times New Roman" w:hAnsi="Times New Roman" w:cs="Times New Roman"/>
          <w:bCs/>
        </w:rPr>
        <w:t xml:space="preserve">reporting </w:t>
      </w:r>
      <w:r w:rsidRPr="00FC7120">
        <w:rPr>
          <w:rFonts w:ascii="Times New Roman" w:hAnsi="Times New Roman" w:cs="Times New Roman"/>
          <w:bCs/>
        </w:rPr>
        <w:t>year</w:t>
      </w:r>
      <w:r>
        <w:rPr>
          <w:rFonts w:ascii="Times New Roman" w:hAnsi="Times New Roman" w:cs="Times New Roman"/>
          <w:bCs/>
        </w:rPr>
        <w:t>s after 2020</w:t>
      </w:r>
      <w:r w:rsidRPr="00FC7120">
        <w:rPr>
          <w:rFonts w:ascii="Times New Roman" w:hAnsi="Times New Roman" w:cs="Times New Roman"/>
          <w:bCs/>
        </w:rPr>
        <w:t xml:space="preserve"> are based on the </w:t>
      </w:r>
      <w:r w:rsidR="009A1E57">
        <w:rPr>
          <w:rFonts w:ascii="Times New Roman" w:hAnsi="Times New Roman" w:cs="Times New Roman"/>
          <w:bCs/>
        </w:rPr>
        <w:t xml:space="preserve">reported </w:t>
      </w:r>
      <w:r w:rsidRPr="00FC7120">
        <w:rPr>
          <w:rFonts w:ascii="Times New Roman" w:hAnsi="Times New Roman" w:cs="Times New Roman"/>
          <w:bCs/>
        </w:rPr>
        <w:t>data</w:t>
      </w:r>
      <w:r w:rsidR="009A1E57">
        <w:rPr>
          <w:rFonts w:ascii="Times New Roman" w:hAnsi="Times New Roman" w:cs="Times New Roman"/>
          <w:bCs/>
        </w:rPr>
        <w:t xml:space="preserve">, which </w:t>
      </w:r>
      <w:r w:rsidRPr="00FC7120">
        <w:rPr>
          <w:rFonts w:ascii="Times New Roman" w:hAnsi="Times New Roman" w:cs="Times New Roman"/>
          <w:bCs/>
        </w:rPr>
        <w:t>exclud</w:t>
      </w:r>
      <w:r w:rsidR="009A1E57">
        <w:rPr>
          <w:rFonts w:ascii="Times New Roman" w:hAnsi="Times New Roman" w:cs="Times New Roman"/>
          <w:bCs/>
        </w:rPr>
        <w:t>es</w:t>
      </w:r>
      <w:r w:rsidRPr="00FC7120">
        <w:rPr>
          <w:rFonts w:ascii="Times New Roman" w:hAnsi="Times New Roman" w:cs="Times New Roman"/>
          <w:bCs/>
        </w:rPr>
        <w:t xml:space="preserve"> the Regulation</w:t>
      </w:r>
      <w:r w:rsidR="009A1E57">
        <w:rPr>
          <w:rFonts w:ascii="Times New Roman" w:hAnsi="Times New Roman" w:cs="Times New Roman"/>
          <w:bCs/>
        </w:rPr>
        <w:t>’s</w:t>
      </w:r>
      <w:r w:rsidR="00D56CFC">
        <w:rPr>
          <w:rFonts w:ascii="Times New Roman" w:hAnsi="Times New Roman" w:cs="Times New Roman"/>
          <w:bCs/>
        </w:rPr>
        <w:t xml:space="preserve"> </w:t>
      </w:r>
      <w:r w:rsidRPr="00FC7120">
        <w:rPr>
          <w:rFonts w:ascii="Times New Roman" w:hAnsi="Times New Roman" w:cs="Times New Roman"/>
          <w:bCs/>
        </w:rPr>
        <w:t xml:space="preserve">application to the United Kingdom (but only to EEA countries, including </w:t>
      </w:r>
      <w:r w:rsidR="009A1E57">
        <w:rPr>
          <w:rFonts w:ascii="Times New Roman" w:hAnsi="Times New Roman" w:cs="Times New Roman"/>
          <w:bCs/>
        </w:rPr>
        <w:t xml:space="preserve">the </w:t>
      </w:r>
      <w:r w:rsidRPr="00FC7120">
        <w:rPr>
          <w:rFonts w:ascii="Times New Roman" w:hAnsi="Times New Roman" w:cs="Times New Roman"/>
          <w:bCs/>
        </w:rPr>
        <w:t>EU</w:t>
      </w:r>
      <w:r w:rsidR="009A1E57">
        <w:rPr>
          <w:rFonts w:ascii="Times New Roman" w:hAnsi="Times New Roman" w:cs="Times New Roman"/>
          <w:bCs/>
        </w:rPr>
        <w:t>-</w:t>
      </w:r>
      <w:r w:rsidRPr="00FC7120">
        <w:rPr>
          <w:rFonts w:ascii="Times New Roman" w:hAnsi="Times New Roman" w:cs="Times New Roman"/>
          <w:bCs/>
        </w:rPr>
        <w:t>27)</w:t>
      </w:r>
      <w:r w:rsidR="009A1E57">
        <w:rPr>
          <w:rFonts w:ascii="Times New Roman" w:hAnsi="Times New Roman" w:cs="Times New Roman"/>
          <w:bCs/>
        </w:rPr>
        <w:t xml:space="preserve">. By contrast, the reported data </w:t>
      </w:r>
      <w:r w:rsidRPr="00FC7120">
        <w:rPr>
          <w:rFonts w:ascii="Times New Roman" w:hAnsi="Times New Roman" w:cs="Times New Roman"/>
          <w:bCs/>
        </w:rPr>
        <w:t xml:space="preserve">for the </w:t>
      </w:r>
      <w:r>
        <w:rPr>
          <w:rFonts w:ascii="Times New Roman" w:hAnsi="Times New Roman" w:cs="Times New Roman"/>
          <w:bCs/>
        </w:rPr>
        <w:t>reporting years 2018, 2019 and 2020</w:t>
      </w:r>
      <w:r w:rsidR="009A1E57">
        <w:rPr>
          <w:rFonts w:ascii="Times New Roman" w:hAnsi="Times New Roman" w:cs="Times New Roman"/>
          <w:bCs/>
        </w:rPr>
        <w:t xml:space="preserve"> include</w:t>
      </w:r>
      <w:r w:rsidR="00270508">
        <w:rPr>
          <w:rFonts w:ascii="Times New Roman" w:hAnsi="Times New Roman" w:cs="Times New Roman"/>
          <w:bCs/>
        </w:rPr>
        <w:t>s</w:t>
      </w:r>
      <w:r w:rsidR="009A1E57">
        <w:rPr>
          <w:rFonts w:ascii="Times New Roman" w:hAnsi="Times New Roman" w:cs="Times New Roman"/>
          <w:bCs/>
        </w:rPr>
        <w:t xml:space="preserve"> the Regulation’s application to </w:t>
      </w:r>
      <w:r w:rsidRPr="00FC7120">
        <w:rPr>
          <w:rFonts w:ascii="Times New Roman" w:hAnsi="Times New Roman" w:cs="Times New Roman"/>
          <w:bCs/>
        </w:rPr>
        <w:t>the United Kingdom</w:t>
      </w:r>
      <w:r w:rsidR="009A1E57">
        <w:rPr>
          <w:rFonts w:ascii="Times New Roman" w:hAnsi="Times New Roman" w:cs="Times New Roman"/>
          <w:bCs/>
        </w:rPr>
        <w:t>, which</w:t>
      </w:r>
      <w:r w:rsidRPr="00FC7120">
        <w:rPr>
          <w:rFonts w:ascii="Times New Roman" w:hAnsi="Times New Roman" w:cs="Times New Roman"/>
          <w:bCs/>
        </w:rPr>
        <w:t xml:space="preserve"> is accounted for as part of the EEA (</w:t>
      </w:r>
      <w:r w:rsidR="009A1E57">
        <w:rPr>
          <w:rFonts w:ascii="Times New Roman" w:hAnsi="Times New Roman" w:cs="Times New Roman"/>
          <w:bCs/>
        </w:rPr>
        <w:t xml:space="preserve">the </w:t>
      </w:r>
      <w:r w:rsidRPr="00FC7120">
        <w:rPr>
          <w:rFonts w:ascii="Times New Roman" w:hAnsi="Times New Roman" w:cs="Times New Roman"/>
          <w:bCs/>
        </w:rPr>
        <w:t>EU</w:t>
      </w:r>
      <w:r w:rsidR="009A1E57">
        <w:rPr>
          <w:rFonts w:ascii="Times New Roman" w:hAnsi="Times New Roman" w:cs="Times New Roman"/>
          <w:bCs/>
        </w:rPr>
        <w:t>-</w:t>
      </w:r>
      <w:r w:rsidRPr="00FC7120">
        <w:rPr>
          <w:rFonts w:ascii="Times New Roman" w:hAnsi="Times New Roman" w:cs="Times New Roman"/>
          <w:bCs/>
        </w:rPr>
        <w:t>28).</w:t>
      </w:r>
    </w:p>
  </w:footnote>
  <w:footnote w:id="13">
    <w:p w14:paraId="7FA21EE3" w14:textId="72A3D638" w:rsidR="00CE308E" w:rsidRPr="00235427" w:rsidRDefault="00CE308E" w:rsidP="00757A0A">
      <w:pPr>
        <w:pStyle w:val="FootnoteText"/>
        <w:jc w:val="both"/>
        <w:rPr>
          <w:lang w:val="en-IE"/>
        </w:rPr>
      </w:pPr>
      <w:r>
        <w:rPr>
          <w:rStyle w:val="FootnoteReference"/>
        </w:rPr>
        <w:footnoteRef/>
      </w:r>
      <w:r w:rsidR="22384116">
        <w:t xml:space="preserve"> </w:t>
      </w:r>
      <w:r w:rsidR="22384116" w:rsidRPr="00235427">
        <w:rPr>
          <w:rFonts w:ascii="Times New Roman" w:hAnsi="Times New Roman" w:cs="Times New Roman"/>
          <w:bCs/>
        </w:rPr>
        <w:t>The Energy Efficiency Design Index (EEDI) and the Estimated Index Value (EIV) are assessed for the technical efficiency of ships</w:t>
      </w:r>
      <w:r w:rsidR="004D1DD4">
        <w:rPr>
          <w:rFonts w:ascii="Times New Roman" w:hAnsi="Times New Roman" w:cs="Times New Roman"/>
          <w:bCs/>
        </w:rPr>
        <w:t>.</w:t>
      </w:r>
      <w:r w:rsidR="22384116" w:rsidRPr="00235427">
        <w:rPr>
          <w:rFonts w:ascii="Times New Roman" w:hAnsi="Times New Roman" w:cs="Times New Roman"/>
          <w:bCs/>
        </w:rPr>
        <w:t xml:space="preserve"> </w:t>
      </w:r>
      <w:r w:rsidR="004D1DD4">
        <w:rPr>
          <w:rFonts w:ascii="Times New Roman" w:hAnsi="Times New Roman" w:cs="Times New Roman"/>
          <w:bCs/>
        </w:rPr>
        <w:t>T</w:t>
      </w:r>
      <w:r w:rsidR="22384116" w:rsidRPr="00235427">
        <w:rPr>
          <w:rFonts w:ascii="Times New Roman" w:hAnsi="Times New Roman" w:cs="Times New Roman"/>
          <w:bCs/>
        </w:rPr>
        <w:t xml:space="preserve">he Energy Efficiency Operational Indicator (EEOI) and the Annual Efficiency Ratio (AER) </w:t>
      </w:r>
      <w:r w:rsidR="004D1DD4">
        <w:rPr>
          <w:rFonts w:ascii="Times New Roman" w:hAnsi="Times New Roman" w:cs="Times New Roman"/>
          <w:bCs/>
        </w:rPr>
        <w:t xml:space="preserve">are assessed </w:t>
      </w:r>
      <w:r w:rsidR="22384116" w:rsidRPr="00235427">
        <w:rPr>
          <w:rFonts w:ascii="Times New Roman" w:hAnsi="Times New Roman" w:cs="Times New Roman"/>
          <w:bCs/>
        </w:rPr>
        <w:t>for their operational efficiency.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4AA2" w14:textId="77777777" w:rsidR="00F12BC6" w:rsidRPr="00F12BC6" w:rsidRDefault="00F12BC6" w:rsidP="00F12BC6">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B09C0" w14:textId="77777777" w:rsidR="00F12BC6" w:rsidRPr="00F12BC6" w:rsidRDefault="00F12BC6" w:rsidP="00F12BC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11804" w14:textId="77777777" w:rsidR="00F12BC6" w:rsidRPr="00F12BC6" w:rsidRDefault="00F12BC6" w:rsidP="00F12BC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0FB10" w14:textId="77777777" w:rsidR="002F72EE" w:rsidRDefault="002F72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C201" w14:textId="77777777" w:rsidR="002F72EE" w:rsidRDefault="002F72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437B" w14:textId="77777777" w:rsidR="002F72EE" w:rsidRDefault="002F72EE">
    <w:pPr>
      <w:pStyle w:val="Header"/>
    </w:pPr>
  </w:p>
</w:hdr>
</file>

<file path=word/intelligence2.xml><?xml version="1.0" encoding="utf-8"?>
<int2:intelligence xmlns:int2="http://schemas.microsoft.com/office/intelligence/2020/intelligence" xmlns:oel="http://schemas.microsoft.com/office/2019/extlst">
  <int2:observations>
    <int2:textHash int2:hashCode="mSSKuxfX6bsBFj" int2:id="2KNeWXCJ">
      <int2:state int2:value="Rejected" int2:type="LegacyProofing"/>
    </int2:textHash>
    <int2:textHash int2:hashCode="f+UsaNqp9YofOv" int2:id="QXPEQAm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C6CA0"/>
    <w:multiLevelType w:val="hybridMultilevel"/>
    <w:tmpl w:val="73F63122"/>
    <w:lvl w:ilvl="0" w:tplc="49F4A02E">
      <w:start w:val="1"/>
      <w:numFmt w:val="bullet"/>
      <w:lvlText w:val=""/>
      <w:lvlJc w:val="left"/>
      <w:pPr>
        <w:ind w:left="720" w:hanging="360"/>
      </w:pPr>
      <w:rPr>
        <w:rFonts w:ascii="Symbol" w:hAnsi="Symbol" w:hint="default"/>
        <w:color w:val="325BA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7443956"/>
    <w:multiLevelType w:val="hybridMultilevel"/>
    <w:tmpl w:val="163AF680"/>
    <w:lvl w:ilvl="0" w:tplc="4A7CEA66">
      <w:start w:val="1"/>
      <w:numFmt w:val="decimal"/>
      <w:lvlText w:val="%1."/>
      <w:lvlJc w:val="left"/>
      <w:pPr>
        <w:ind w:left="720" w:hanging="360"/>
      </w:pPr>
    </w:lvl>
    <w:lvl w:ilvl="1" w:tplc="D762436E">
      <w:start w:val="1"/>
      <w:numFmt w:val="lowerLetter"/>
      <w:lvlText w:val="%2."/>
      <w:lvlJc w:val="left"/>
      <w:pPr>
        <w:ind w:left="1440" w:hanging="360"/>
      </w:pPr>
    </w:lvl>
    <w:lvl w:ilvl="2" w:tplc="502E6736">
      <w:start w:val="1"/>
      <w:numFmt w:val="lowerRoman"/>
      <w:lvlText w:val="%3."/>
      <w:lvlJc w:val="right"/>
      <w:pPr>
        <w:ind w:left="2160" w:hanging="180"/>
      </w:pPr>
    </w:lvl>
    <w:lvl w:ilvl="3" w:tplc="E08291AA">
      <w:start w:val="1"/>
      <w:numFmt w:val="decimal"/>
      <w:lvlText w:val="%4."/>
      <w:lvlJc w:val="left"/>
      <w:pPr>
        <w:ind w:left="2880" w:hanging="360"/>
      </w:pPr>
    </w:lvl>
    <w:lvl w:ilvl="4" w:tplc="A82AF25A">
      <w:start w:val="1"/>
      <w:numFmt w:val="lowerLetter"/>
      <w:lvlText w:val="%5."/>
      <w:lvlJc w:val="left"/>
      <w:pPr>
        <w:ind w:left="3600" w:hanging="360"/>
      </w:pPr>
    </w:lvl>
    <w:lvl w:ilvl="5" w:tplc="2D2EB428">
      <w:start w:val="1"/>
      <w:numFmt w:val="lowerRoman"/>
      <w:lvlText w:val="%6."/>
      <w:lvlJc w:val="right"/>
      <w:pPr>
        <w:ind w:left="4320" w:hanging="180"/>
      </w:pPr>
    </w:lvl>
    <w:lvl w:ilvl="6" w:tplc="FC10B432">
      <w:start w:val="1"/>
      <w:numFmt w:val="decimal"/>
      <w:lvlText w:val="%7."/>
      <w:lvlJc w:val="left"/>
      <w:pPr>
        <w:ind w:left="5040" w:hanging="360"/>
      </w:pPr>
    </w:lvl>
    <w:lvl w:ilvl="7" w:tplc="6BDC6DBC">
      <w:start w:val="1"/>
      <w:numFmt w:val="lowerLetter"/>
      <w:lvlText w:val="%8."/>
      <w:lvlJc w:val="left"/>
      <w:pPr>
        <w:ind w:left="5760" w:hanging="360"/>
      </w:pPr>
    </w:lvl>
    <w:lvl w:ilvl="8" w:tplc="5E28A138">
      <w:start w:val="1"/>
      <w:numFmt w:val="lowerRoman"/>
      <w:lvlText w:val="%9."/>
      <w:lvlJc w:val="right"/>
      <w:pPr>
        <w:ind w:left="6480" w:hanging="180"/>
      </w:pPr>
    </w:lvl>
  </w:abstractNum>
  <w:abstractNum w:abstractNumId="2" w15:restartNumberingAfterBreak="0">
    <w:nsid w:val="491F6B02"/>
    <w:multiLevelType w:val="hybridMultilevel"/>
    <w:tmpl w:val="E046A2E8"/>
    <w:lvl w:ilvl="0" w:tplc="35429BB6">
      <w:start w:val="1"/>
      <w:numFmt w:val="bullet"/>
      <w:lvlText w:val=""/>
      <w:lvlJc w:val="left"/>
      <w:pPr>
        <w:ind w:left="720" w:hanging="360"/>
      </w:pPr>
      <w:rPr>
        <w:rFonts w:ascii="Symbol" w:hAnsi="Symbol" w:hint="default"/>
      </w:rPr>
    </w:lvl>
    <w:lvl w:ilvl="1" w:tplc="09E4D93A">
      <w:start w:val="1"/>
      <w:numFmt w:val="bullet"/>
      <w:lvlText w:val="o"/>
      <w:lvlJc w:val="left"/>
      <w:pPr>
        <w:ind w:left="1440" w:hanging="360"/>
      </w:pPr>
      <w:rPr>
        <w:rFonts w:ascii="Courier New" w:hAnsi="Courier New" w:hint="default"/>
      </w:rPr>
    </w:lvl>
    <w:lvl w:ilvl="2" w:tplc="1DF0FB94">
      <w:start w:val="1"/>
      <w:numFmt w:val="bullet"/>
      <w:lvlText w:val=""/>
      <w:lvlJc w:val="left"/>
      <w:pPr>
        <w:ind w:left="2160" w:hanging="360"/>
      </w:pPr>
      <w:rPr>
        <w:rFonts w:ascii="Wingdings" w:hAnsi="Wingdings" w:hint="default"/>
      </w:rPr>
    </w:lvl>
    <w:lvl w:ilvl="3" w:tplc="020836EE">
      <w:start w:val="1"/>
      <w:numFmt w:val="bullet"/>
      <w:lvlText w:val=""/>
      <w:lvlJc w:val="left"/>
      <w:pPr>
        <w:ind w:left="2880" w:hanging="360"/>
      </w:pPr>
      <w:rPr>
        <w:rFonts w:ascii="Symbol" w:hAnsi="Symbol" w:hint="default"/>
      </w:rPr>
    </w:lvl>
    <w:lvl w:ilvl="4" w:tplc="ACD019D6">
      <w:start w:val="1"/>
      <w:numFmt w:val="bullet"/>
      <w:lvlText w:val="o"/>
      <w:lvlJc w:val="left"/>
      <w:pPr>
        <w:ind w:left="3600" w:hanging="360"/>
      </w:pPr>
      <w:rPr>
        <w:rFonts w:ascii="Courier New" w:hAnsi="Courier New" w:hint="default"/>
      </w:rPr>
    </w:lvl>
    <w:lvl w:ilvl="5" w:tplc="86084792">
      <w:start w:val="1"/>
      <w:numFmt w:val="bullet"/>
      <w:lvlText w:val=""/>
      <w:lvlJc w:val="left"/>
      <w:pPr>
        <w:ind w:left="4320" w:hanging="360"/>
      </w:pPr>
      <w:rPr>
        <w:rFonts w:ascii="Wingdings" w:hAnsi="Wingdings" w:hint="default"/>
      </w:rPr>
    </w:lvl>
    <w:lvl w:ilvl="6" w:tplc="04849C72">
      <w:start w:val="1"/>
      <w:numFmt w:val="bullet"/>
      <w:lvlText w:val=""/>
      <w:lvlJc w:val="left"/>
      <w:pPr>
        <w:ind w:left="5040" w:hanging="360"/>
      </w:pPr>
      <w:rPr>
        <w:rFonts w:ascii="Symbol" w:hAnsi="Symbol" w:hint="default"/>
      </w:rPr>
    </w:lvl>
    <w:lvl w:ilvl="7" w:tplc="63485264">
      <w:start w:val="1"/>
      <w:numFmt w:val="bullet"/>
      <w:lvlText w:val="o"/>
      <w:lvlJc w:val="left"/>
      <w:pPr>
        <w:ind w:left="5760" w:hanging="360"/>
      </w:pPr>
      <w:rPr>
        <w:rFonts w:ascii="Courier New" w:hAnsi="Courier New" w:hint="default"/>
      </w:rPr>
    </w:lvl>
    <w:lvl w:ilvl="8" w:tplc="5484AA04">
      <w:start w:val="1"/>
      <w:numFmt w:val="bullet"/>
      <w:lvlText w:val=""/>
      <w:lvlJc w:val="left"/>
      <w:pPr>
        <w:ind w:left="6480" w:hanging="360"/>
      </w:pPr>
      <w:rPr>
        <w:rFonts w:ascii="Wingdings" w:hAnsi="Wingdings" w:hint="default"/>
      </w:rPr>
    </w:lvl>
  </w:abstractNum>
  <w:abstractNum w:abstractNumId="3" w15:restartNumberingAfterBreak="0">
    <w:nsid w:val="4A655017"/>
    <w:multiLevelType w:val="hybridMultilevel"/>
    <w:tmpl w:val="51BE59EC"/>
    <w:lvl w:ilvl="0" w:tplc="9FFC0C32">
      <w:start w:val="5"/>
      <w:numFmt w:val="bullet"/>
      <w:lvlText w:val="-"/>
      <w:lvlJc w:val="left"/>
      <w:pPr>
        <w:ind w:left="720" w:hanging="360"/>
      </w:pPr>
      <w:rPr>
        <w:rFonts w:ascii="Times New Roman" w:eastAsia="Calibri"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EBD3056"/>
    <w:multiLevelType w:val="hybridMultilevel"/>
    <w:tmpl w:val="0380C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D62947"/>
    <w:multiLevelType w:val="hybridMultilevel"/>
    <w:tmpl w:val="2DC8DA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4622B22"/>
    <w:multiLevelType w:val="hybridMultilevel"/>
    <w:tmpl w:val="5D96C1F8"/>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614219B"/>
    <w:multiLevelType w:val="hybridMultilevel"/>
    <w:tmpl w:val="8CC039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39269571-72C5-4D89-8B6B-AB213FB20505"/>
    <w:docVar w:name="LW_COVERPAGE_TYPE" w:val="1"/>
    <w:docVar w:name="LW_CROSSREFERENCE" w:val="{SWD(2024) 87 final}"/>
    <w:docVar w:name="LW_DocType" w:val="NORMAL"/>
    <w:docVar w:name="LW_EMISSION" w:val="8.4.2024"/>
    <w:docVar w:name="LW_EMISSION_ISODATE" w:val="2024-04-08"/>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15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3 Report from the European Commission on CO&lt;FMT:Subscript&gt;2&lt;/FMT&gt; Emissions from Maritime Transport"/>
    <w:docVar w:name="LW_TYPE.DOC.CP" w:val="REPORT FROM THE COMMISSION"/>
    <w:docVar w:name="LwApiVersions" w:val="LW4CoDe 1.24.5.0; LW 9.0, Build 20240221"/>
  </w:docVars>
  <w:rsids>
    <w:rsidRoot w:val="0032594D"/>
    <w:rsid w:val="0000285C"/>
    <w:rsid w:val="000110F2"/>
    <w:rsid w:val="00021EF1"/>
    <w:rsid w:val="0002478A"/>
    <w:rsid w:val="00025DAB"/>
    <w:rsid w:val="00035097"/>
    <w:rsid w:val="000405BD"/>
    <w:rsid w:val="000417D9"/>
    <w:rsid w:val="00046BB8"/>
    <w:rsid w:val="000503D1"/>
    <w:rsid w:val="00051FBF"/>
    <w:rsid w:val="0005491E"/>
    <w:rsid w:val="00060A71"/>
    <w:rsid w:val="00063696"/>
    <w:rsid w:val="0007014F"/>
    <w:rsid w:val="000707EF"/>
    <w:rsid w:val="0007086D"/>
    <w:rsid w:val="00076D92"/>
    <w:rsid w:val="00082592"/>
    <w:rsid w:val="000857AB"/>
    <w:rsid w:val="000C0662"/>
    <w:rsid w:val="000C2251"/>
    <w:rsid w:val="000D4168"/>
    <w:rsid w:val="000E7C23"/>
    <w:rsid w:val="000F1542"/>
    <w:rsid w:val="000F1F33"/>
    <w:rsid w:val="000F4ED5"/>
    <w:rsid w:val="0011075B"/>
    <w:rsid w:val="0011358D"/>
    <w:rsid w:val="0011485C"/>
    <w:rsid w:val="00114C11"/>
    <w:rsid w:val="001151B9"/>
    <w:rsid w:val="001163D0"/>
    <w:rsid w:val="00117426"/>
    <w:rsid w:val="00120D02"/>
    <w:rsid w:val="00123809"/>
    <w:rsid w:val="001240CC"/>
    <w:rsid w:val="00130DE9"/>
    <w:rsid w:val="0013258C"/>
    <w:rsid w:val="00133E49"/>
    <w:rsid w:val="00136F72"/>
    <w:rsid w:val="00145B57"/>
    <w:rsid w:val="001473F3"/>
    <w:rsid w:val="00152333"/>
    <w:rsid w:val="00154903"/>
    <w:rsid w:val="00156130"/>
    <w:rsid w:val="001602E3"/>
    <w:rsid w:val="00160A3D"/>
    <w:rsid w:val="00170DF3"/>
    <w:rsid w:val="001779B2"/>
    <w:rsid w:val="00181AE8"/>
    <w:rsid w:val="00182873"/>
    <w:rsid w:val="001907BC"/>
    <w:rsid w:val="00190E3D"/>
    <w:rsid w:val="001A38E9"/>
    <w:rsid w:val="001A3BD2"/>
    <w:rsid w:val="001B47FB"/>
    <w:rsid w:val="001C2ACA"/>
    <w:rsid w:val="001C5FD9"/>
    <w:rsid w:val="001D0E91"/>
    <w:rsid w:val="001E4963"/>
    <w:rsid w:val="001E578C"/>
    <w:rsid w:val="001E7DC9"/>
    <w:rsid w:val="001F0DD2"/>
    <w:rsid w:val="001F1B56"/>
    <w:rsid w:val="00204FF8"/>
    <w:rsid w:val="00205416"/>
    <w:rsid w:val="00205A61"/>
    <w:rsid w:val="0021038A"/>
    <w:rsid w:val="00210E17"/>
    <w:rsid w:val="00210F12"/>
    <w:rsid w:val="00211A84"/>
    <w:rsid w:val="002163B5"/>
    <w:rsid w:val="00220469"/>
    <w:rsid w:val="0022259B"/>
    <w:rsid w:val="00223291"/>
    <w:rsid w:val="00226E42"/>
    <w:rsid w:val="00227A3B"/>
    <w:rsid w:val="00231483"/>
    <w:rsid w:val="00234DBA"/>
    <w:rsid w:val="00235427"/>
    <w:rsid w:val="00236C65"/>
    <w:rsid w:val="0024286A"/>
    <w:rsid w:val="00242AD9"/>
    <w:rsid w:val="00243213"/>
    <w:rsid w:val="00244D4F"/>
    <w:rsid w:val="00244E67"/>
    <w:rsid w:val="0024604D"/>
    <w:rsid w:val="0025724D"/>
    <w:rsid w:val="002621D3"/>
    <w:rsid w:val="00262762"/>
    <w:rsid w:val="00262B9A"/>
    <w:rsid w:val="00270508"/>
    <w:rsid w:val="00271346"/>
    <w:rsid w:val="0027486D"/>
    <w:rsid w:val="00281843"/>
    <w:rsid w:val="00285AE7"/>
    <w:rsid w:val="002A5587"/>
    <w:rsid w:val="002A5B6F"/>
    <w:rsid w:val="002A663C"/>
    <w:rsid w:val="002B18E5"/>
    <w:rsid w:val="002B5E8A"/>
    <w:rsid w:val="002C2167"/>
    <w:rsid w:val="002C22F7"/>
    <w:rsid w:val="002D36D9"/>
    <w:rsid w:val="002D3B66"/>
    <w:rsid w:val="002D59E5"/>
    <w:rsid w:val="002E2B2C"/>
    <w:rsid w:val="002E379A"/>
    <w:rsid w:val="002F02A8"/>
    <w:rsid w:val="002F05C7"/>
    <w:rsid w:val="002F0B4C"/>
    <w:rsid w:val="002F2A69"/>
    <w:rsid w:val="002F72EE"/>
    <w:rsid w:val="002FB18D"/>
    <w:rsid w:val="003056F0"/>
    <w:rsid w:val="00305CB3"/>
    <w:rsid w:val="003068B1"/>
    <w:rsid w:val="003079F4"/>
    <w:rsid w:val="00310559"/>
    <w:rsid w:val="0031289E"/>
    <w:rsid w:val="0032594D"/>
    <w:rsid w:val="00326369"/>
    <w:rsid w:val="00327EC2"/>
    <w:rsid w:val="00330C0F"/>
    <w:rsid w:val="00335389"/>
    <w:rsid w:val="003418C8"/>
    <w:rsid w:val="003508F8"/>
    <w:rsid w:val="00352DF4"/>
    <w:rsid w:val="00360811"/>
    <w:rsid w:val="0036224B"/>
    <w:rsid w:val="0036721D"/>
    <w:rsid w:val="00370567"/>
    <w:rsid w:val="003800D3"/>
    <w:rsid w:val="00383E05"/>
    <w:rsid w:val="003855DB"/>
    <w:rsid w:val="0039033D"/>
    <w:rsid w:val="003926BB"/>
    <w:rsid w:val="003A1327"/>
    <w:rsid w:val="003A6C6D"/>
    <w:rsid w:val="003B6ACF"/>
    <w:rsid w:val="003C1584"/>
    <w:rsid w:val="003C5255"/>
    <w:rsid w:val="003D1670"/>
    <w:rsid w:val="003D2965"/>
    <w:rsid w:val="003D32B6"/>
    <w:rsid w:val="003D7AA7"/>
    <w:rsid w:val="003E6911"/>
    <w:rsid w:val="003E7D6B"/>
    <w:rsid w:val="003F0FE2"/>
    <w:rsid w:val="003F1B15"/>
    <w:rsid w:val="003F7B89"/>
    <w:rsid w:val="0040087B"/>
    <w:rsid w:val="00403DC6"/>
    <w:rsid w:val="00413A39"/>
    <w:rsid w:val="00414DCF"/>
    <w:rsid w:val="0041520F"/>
    <w:rsid w:val="00422F8E"/>
    <w:rsid w:val="004271BF"/>
    <w:rsid w:val="00431F09"/>
    <w:rsid w:val="0043229B"/>
    <w:rsid w:val="00432F6C"/>
    <w:rsid w:val="00434F09"/>
    <w:rsid w:val="004371C8"/>
    <w:rsid w:val="0044307D"/>
    <w:rsid w:val="004519B4"/>
    <w:rsid w:val="00453ABB"/>
    <w:rsid w:val="00460339"/>
    <w:rsid w:val="00467CBF"/>
    <w:rsid w:val="00472158"/>
    <w:rsid w:val="0047246B"/>
    <w:rsid w:val="00475424"/>
    <w:rsid w:val="00483291"/>
    <w:rsid w:val="00487D13"/>
    <w:rsid w:val="00490EE7"/>
    <w:rsid w:val="004961CF"/>
    <w:rsid w:val="004963AF"/>
    <w:rsid w:val="004A100B"/>
    <w:rsid w:val="004A28F3"/>
    <w:rsid w:val="004A3593"/>
    <w:rsid w:val="004C4797"/>
    <w:rsid w:val="004C4E4C"/>
    <w:rsid w:val="004D1DD4"/>
    <w:rsid w:val="004D4E6A"/>
    <w:rsid w:val="004E1CB2"/>
    <w:rsid w:val="004E401B"/>
    <w:rsid w:val="004E7C3D"/>
    <w:rsid w:val="004F6EFE"/>
    <w:rsid w:val="0050627A"/>
    <w:rsid w:val="005112DE"/>
    <w:rsid w:val="00515D58"/>
    <w:rsid w:val="00520F6C"/>
    <w:rsid w:val="00522784"/>
    <w:rsid w:val="00523669"/>
    <w:rsid w:val="005268B5"/>
    <w:rsid w:val="005304C8"/>
    <w:rsid w:val="00534963"/>
    <w:rsid w:val="00543A9C"/>
    <w:rsid w:val="005505D4"/>
    <w:rsid w:val="0055325C"/>
    <w:rsid w:val="00555731"/>
    <w:rsid w:val="00557D36"/>
    <w:rsid w:val="00562270"/>
    <w:rsid w:val="00562A5B"/>
    <w:rsid w:val="005668C9"/>
    <w:rsid w:val="00570889"/>
    <w:rsid w:val="00570C70"/>
    <w:rsid w:val="00575AE2"/>
    <w:rsid w:val="00580B9C"/>
    <w:rsid w:val="0058790A"/>
    <w:rsid w:val="00590E15"/>
    <w:rsid w:val="0059426A"/>
    <w:rsid w:val="005943C0"/>
    <w:rsid w:val="00594BBA"/>
    <w:rsid w:val="005A5071"/>
    <w:rsid w:val="005A723A"/>
    <w:rsid w:val="005C0381"/>
    <w:rsid w:val="005C6905"/>
    <w:rsid w:val="005D028C"/>
    <w:rsid w:val="005D5F84"/>
    <w:rsid w:val="005E0F24"/>
    <w:rsid w:val="005E1E2A"/>
    <w:rsid w:val="005E2369"/>
    <w:rsid w:val="005E3074"/>
    <w:rsid w:val="005E382E"/>
    <w:rsid w:val="005E4210"/>
    <w:rsid w:val="005F219D"/>
    <w:rsid w:val="005F36B2"/>
    <w:rsid w:val="005F3973"/>
    <w:rsid w:val="005F54FA"/>
    <w:rsid w:val="00600D03"/>
    <w:rsid w:val="00607044"/>
    <w:rsid w:val="00611481"/>
    <w:rsid w:val="00615E1F"/>
    <w:rsid w:val="00615E72"/>
    <w:rsid w:val="006236E0"/>
    <w:rsid w:val="00625F0E"/>
    <w:rsid w:val="0063227D"/>
    <w:rsid w:val="00633415"/>
    <w:rsid w:val="00635284"/>
    <w:rsid w:val="00643829"/>
    <w:rsid w:val="00646318"/>
    <w:rsid w:val="00647235"/>
    <w:rsid w:val="00647274"/>
    <w:rsid w:val="0064792C"/>
    <w:rsid w:val="00651100"/>
    <w:rsid w:val="00664E59"/>
    <w:rsid w:val="00666DF5"/>
    <w:rsid w:val="006701D9"/>
    <w:rsid w:val="0067579C"/>
    <w:rsid w:val="00681E08"/>
    <w:rsid w:val="00684DDF"/>
    <w:rsid w:val="006943DB"/>
    <w:rsid w:val="006A0166"/>
    <w:rsid w:val="006B039B"/>
    <w:rsid w:val="006B0FCE"/>
    <w:rsid w:val="006B4C74"/>
    <w:rsid w:val="006C1530"/>
    <w:rsid w:val="006D04E9"/>
    <w:rsid w:val="006D2800"/>
    <w:rsid w:val="006D6F67"/>
    <w:rsid w:val="006D79C3"/>
    <w:rsid w:val="006E031C"/>
    <w:rsid w:val="006E1FFF"/>
    <w:rsid w:val="006E6EE1"/>
    <w:rsid w:val="006F18CF"/>
    <w:rsid w:val="006F6EF3"/>
    <w:rsid w:val="00701FB0"/>
    <w:rsid w:val="00707A6B"/>
    <w:rsid w:val="007102D3"/>
    <w:rsid w:val="0071270D"/>
    <w:rsid w:val="007128FD"/>
    <w:rsid w:val="007156D8"/>
    <w:rsid w:val="00725A54"/>
    <w:rsid w:val="00725AA9"/>
    <w:rsid w:val="00725CFF"/>
    <w:rsid w:val="00726994"/>
    <w:rsid w:val="00727E92"/>
    <w:rsid w:val="00737690"/>
    <w:rsid w:val="007451EF"/>
    <w:rsid w:val="00757A0A"/>
    <w:rsid w:val="00757D72"/>
    <w:rsid w:val="00767C9B"/>
    <w:rsid w:val="007768BB"/>
    <w:rsid w:val="007833C7"/>
    <w:rsid w:val="00785204"/>
    <w:rsid w:val="00785D89"/>
    <w:rsid w:val="007907EE"/>
    <w:rsid w:val="007A1C84"/>
    <w:rsid w:val="007A28EE"/>
    <w:rsid w:val="007A3A67"/>
    <w:rsid w:val="007A6AE6"/>
    <w:rsid w:val="007B3D28"/>
    <w:rsid w:val="007B5304"/>
    <w:rsid w:val="007B543B"/>
    <w:rsid w:val="007C5366"/>
    <w:rsid w:val="007C79F1"/>
    <w:rsid w:val="007C7BA1"/>
    <w:rsid w:val="007D1815"/>
    <w:rsid w:val="007D29DA"/>
    <w:rsid w:val="007D7E12"/>
    <w:rsid w:val="007E33C1"/>
    <w:rsid w:val="007E4C7F"/>
    <w:rsid w:val="007E726C"/>
    <w:rsid w:val="007F41CB"/>
    <w:rsid w:val="007F51D4"/>
    <w:rsid w:val="007F5E3F"/>
    <w:rsid w:val="007F7C07"/>
    <w:rsid w:val="00807DE2"/>
    <w:rsid w:val="00807EA4"/>
    <w:rsid w:val="00810F84"/>
    <w:rsid w:val="008122AE"/>
    <w:rsid w:val="00812E74"/>
    <w:rsid w:val="008171CB"/>
    <w:rsid w:val="008173A8"/>
    <w:rsid w:val="0082206D"/>
    <w:rsid w:val="00822C7E"/>
    <w:rsid w:val="00822D9F"/>
    <w:rsid w:val="008361A3"/>
    <w:rsid w:val="00836A48"/>
    <w:rsid w:val="008413BF"/>
    <w:rsid w:val="00843B71"/>
    <w:rsid w:val="00843D8E"/>
    <w:rsid w:val="00844E07"/>
    <w:rsid w:val="00845344"/>
    <w:rsid w:val="00846E33"/>
    <w:rsid w:val="00862D41"/>
    <w:rsid w:val="00863166"/>
    <w:rsid w:val="00864B25"/>
    <w:rsid w:val="00870F9E"/>
    <w:rsid w:val="0087182A"/>
    <w:rsid w:val="00872284"/>
    <w:rsid w:val="008731F5"/>
    <w:rsid w:val="00876E31"/>
    <w:rsid w:val="0088483C"/>
    <w:rsid w:val="008853ED"/>
    <w:rsid w:val="008866D6"/>
    <w:rsid w:val="00896C6D"/>
    <w:rsid w:val="008A483F"/>
    <w:rsid w:val="008A6C19"/>
    <w:rsid w:val="008B706C"/>
    <w:rsid w:val="008D63A3"/>
    <w:rsid w:val="008E1B3D"/>
    <w:rsid w:val="008E3496"/>
    <w:rsid w:val="008E3C3F"/>
    <w:rsid w:val="008E3E45"/>
    <w:rsid w:val="008F7BEC"/>
    <w:rsid w:val="009041D9"/>
    <w:rsid w:val="00905899"/>
    <w:rsid w:val="009101EB"/>
    <w:rsid w:val="0091071D"/>
    <w:rsid w:val="009206CF"/>
    <w:rsid w:val="0092130D"/>
    <w:rsid w:val="0092381A"/>
    <w:rsid w:val="00923D45"/>
    <w:rsid w:val="009313EA"/>
    <w:rsid w:val="009321A7"/>
    <w:rsid w:val="0093421B"/>
    <w:rsid w:val="0093748A"/>
    <w:rsid w:val="009416C2"/>
    <w:rsid w:val="00943AF1"/>
    <w:rsid w:val="00943C7D"/>
    <w:rsid w:val="00947AA5"/>
    <w:rsid w:val="0095153C"/>
    <w:rsid w:val="00952933"/>
    <w:rsid w:val="00953B68"/>
    <w:rsid w:val="00954763"/>
    <w:rsid w:val="0096306A"/>
    <w:rsid w:val="0096331A"/>
    <w:rsid w:val="00966D8B"/>
    <w:rsid w:val="00970AF0"/>
    <w:rsid w:val="00973D4B"/>
    <w:rsid w:val="0097675B"/>
    <w:rsid w:val="00976AC4"/>
    <w:rsid w:val="00976F3C"/>
    <w:rsid w:val="00977C5B"/>
    <w:rsid w:val="00982FF2"/>
    <w:rsid w:val="00986FEA"/>
    <w:rsid w:val="00994F97"/>
    <w:rsid w:val="00997709"/>
    <w:rsid w:val="00997935"/>
    <w:rsid w:val="009A008B"/>
    <w:rsid w:val="009A1E57"/>
    <w:rsid w:val="009A23C6"/>
    <w:rsid w:val="009A30D6"/>
    <w:rsid w:val="009B04BD"/>
    <w:rsid w:val="009B24AA"/>
    <w:rsid w:val="009B4BC1"/>
    <w:rsid w:val="009B72AC"/>
    <w:rsid w:val="009C4B49"/>
    <w:rsid w:val="009C59C1"/>
    <w:rsid w:val="009D0306"/>
    <w:rsid w:val="009D1ED2"/>
    <w:rsid w:val="009D278F"/>
    <w:rsid w:val="009D4A62"/>
    <w:rsid w:val="009D7B9D"/>
    <w:rsid w:val="009E04FE"/>
    <w:rsid w:val="009E52AC"/>
    <w:rsid w:val="00A04DD1"/>
    <w:rsid w:val="00A05AFC"/>
    <w:rsid w:val="00A14FEF"/>
    <w:rsid w:val="00A16CAB"/>
    <w:rsid w:val="00A212F7"/>
    <w:rsid w:val="00A24545"/>
    <w:rsid w:val="00A379A2"/>
    <w:rsid w:val="00A4199A"/>
    <w:rsid w:val="00A4655F"/>
    <w:rsid w:val="00A50CF1"/>
    <w:rsid w:val="00A53110"/>
    <w:rsid w:val="00A55631"/>
    <w:rsid w:val="00A574CC"/>
    <w:rsid w:val="00A71D06"/>
    <w:rsid w:val="00A72FD2"/>
    <w:rsid w:val="00A74E1B"/>
    <w:rsid w:val="00A770B1"/>
    <w:rsid w:val="00A7792E"/>
    <w:rsid w:val="00A87B14"/>
    <w:rsid w:val="00A90AEB"/>
    <w:rsid w:val="00A90E97"/>
    <w:rsid w:val="00A97311"/>
    <w:rsid w:val="00AA0D0C"/>
    <w:rsid w:val="00AA2C0A"/>
    <w:rsid w:val="00AA5F37"/>
    <w:rsid w:val="00AA6CDC"/>
    <w:rsid w:val="00AB0F69"/>
    <w:rsid w:val="00AB1BE1"/>
    <w:rsid w:val="00AB2102"/>
    <w:rsid w:val="00AB66E1"/>
    <w:rsid w:val="00AB73AF"/>
    <w:rsid w:val="00AC129C"/>
    <w:rsid w:val="00AC17A2"/>
    <w:rsid w:val="00AC1B23"/>
    <w:rsid w:val="00AC2779"/>
    <w:rsid w:val="00AC3312"/>
    <w:rsid w:val="00AC5122"/>
    <w:rsid w:val="00AC65F0"/>
    <w:rsid w:val="00AE5C7D"/>
    <w:rsid w:val="00AF046B"/>
    <w:rsid w:val="00AF0787"/>
    <w:rsid w:val="00AF5EB5"/>
    <w:rsid w:val="00AF64DF"/>
    <w:rsid w:val="00B00D32"/>
    <w:rsid w:val="00B10DA8"/>
    <w:rsid w:val="00B1341A"/>
    <w:rsid w:val="00B16B24"/>
    <w:rsid w:val="00B20809"/>
    <w:rsid w:val="00B21B51"/>
    <w:rsid w:val="00B24741"/>
    <w:rsid w:val="00B259BF"/>
    <w:rsid w:val="00B269B5"/>
    <w:rsid w:val="00B33DAC"/>
    <w:rsid w:val="00B36681"/>
    <w:rsid w:val="00B40F06"/>
    <w:rsid w:val="00B41F5C"/>
    <w:rsid w:val="00B52931"/>
    <w:rsid w:val="00B619DE"/>
    <w:rsid w:val="00B729F3"/>
    <w:rsid w:val="00B732C3"/>
    <w:rsid w:val="00B7381C"/>
    <w:rsid w:val="00B771C1"/>
    <w:rsid w:val="00B772BC"/>
    <w:rsid w:val="00B82EC1"/>
    <w:rsid w:val="00B928C0"/>
    <w:rsid w:val="00B93F87"/>
    <w:rsid w:val="00B95E36"/>
    <w:rsid w:val="00B97051"/>
    <w:rsid w:val="00BA79AE"/>
    <w:rsid w:val="00BA7F37"/>
    <w:rsid w:val="00BB16F9"/>
    <w:rsid w:val="00BB1A01"/>
    <w:rsid w:val="00BB7AAB"/>
    <w:rsid w:val="00BC1D42"/>
    <w:rsid w:val="00BC5F01"/>
    <w:rsid w:val="00BD0C0C"/>
    <w:rsid w:val="00BD5782"/>
    <w:rsid w:val="00BD7137"/>
    <w:rsid w:val="00BE28CB"/>
    <w:rsid w:val="00BE4D88"/>
    <w:rsid w:val="00BE4EC7"/>
    <w:rsid w:val="00BF443A"/>
    <w:rsid w:val="00C138AE"/>
    <w:rsid w:val="00C170F5"/>
    <w:rsid w:val="00C311D4"/>
    <w:rsid w:val="00C423AF"/>
    <w:rsid w:val="00C423E3"/>
    <w:rsid w:val="00C534AB"/>
    <w:rsid w:val="00C61CC9"/>
    <w:rsid w:val="00C62BF8"/>
    <w:rsid w:val="00C67744"/>
    <w:rsid w:val="00C70075"/>
    <w:rsid w:val="00C714CA"/>
    <w:rsid w:val="00C7262A"/>
    <w:rsid w:val="00C74561"/>
    <w:rsid w:val="00C7618E"/>
    <w:rsid w:val="00C77178"/>
    <w:rsid w:val="00C80C09"/>
    <w:rsid w:val="00C8437A"/>
    <w:rsid w:val="00C865BB"/>
    <w:rsid w:val="00C866EF"/>
    <w:rsid w:val="00C94D97"/>
    <w:rsid w:val="00C95658"/>
    <w:rsid w:val="00CA01FF"/>
    <w:rsid w:val="00CA1BD8"/>
    <w:rsid w:val="00CA5B86"/>
    <w:rsid w:val="00CA6E8E"/>
    <w:rsid w:val="00CA7933"/>
    <w:rsid w:val="00CB088C"/>
    <w:rsid w:val="00CB3710"/>
    <w:rsid w:val="00CC4746"/>
    <w:rsid w:val="00CD7D74"/>
    <w:rsid w:val="00CD7E96"/>
    <w:rsid w:val="00CE0C91"/>
    <w:rsid w:val="00CE27F6"/>
    <w:rsid w:val="00CE308E"/>
    <w:rsid w:val="00CE33F3"/>
    <w:rsid w:val="00CE467C"/>
    <w:rsid w:val="00CE4B4F"/>
    <w:rsid w:val="00CF1D75"/>
    <w:rsid w:val="00CF429A"/>
    <w:rsid w:val="00CF6807"/>
    <w:rsid w:val="00D10D6C"/>
    <w:rsid w:val="00D14EC0"/>
    <w:rsid w:val="00D20547"/>
    <w:rsid w:val="00D24827"/>
    <w:rsid w:val="00D33F79"/>
    <w:rsid w:val="00D35CA9"/>
    <w:rsid w:val="00D361A7"/>
    <w:rsid w:val="00D441FE"/>
    <w:rsid w:val="00D45734"/>
    <w:rsid w:val="00D46474"/>
    <w:rsid w:val="00D521AE"/>
    <w:rsid w:val="00D52FE0"/>
    <w:rsid w:val="00D53FBB"/>
    <w:rsid w:val="00D56CFC"/>
    <w:rsid w:val="00D6381C"/>
    <w:rsid w:val="00D640FC"/>
    <w:rsid w:val="00D71295"/>
    <w:rsid w:val="00D80740"/>
    <w:rsid w:val="00D80C53"/>
    <w:rsid w:val="00D8524E"/>
    <w:rsid w:val="00D85F26"/>
    <w:rsid w:val="00D93865"/>
    <w:rsid w:val="00D97563"/>
    <w:rsid w:val="00D97A4C"/>
    <w:rsid w:val="00DA4376"/>
    <w:rsid w:val="00DB4FBC"/>
    <w:rsid w:val="00DC16FC"/>
    <w:rsid w:val="00DC302B"/>
    <w:rsid w:val="00DC4865"/>
    <w:rsid w:val="00DC57CD"/>
    <w:rsid w:val="00DC58BA"/>
    <w:rsid w:val="00DC70CD"/>
    <w:rsid w:val="00DD0465"/>
    <w:rsid w:val="00DE4DA4"/>
    <w:rsid w:val="00DF298B"/>
    <w:rsid w:val="00DF541E"/>
    <w:rsid w:val="00DFFF4C"/>
    <w:rsid w:val="00E01E3E"/>
    <w:rsid w:val="00E07C87"/>
    <w:rsid w:val="00E07D87"/>
    <w:rsid w:val="00E103E3"/>
    <w:rsid w:val="00E10D32"/>
    <w:rsid w:val="00E12739"/>
    <w:rsid w:val="00E15EDF"/>
    <w:rsid w:val="00E232EA"/>
    <w:rsid w:val="00E27C79"/>
    <w:rsid w:val="00E3082E"/>
    <w:rsid w:val="00E33A7D"/>
    <w:rsid w:val="00E35FE2"/>
    <w:rsid w:val="00E47A99"/>
    <w:rsid w:val="00E52FD5"/>
    <w:rsid w:val="00E55EB6"/>
    <w:rsid w:val="00E66F4F"/>
    <w:rsid w:val="00E73F42"/>
    <w:rsid w:val="00E93478"/>
    <w:rsid w:val="00EA0107"/>
    <w:rsid w:val="00EA0757"/>
    <w:rsid w:val="00EB059A"/>
    <w:rsid w:val="00EB13A3"/>
    <w:rsid w:val="00EB3FA4"/>
    <w:rsid w:val="00EC23E5"/>
    <w:rsid w:val="00EC684B"/>
    <w:rsid w:val="00ED478D"/>
    <w:rsid w:val="00ED7CD8"/>
    <w:rsid w:val="00EE2486"/>
    <w:rsid w:val="00EE5EB0"/>
    <w:rsid w:val="00EF439F"/>
    <w:rsid w:val="00EF63A7"/>
    <w:rsid w:val="00EF6593"/>
    <w:rsid w:val="00F12BC6"/>
    <w:rsid w:val="00F3504F"/>
    <w:rsid w:val="00F37CBE"/>
    <w:rsid w:val="00F51FEF"/>
    <w:rsid w:val="00F5212F"/>
    <w:rsid w:val="00F72617"/>
    <w:rsid w:val="00F72D85"/>
    <w:rsid w:val="00F808BD"/>
    <w:rsid w:val="00F86D6E"/>
    <w:rsid w:val="00F94032"/>
    <w:rsid w:val="00F97D13"/>
    <w:rsid w:val="00FA1104"/>
    <w:rsid w:val="00FA3CDD"/>
    <w:rsid w:val="00FA4BA5"/>
    <w:rsid w:val="00FB064B"/>
    <w:rsid w:val="00FB17C1"/>
    <w:rsid w:val="00FB355F"/>
    <w:rsid w:val="00FC3378"/>
    <w:rsid w:val="00FC34DB"/>
    <w:rsid w:val="00FC7120"/>
    <w:rsid w:val="00FD572B"/>
    <w:rsid w:val="00FD74EC"/>
    <w:rsid w:val="00FD7C57"/>
    <w:rsid w:val="00FE0237"/>
    <w:rsid w:val="00FE3C8D"/>
    <w:rsid w:val="00FE4058"/>
    <w:rsid w:val="00FE4691"/>
    <w:rsid w:val="00FE687B"/>
    <w:rsid w:val="00FF48E5"/>
    <w:rsid w:val="0139C77F"/>
    <w:rsid w:val="015F40AF"/>
    <w:rsid w:val="0278104C"/>
    <w:rsid w:val="02B8482C"/>
    <w:rsid w:val="030BE3AE"/>
    <w:rsid w:val="037BE107"/>
    <w:rsid w:val="03C59C2D"/>
    <w:rsid w:val="03D211A7"/>
    <w:rsid w:val="0409A6B9"/>
    <w:rsid w:val="049084EB"/>
    <w:rsid w:val="04D9B8BC"/>
    <w:rsid w:val="06B8D2F9"/>
    <w:rsid w:val="06DB3CE1"/>
    <w:rsid w:val="0768B676"/>
    <w:rsid w:val="07FDF6E6"/>
    <w:rsid w:val="080AEA1C"/>
    <w:rsid w:val="0827885E"/>
    <w:rsid w:val="08E7F3A8"/>
    <w:rsid w:val="09193B8E"/>
    <w:rsid w:val="09376CC7"/>
    <w:rsid w:val="0994B9BD"/>
    <w:rsid w:val="09D6D90D"/>
    <w:rsid w:val="0A175A2D"/>
    <w:rsid w:val="0A3F281C"/>
    <w:rsid w:val="0A58EBAE"/>
    <w:rsid w:val="0A637611"/>
    <w:rsid w:val="0A972111"/>
    <w:rsid w:val="0AC74AAC"/>
    <w:rsid w:val="0AC789AA"/>
    <w:rsid w:val="0B569A45"/>
    <w:rsid w:val="0B8E494E"/>
    <w:rsid w:val="0C4E8085"/>
    <w:rsid w:val="0C7E0567"/>
    <w:rsid w:val="0CA1B03B"/>
    <w:rsid w:val="0D8350A9"/>
    <w:rsid w:val="0DAC268E"/>
    <w:rsid w:val="0DFA728B"/>
    <w:rsid w:val="0E40517A"/>
    <w:rsid w:val="0F4092E0"/>
    <w:rsid w:val="0F8889BF"/>
    <w:rsid w:val="0FF28E11"/>
    <w:rsid w:val="1063B135"/>
    <w:rsid w:val="10F72F12"/>
    <w:rsid w:val="11D905F4"/>
    <w:rsid w:val="127A9C1A"/>
    <w:rsid w:val="1285D5C4"/>
    <w:rsid w:val="12D25C91"/>
    <w:rsid w:val="131386F1"/>
    <w:rsid w:val="13825785"/>
    <w:rsid w:val="139D5DEB"/>
    <w:rsid w:val="144DD9CB"/>
    <w:rsid w:val="147A429A"/>
    <w:rsid w:val="147B085F"/>
    <w:rsid w:val="149CF463"/>
    <w:rsid w:val="14C3775C"/>
    <w:rsid w:val="14D2A027"/>
    <w:rsid w:val="15ADA955"/>
    <w:rsid w:val="15EAD7E2"/>
    <w:rsid w:val="16AE61BF"/>
    <w:rsid w:val="16D01AE5"/>
    <w:rsid w:val="17210AD5"/>
    <w:rsid w:val="173EE38F"/>
    <w:rsid w:val="184B25DF"/>
    <w:rsid w:val="18F796D9"/>
    <w:rsid w:val="192875B8"/>
    <w:rsid w:val="192D5692"/>
    <w:rsid w:val="19B7F33C"/>
    <w:rsid w:val="19CBE36B"/>
    <w:rsid w:val="1A9A42D5"/>
    <w:rsid w:val="1AA9D639"/>
    <w:rsid w:val="1AC44619"/>
    <w:rsid w:val="1AE2D031"/>
    <w:rsid w:val="1AF70AF8"/>
    <w:rsid w:val="1B1BABF5"/>
    <w:rsid w:val="1B3C01E7"/>
    <w:rsid w:val="1BB5A675"/>
    <w:rsid w:val="1C567C34"/>
    <w:rsid w:val="1C60167A"/>
    <w:rsid w:val="1C7419B9"/>
    <w:rsid w:val="1D429E96"/>
    <w:rsid w:val="1D83533A"/>
    <w:rsid w:val="1DDB93B4"/>
    <w:rsid w:val="1E98140F"/>
    <w:rsid w:val="1EA7B8D0"/>
    <w:rsid w:val="1F67CF3F"/>
    <w:rsid w:val="204F8013"/>
    <w:rsid w:val="2097F2B4"/>
    <w:rsid w:val="20EC3D1D"/>
    <w:rsid w:val="21A94095"/>
    <w:rsid w:val="22160FB9"/>
    <w:rsid w:val="22384116"/>
    <w:rsid w:val="2263C262"/>
    <w:rsid w:val="22E1302E"/>
    <w:rsid w:val="23103086"/>
    <w:rsid w:val="236BE75A"/>
    <w:rsid w:val="237735EE"/>
    <w:rsid w:val="237C2612"/>
    <w:rsid w:val="23CD6A42"/>
    <w:rsid w:val="242BE52B"/>
    <w:rsid w:val="24584F7B"/>
    <w:rsid w:val="248166C5"/>
    <w:rsid w:val="24BB8039"/>
    <w:rsid w:val="24DCCC0C"/>
    <w:rsid w:val="24E1131C"/>
    <w:rsid w:val="24E2B214"/>
    <w:rsid w:val="2533DE9F"/>
    <w:rsid w:val="25399A7D"/>
    <w:rsid w:val="254ECD0A"/>
    <w:rsid w:val="259247A9"/>
    <w:rsid w:val="25F08B5D"/>
    <w:rsid w:val="268F255C"/>
    <w:rsid w:val="272FABA1"/>
    <w:rsid w:val="2757E3C6"/>
    <w:rsid w:val="27664CEA"/>
    <w:rsid w:val="27E29AF2"/>
    <w:rsid w:val="28B0EFCE"/>
    <w:rsid w:val="28C81D07"/>
    <w:rsid w:val="292FBE1A"/>
    <w:rsid w:val="293905D8"/>
    <w:rsid w:val="29500C10"/>
    <w:rsid w:val="2A5E30E8"/>
    <w:rsid w:val="2A861ED3"/>
    <w:rsid w:val="2A8F3A56"/>
    <w:rsid w:val="2AD4AD4D"/>
    <w:rsid w:val="2AF0BFC8"/>
    <w:rsid w:val="2B086965"/>
    <w:rsid w:val="2C0E431C"/>
    <w:rsid w:val="2C2DDCBC"/>
    <w:rsid w:val="2C3507DC"/>
    <w:rsid w:val="2C4BDA7D"/>
    <w:rsid w:val="2C9B913A"/>
    <w:rsid w:val="2CCEB594"/>
    <w:rsid w:val="2D69FD37"/>
    <w:rsid w:val="2DB478FD"/>
    <w:rsid w:val="2DF2C10B"/>
    <w:rsid w:val="2E0EB687"/>
    <w:rsid w:val="2E8DE88F"/>
    <w:rsid w:val="2ED5E59B"/>
    <w:rsid w:val="2EFFF63C"/>
    <w:rsid w:val="2F28EA23"/>
    <w:rsid w:val="2FD39842"/>
    <w:rsid w:val="2FFA4908"/>
    <w:rsid w:val="305F09D0"/>
    <w:rsid w:val="30DD9E36"/>
    <w:rsid w:val="3100F11B"/>
    <w:rsid w:val="315D48EE"/>
    <w:rsid w:val="318994B3"/>
    <w:rsid w:val="321D1B33"/>
    <w:rsid w:val="325D6B89"/>
    <w:rsid w:val="32C664FF"/>
    <w:rsid w:val="32DA9FC6"/>
    <w:rsid w:val="3302E499"/>
    <w:rsid w:val="33511C2B"/>
    <w:rsid w:val="33EB48C1"/>
    <w:rsid w:val="345C7C27"/>
    <w:rsid w:val="3496CF43"/>
    <w:rsid w:val="34D48EB8"/>
    <w:rsid w:val="3501B15D"/>
    <w:rsid w:val="359CB071"/>
    <w:rsid w:val="35B34C9B"/>
    <w:rsid w:val="35BF729E"/>
    <w:rsid w:val="3613AF96"/>
    <w:rsid w:val="3651DAA2"/>
    <w:rsid w:val="36BB7C2B"/>
    <w:rsid w:val="37060828"/>
    <w:rsid w:val="37E95821"/>
    <w:rsid w:val="397D5FF9"/>
    <w:rsid w:val="3A161165"/>
    <w:rsid w:val="3A31FD0D"/>
    <w:rsid w:val="3ADFAA70"/>
    <w:rsid w:val="3B319D28"/>
    <w:rsid w:val="3B4F7C28"/>
    <w:rsid w:val="3B9C0593"/>
    <w:rsid w:val="3BBA6DD8"/>
    <w:rsid w:val="3BCDCD6E"/>
    <w:rsid w:val="3C411300"/>
    <w:rsid w:val="3CC11241"/>
    <w:rsid w:val="3CC11B1A"/>
    <w:rsid w:val="3D007904"/>
    <w:rsid w:val="3D4DFE50"/>
    <w:rsid w:val="3DCFA4AA"/>
    <w:rsid w:val="3DEC58DC"/>
    <w:rsid w:val="3E3336EE"/>
    <w:rsid w:val="3E34E638"/>
    <w:rsid w:val="3EA43524"/>
    <w:rsid w:val="3F23CC6D"/>
    <w:rsid w:val="3F838ECE"/>
    <w:rsid w:val="3F9990DC"/>
    <w:rsid w:val="40FB03DD"/>
    <w:rsid w:val="4126833E"/>
    <w:rsid w:val="412E4133"/>
    <w:rsid w:val="414D08CB"/>
    <w:rsid w:val="41F9CED7"/>
    <w:rsid w:val="41FDB514"/>
    <w:rsid w:val="42630C74"/>
    <w:rsid w:val="426DCE5D"/>
    <w:rsid w:val="42C3AC82"/>
    <w:rsid w:val="43622BC5"/>
    <w:rsid w:val="43A65E4C"/>
    <w:rsid w:val="43C6A2F2"/>
    <w:rsid w:val="44176090"/>
    <w:rsid w:val="4449FA27"/>
    <w:rsid w:val="44B26E36"/>
    <w:rsid w:val="44B48C9B"/>
    <w:rsid w:val="4570D795"/>
    <w:rsid w:val="459ECD9A"/>
    <w:rsid w:val="45AA5476"/>
    <w:rsid w:val="45C59119"/>
    <w:rsid w:val="45DB8116"/>
    <w:rsid w:val="45E550CA"/>
    <w:rsid w:val="46299287"/>
    <w:rsid w:val="471F8049"/>
    <w:rsid w:val="478F8E50"/>
    <w:rsid w:val="478FAF4D"/>
    <w:rsid w:val="47EC81DB"/>
    <w:rsid w:val="489C66D1"/>
    <w:rsid w:val="48CAA628"/>
    <w:rsid w:val="48DE1773"/>
    <w:rsid w:val="4906381E"/>
    <w:rsid w:val="49075E93"/>
    <w:rsid w:val="49B00FBC"/>
    <w:rsid w:val="4A158BE8"/>
    <w:rsid w:val="4A763DB5"/>
    <w:rsid w:val="4A9DF6FC"/>
    <w:rsid w:val="4AE1FAE8"/>
    <w:rsid w:val="4AFE080B"/>
    <w:rsid w:val="4B9BCDC4"/>
    <w:rsid w:val="4BDBB605"/>
    <w:rsid w:val="4BF328CD"/>
    <w:rsid w:val="4C61B141"/>
    <w:rsid w:val="4C8FD268"/>
    <w:rsid w:val="4CA22217"/>
    <w:rsid w:val="4D7BBECC"/>
    <w:rsid w:val="4DE5CCC0"/>
    <w:rsid w:val="4E5A7F6C"/>
    <w:rsid w:val="4EA7F788"/>
    <w:rsid w:val="4F995203"/>
    <w:rsid w:val="4FD36479"/>
    <w:rsid w:val="502F726C"/>
    <w:rsid w:val="50494CF7"/>
    <w:rsid w:val="5069D7D5"/>
    <w:rsid w:val="50BBA5BE"/>
    <w:rsid w:val="50C8C05E"/>
    <w:rsid w:val="5144D712"/>
    <w:rsid w:val="519F32D2"/>
    <w:rsid w:val="51F803CC"/>
    <w:rsid w:val="52610C82"/>
    <w:rsid w:val="526549FB"/>
    <w:rsid w:val="529C309B"/>
    <w:rsid w:val="52EEED32"/>
    <w:rsid w:val="5315B680"/>
    <w:rsid w:val="535AA669"/>
    <w:rsid w:val="536D23BB"/>
    <w:rsid w:val="541448A7"/>
    <w:rsid w:val="549CEFAB"/>
    <w:rsid w:val="54D6D394"/>
    <w:rsid w:val="54DEEDF1"/>
    <w:rsid w:val="54F676CA"/>
    <w:rsid w:val="5607FACB"/>
    <w:rsid w:val="56187B06"/>
    <w:rsid w:val="562CB5CD"/>
    <w:rsid w:val="5648C9C1"/>
    <w:rsid w:val="5681DA3A"/>
    <w:rsid w:val="56A2FD86"/>
    <w:rsid w:val="570A057C"/>
    <w:rsid w:val="57A7FD6B"/>
    <w:rsid w:val="58038CC1"/>
    <w:rsid w:val="58E7B84E"/>
    <w:rsid w:val="592037EB"/>
    <w:rsid w:val="59214EF2"/>
    <w:rsid w:val="5937E2AA"/>
    <w:rsid w:val="59C9E7ED"/>
    <w:rsid w:val="5A4827F7"/>
    <w:rsid w:val="5ABB866F"/>
    <w:rsid w:val="5B1D3FB8"/>
    <w:rsid w:val="5BFA1502"/>
    <w:rsid w:val="5BFAFB38"/>
    <w:rsid w:val="5C2D8EB5"/>
    <w:rsid w:val="5CC03356"/>
    <w:rsid w:val="5D451F16"/>
    <w:rsid w:val="5D4E2002"/>
    <w:rsid w:val="5D95E563"/>
    <w:rsid w:val="5E2FA856"/>
    <w:rsid w:val="5EEE1B9A"/>
    <w:rsid w:val="5F01046C"/>
    <w:rsid w:val="5F4A9C6F"/>
    <w:rsid w:val="5F8A453A"/>
    <w:rsid w:val="5FB76353"/>
    <w:rsid w:val="602DA48F"/>
    <w:rsid w:val="6097BF65"/>
    <w:rsid w:val="613EE5DB"/>
    <w:rsid w:val="621369DC"/>
    <w:rsid w:val="62372677"/>
    <w:rsid w:val="6268E557"/>
    <w:rsid w:val="626B69AB"/>
    <w:rsid w:val="62B0A59E"/>
    <w:rsid w:val="62DC4F25"/>
    <w:rsid w:val="6398C098"/>
    <w:rsid w:val="64280B6A"/>
    <w:rsid w:val="642BC679"/>
    <w:rsid w:val="6430813E"/>
    <w:rsid w:val="64383BF3"/>
    <w:rsid w:val="6444638D"/>
    <w:rsid w:val="659CD2AF"/>
    <w:rsid w:val="65B5227B"/>
    <w:rsid w:val="68ABBAEF"/>
    <w:rsid w:val="68BB3A8D"/>
    <w:rsid w:val="68D47371"/>
    <w:rsid w:val="68FC6A7D"/>
    <w:rsid w:val="6929836F"/>
    <w:rsid w:val="6946BD86"/>
    <w:rsid w:val="697079DD"/>
    <w:rsid w:val="699827D4"/>
    <w:rsid w:val="69CEA2B2"/>
    <w:rsid w:val="6A5C9CD3"/>
    <w:rsid w:val="6A8B5614"/>
    <w:rsid w:val="6ADEC564"/>
    <w:rsid w:val="6B56F087"/>
    <w:rsid w:val="6B83C99E"/>
    <w:rsid w:val="6B9288DB"/>
    <w:rsid w:val="6C0870B2"/>
    <w:rsid w:val="6C96BD06"/>
    <w:rsid w:val="6CFE911E"/>
    <w:rsid w:val="6D6D51C7"/>
    <w:rsid w:val="6DB97B7C"/>
    <w:rsid w:val="6DC83243"/>
    <w:rsid w:val="6EBA8318"/>
    <w:rsid w:val="6EEDDE4A"/>
    <w:rsid w:val="6F873C1B"/>
    <w:rsid w:val="6FC4EF0D"/>
    <w:rsid w:val="6FEA8FFC"/>
    <w:rsid w:val="6FF4381E"/>
    <w:rsid w:val="7031D9E9"/>
    <w:rsid w:val="70540C40"/>
    <w:rsid w:val="70824EFB"/>
    <w:rsid w:val="713479FC"/>
    <w:rsid w:val="71731B45"/>
    <w:rsid w:val="71DC2A4D"/>
    <w:rsid w:val="72009F38"/>
    <w:rsid w:val="7234B9D8"/>
    <w:rsid w:val="72A04E81"/>
    <w:rsid w:val="72D933EA"/>
    <w:rsid w:val="732851C7"/>
    <w:rsid w:val="7349ED8E"/>
    <w:rsid w:val="7399D7EF"/>
    <w:rsid w:val="73E307AB"/>
    <w:rsid w:val="7446705C"/>
    <w:rsid w:val="745C4410"/>
    <w:rsid w:val="74642D60"/>
    <w:rsid w:val="7465B4C3"/>
    <w:rsid w:val="74AB5019"/>
    <w:rsid w:val="74E39EBD"/>
    <w:rsid w:val="7553A8F2"/>
    <w:rsid w:val="75650898"/>
    <w:rsid w:val="75B3BA01"/>
    <w:rsid w:val="75EEF095"/>
    <w:rsid w:val="75FB063D"/>
    <w:rsid w:val="7683E868"/>
    <w:rsid w:val="779F7447"/>
    <w:rsid w:val="77FEC4E0"/>
    <w:rsid w:val="7812AD61"/>
    <w:rsid w:val="78223772"/>
    <w:rsid w:val="7936D4F5"/>
    <w:rsid w:val="7A10A582"/>
    <w:rsid w:val="7A442AC3"/>
    <w:rsid w:val="7A8EC4AF"/>
    <w:rsid w:val="7B55A2C8"/>
    <w:rsid w:val="7B59D834"/>
    <w:rsid w:val="7C69FB8B"/>
    <w:rsid w:val="7D744862"/>
    <w:rsid w:val="7E12D532"/>
    <w:rsid w:val="7E6B82F1"/>
    <w:rsid w:val="7E771074"/>
    <w:rsid w:val="7E9178F6"/>
    <w:rsid w:val="7F39E47F"/>
    <w:rsid w:val="7F3DA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D62C2F6"/>
  <w15:chartTrackingRefBased/>
  <w15:docId w15:val="{9B175F28-966E-45D4-A455-38743962F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2594D"/>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32594D"/>
    <w:rPr>
      <w:sz w:val="20"/>
      <w:szCs w:val="20"/>
      <w:lang w:val="en-GB"/>
    </w:rPr>
  </w:style>
  <w:style w:type="character" w:styleId="FootnoteReference">
    <w:name w:val="footnote reference"/>
    <w:basedOn w:val="DefaultParagraphFont"/>
    <w:uiPriority w:val="99"/>
    <w:semiHidden/>
    <w:unhideWhenUsed/>
    <w:rsid w:val="0032594D"/>
    <w:rPr>
      <w:vertAlign w:val="superscript"/>
    </w:rPr>
  </w:style>
  <w:style w:type="character" w:styleId="CommentReference">
    <w:name w:val="annotation reference"/>
    <w:basedOn w:val="DefaultParagraphFont"/>
    <w:semiHidden/>
    <w:unhideWhenUsed/>
    <w:rsid w:val="002E2B2C"/>
    <w:rPr>
      <w:sz w:val="16"/>
      <w:szCs w:val="16"/>
    </w:rPr>
  </w:style>
  <w:style w:type="paragraph" w:styleId="CommentText">
    <w:name w:val="annotation text"/>
    <w:basedOn w:val="Normal"/>
    <w:link w:val="CommentTextChar"/>
    <w:uiPriority w:val="99"/>
    <w:unhideWhenUsed/>
    <w:qFormat/>
    <w:rsid w:val="002E2B2C"/>
    <w:pPr>
      <w:spacing w:line="240" w:lineRule="auto"/>
    </w:pPr>
    <w:rPr>
      <w:sz w:val="20"/>
      <w:szCs w:val="20"/>
    </w:rPr>
  </w:style>
  <w:style w:type="character" w:customStyle="1" w:styleId="CommentTextChar">
    <w:name w:val="Comment Text Char"/>
    <w:basedOn w:val="DefaultParagraphFont"/>
    <w:link w:val="CommentText"/>
    <w:uiPriority w:val="99"/>
    <w:qFormat/>
    <w:rsid w:val="002E2B2C"/>
    <w:rPr>
      <w:sz w:val="20"/>
      <w:szCs w:val="20"/>
    </w:rPr>
  </w:style>
  <w:style w:type="paragraph" w:styleId="CommentSubject">
    <w:name w:val="annotation subject"/>
    <w:basedOn w:val="CommentText"/>
    <w:next w:val="CommentText"/>
    <w:link w:val="CommentSubjectChar"/>
    <w:uiPriority w:val="99"/>
    <w:semiHidden/>
    <w:unhideWhenUsed/>
    <w:rsid w:val="002E2B2C"/>
    <w:rPr>
      <w:b/>
      <w:bCs/>
    </w:rPr>
  </w:style>
  <w:style w:type="character" w:customStyle="1" w:styleId="CommentSubjectChar">
    <w:name w:val="Comment Subject Char"/>
    <w:basedOn w:val="CommentTextChar"/>
    <w:link w:val="CommentSubject"/>
    <w:uiPriority w:val="99"/>
    <w:semiHidden/>
    <w:rsid w:val="002E2B2C"/>
    <w:rPr>
      <w:b/>
      <w:bCs/>
      <w:sz w:val="20"/>
      <w:szCs w:val="20"/>
    </w:rPr>
  </w:style>
  <w:style w:type="paragraph" w:styleId="BalloonText">
    <w:name w:val="Balloon Text"/>
    <w:basedOn w:val="Normal"/>
    <w:link w:val="BalloonTextChar"/>
    <w:uiPriority w:val="99"/>
    <w:semiHidden/>
    <w:unhideWhenUsed/>
    <w:rsid w:val="002E2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B2C"/>
    <w:rPr>
      <w:rFonts w:ascii="Segoe UI" w:hAnsi="Segoe UI" w:cs="Segoe UI"/>
      <w:sz w:val="18"/>
      <w:szCs w:val="18"/>
    </w:rPr>
  </w:style>
  <w:style w:type="paragraph" w:customStyle="1" w:styleId="BodyText1">
    <w:name w:val="Body Text1"/>
    <w:basedOn w:val="Normal"/>
    <w:link w:val="BodytextChar"/>
    <w:qFormat/>
    <w:rsid w:val="00C170F5"/>
    <w:pPr>
      <w:spacing w:before="120" w:after="120" w:line="240" w:lineRule="auto"/>
      <w:jc w:val="both"/>
    </w:pPr>
    <w:rPr>
      <w:rFonts w:ascii="Arial" w:eastAsia="Times New Roman" w:hAnsi="Arial" w:cs="Times New Roman"/>
      <w:noProof/>
      <w:szCs w:val="20"/>
      <w:lang w:val="en-GB"/>
    </w:rPr>
  </w:style>
  <w:style w:type="character" w:customStyle="1" w:styleId="BodytextChar">
    <w:name w:val="Body text Char"/>
    <w:link w:val="BodyText1"/>
    <w:rsid w:val="00C170F5"/>
    <w:rPr>
      <w:rFonts w:ascii="Arial" w:eastAsia="Times New Roman" w:hAnsi="Arial" w:cs="Times New Roman"/>
      <w:noProof/>
      <w:szCs w:val="20"/>
      <w:lang w:val="en-GB"/>
    </w:rPr>
  </w:style>
  <w:style w:type="paragraph" w:styleId="Header">
    <w:name w:val="header"/>
    <w:basedOn w:val="Normal"/>
    <w:link w:val="HeaderChar"/>
    <w:uiPriority w:val="99"/>
    <w:unhideWhenUsed/>
    <w:rsid w:val="00D97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563"/>
  </w:style>
  <w:style w:type="paragraph" w:styleId="Footer">
    <w:name w:val="footer"/>
    <w:basedOn w:val="Normal"/>
    <w:link w:val="FooterChar"/>
    <w:uiPriority w:val="99"/>
    <w:unhideWhenUsed/>
    <w:rsid w:val="00D97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563"/>
  </w:style>
  <w:style w:type="paragraph" w:styleId="ListParagraph">
    <w:name w:val="List Paragraph"/>
    <w:basedOn w:val="Normal"/>
    <w:uiPriority w:val="34"/>
    <w:qFormat/>
    <w:rsid w:val="00ED7CD8"/>
    <w:pPr>
      <w:ind w:left="720"/>
      <w:contextualSpacing/>
    </w:pPr>
  </w:style>
  <w:style w:type="paragraph" w:styleId="Revision">
    <w:name w:val="Revision"/>
    <w:hidden/>
    <w:uiPriority w:val="99"/>
    <w:semiHidden/>
    <w:rsid w:val="0091071D"/>
    <w:pPr>
      <w:spacing w:after="0" w:line="240" w:lineRule="auto"/>
    </w:pPr>
  </w:style>
  <w:style w:type="character" w:styleId="Hyperlink">
    <w:name w:val="Hyperlink"/>
    <w:basedOn w:val="DefaultParagraphFont"/>
    <w:uiPriority w:val="99"/>
    <w:unhideWhenUsed/>
    <w:rsid w:val="001C5FD9"/>
    <w:rPr>
      <w:color w:val="0563C1" w:themeColor="hyperlink"/>
      <w:u w:val="single"/>
    </w:rPr>
  </w:style>
  <w:style w:type="character" w:customStyle="1" w:styleId="UnresolvedMention">
    <w:name w:val="Unresolved Mention"/>
    <w:basedOn w:val="DefaultParagraphFont"/>
    <w:uiPriority w:val="99"/>
    <w:semiHidden/>
    <w:unhideWhenUsed/>
    <w:rsid w:val="001C5FD9"/>
    <w:rPr>
      <w:color w:val="605E5C"/>
      <w:shd w:val="clear" w:color="auto" w:fill="E1DFDD"/>
    </w:rPr>
  </w:style>
  <w:style w:type="character" w:customStyle="1" w:styleId="Marker">
    <w:name w:val="Marker"/>
    <w:basedOn w:val="DefaultParagraphFont"/>
    <w:rsid w:val="002F72EE"/>
    <w:rPr>
      <w:color w:val="0000FF"/>
      <w:shd w:val="clear" w:color="auto" w:fill="auto"/>
    </w:rPr>
  </w:style>
  <w:style w:type="paragraph" w:customStyle="1" w:styleId="Pagedecouverture">
    <w:name w:val="Page de couverture"/>
    <w:basedOn w:val="Normal"/>
    <w:next w:val="Normal"/>
    <w:rsid w:val="002F72E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F72E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F72EE"/>
    <w:rPr>
      <w:rFonts w:ascii="Times New Roman" w:hAnsi="Times New Roman" w:cs="Times New Roman"/>
      <w:sz w:val="24"/>
    </w:rPr>
  </w:style>
  <w:style w:type="paragraph" w:customStyle="1" w:styleId="FooterSensitivity">
    <w:name w:val="Footer Sensitivity"/>
    <w:basedOn w:val="Normal"/>
    <w:link w:val="FooterSensitivityChar"/>
    <w:rsid w:val="002F72E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F72EE"/>
    <w:rPr>
      <w:rFonts w:ascii="Times New Roman" w:hAnsi="Times New Roman" w:cs="Times New Roman"/>
      <w:b/>
      <w:sz w:val="32"/>
    </w:rPr>
  </w:style>
  <w:style w:type="paragraph" w:customStyle="1" w:styleId="HeaderCoverPage">
    <w:name w:val="Header Cover Page"/>
    <w:basedOn w:val="Normal"/>
    <w:link w:val="HeaderCoverPageChar"/>
    <w:rsid w:val="002F72E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F72EE"/>
    <w:rPr>
      <w:rFonts w:ascii="Times New Roman" w:hAnsi="Times New Roman" w:cs="Times New Roman"/>
      <w:sz w:val="24"/>
    </w:rPr>
  </w:style>
  <w:style w:type="paragraph" w:customStyle="1" w:styleId="HeaderSensitivity">
    <w:name w:val="Header Sensitivity"/>
    <w:basedOn w:val="Normal"/>
    <w:link w:val="HeaderSensitivityChar"/>
    <w:rsid w:val="002F72E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F72EE"/>
    <w:rPr>
      <w:rFonts w:ascii="Times New Roman" w:hAnsi="Times New Roman" w:cs="Times New Roman"/>
      <w:b/>
      <w:sz w:val="32"/>
    </w:rPr>
  </w:style>
  <w:style w:type="paragraph" w:customStyle="1" w:styleId="HeaderSensitivityRight">
    <w:name w:val="Header Sensitivity Right"/>
    <w:basedOn w:val="Normal"/>
    <w:link w:val="HeaderSensitivityRightChar"/>
    <w:rsid w:val="002F72E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F72EE"/>
    <w:rPr>
      <w:rFonts w:ascii="Times New Roman" w:hAnsi="Times New Roman" w:cs="Times New Roman"/>
      <w:sz w:val="28"/>
    </w:rPr>
  </w:style>
  <w:style w:type="character" w:styleId="FollowedHyperlink">
    <w:name w:val="FollowedHyperlink"/>
    <w:basedOn w:val="DefaultParagraphFont"/>
    <w:uiPriority w:val="99"/>
    <w:semiHidden/>
    <w:unhideWhenUsed/>
    <w:rsid w:val="004E1CB2"/>
    <w:rPr>
      <w:color w:val="954F72" w:themeColor="followedHyperlink"/>
      <w:u w:val="single"/>
    </w:rPr>
  </w:style>
  <w:style w:type="character" w:customStyle="1" w:styleId="normaltextrun">
    <w:name w:val="normaltextrun"/>
    <w:basedOn w:val="DefaultParagraphFont"/>
    <w:rsid w:val="00B7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5198">
      <w:bodyDiv w:val="1"/>
      <w:marLeft w:val="0"/>
      <w:marRight w:val="0"/>
      <w:marTop w:val="0"/>
      <w:marBottom w:val="0"/>
      <w:divBdr>
        <w:top w:val="none" w:sz="0" w:space="0" w:color="auto"/>
        <w:left w:val="none" w:sz="0" w:space="0" w:color="auto"/>
        <w:bottom w:val="none" w:sz="0" w:space="0" w:color="auto"/>
        <w:right w:val="none" w:sz="0" w:space="0" w:color="auto"/>
      </w:divBdr>
      <w:divsChild>
        <w:div w:id="1180660213">
          <w:marLeft w:val="0"/>
          <w:marRight w:val="0"/>
          <w:marTop w:val="0"/>
          <w:marBottom w:val="0"/>
          <w:divBdr>
            <w:top w:val="none" w:sz="0" w:space="0" w:color="auto"/>
            <w:left w:val="none" w:sz="0" w:space="0" w:color="auto"/>
            <w:bottom w:val="none" w:sz="0" w:space="0" w:color="auto"/>
            <w:right w:val="none" w:sz="0" w:space="0" w:color="auto"/>
          </w:divBdr>
        </w:div>
        <w:div w:id="1719545830">
          <w:marLeft w:val="0"/>
          <w:marRight w:val="0"/>
          <w:marTop w:val="0"/>
          <w:marBottom w:val="0"/>
          <w:divBdr>
            <w:top w:val="none" w:sz="0" w:space="0" w:color="auto"/>
            <w:left w:val="none" w:sz="0" w:space="0" w:color="auto"/>
            <w:bottom w:val="none" w:sz="0" w:space="0" w:color="auto"/>
            <w:right w:val="none" w:sz="0" w:space="0" w:color="auto"/>
          </w:divBdr>
        </w:div>
      </w:divsChild>
    </w:div>
    <w:div w:id="288626945">
      <w:bodyDiv w:val="1"/>
      <w:marLeft w:val="0"/>
      <w:marRight w:val="0"/>
      <w:marTop w:val="0"/>
      <w:marBottom w:val="0"/>
      <w:divBdr>
        <w:top w:val="none" w:sz="0" w:space="0" w:color="auto"/>
        <w:left w:val="none" w:sz="0" w:space="0" w:color="auto"/>
        <w:bottom w:val="none" w:sz="0" w:space="0" w:color="auto"/>
        <w:right w:val="none" w:sz="0" w:space="0" w:color="auto"/>
      </w:divBdr>
    </w:div>
    <w:div w:id="557207864">
      <w:bodyDiv w:val="1"/>
      <w:marLeft w:val="0"/>
      <w:marRight w:val="0"/>
      <w:marTop w:val="0"/>
      <w:marBottom w:val="0"/>
      <w:divBdr>
        <w:top w:val="none" w:sz="0" w:space="0" w:color="auto"/>
        <w:left w:val="none" w:sz="0" w:space="0" w:color="auto"/>
        <w:bottom w:val="none" w:sz="0" w:space="0" w:color="auto"/>
        <w:right w:val="none" w:sz="0" w:space="0" w:color="auto"/>
      </w:divBdr>
    </w:div>
    <w:div w:id="560869117">
      <w:bodyDiv w:val="1"/>
      <w:marLeft w:val="0"/>
      <w:marRight w:val="0"/>
      <w:marTop w:val="0"/>
      <w:marBottom w:val="0"/>
      <w:divBdr>
        <w:top w:val="none" w:sz="0" w:space="0" w:color="auto"/>
        <w:left w:val="none" w:sz="0" w:space="0" w:color="auto"/>
        <w:bottom w:val="none" w:sz="0" w:space="0" w:color="auto"/>
        <w:right w:val="none" w:sz="0" w:space="0" w:color="auto"/>
      </w:divBdr>
      <w:divsChild>
        <w:div w:id="288709796">
          <w:marLeft w:val="0"/>
          <w:marRight w:val="0"/>
          <w:marTop w:val="0"/>
          <w:marBottom w:val="0"/>
          <w:divBdr>
            <w:top w:val="none" w:sz="0" w:space="0" w:color="auto"/>
            <w:left w:val="none" w:sz="0" w:space="0" w:color="auto"/>
            <w:bottom w:val="none" w:sz="0" w:space="0" w:color="auto"/>
            <w:right w:val="none" w:sz="0" w:space="0" w:color="auto"/>
          </w:divBdr>
        </w:div>
        <w:div w:id="1606498118">
          <w:marLeft w:val="0"/>
          <w:marRight w:val="0"/>
          <w:marTop w:val="0"/>
          <w:marBottom w:val="0"/>
          <w:divBdr>
            <w:top w:val="none" w:sz="0" w:space="0" w:color="auto"/>
            <w:left w:val="none" w:sz="0" w:space="0" w:color="auto"/>
            <w:bottom w:val="none" w:sz="0" w:space="0" w:color="auto"/>
            <w:right w:val="none" w:sz="0" w:space="0" w:color="auto"/>
          </w:divBdr>
        </w:div>
      </w:divsChild>
    </w:div>
    <w:div w:id="749428486">
      <w:bodyDiv w:val="1"/>
      <w:marLeft w:val="0"/>
      <w:marRight w:val="0"/>
      <w:marTop w:val="0"/>
      <w:marBottom w:val="0"/>
      <w:divBdr>
        <w:top w:val="none" w:sz="0" w:space="0" w:color="auto"/>
        <w:left w:val="none" w:sz="0" w:space="0" w:color="auto"/>
        <w:bottom w:val="none" w:sz="0" w:space="0" w:color="auto"/>
        <w:right w:val="none" w:sz="0" w:space="0" w:color="auto"/>
      </w:divBdr>
    </w:div>
    <w:div w:id="1662268858">
      <w:bodyDiv w:val="1"/>
      <w:marLeft w:val="0"/>
      <w:marRight w:val="0"/>
      <w:marTop w:val="0"/>
      <w:marBottom w:val="0"/>
      <w:divBdr>
        <w:top w:val="none" w:sz="0" w:space="0" w:color="auto"/>
        <w:left w:val="none" w:sz="0" w:space="0" w:color="auto"/>
        <w:bottom w:val="none" w:sz="0" w:space="0" w:color="auto"/>
        <w:right w:val="none" w:sz="0" w:space="0" w:color="auto"/>
      </w:divBdr>
      <w:divsChild>
        <w:div w:id="1875190415">
          <w:marLeft w:val="0"/>
          <w:marRight w:val="0"/>
          <w:marTop w:val="0"/>
          <w:marBottom w:val="0"/>
          <w:divBdr>
            <w:top w:val="none" w:sz="0" w:space="0" w:color="auto"/>
            <w:left w:val="none" w:sz="0" w:space="0" w:color="auto"/>
            <w:bottom w:val="none" w:sz="0" w:space="0" w:color="auto"/>
            <w:right w:val="none" w:sz="0" w:space="0" w:color="auto"/>
          </w:divBdr>
        </w:div>
        <w:div w:id="1929390806">
          <w:marLeft w:val="0"/>
          <w:marRight w:val="0"/>
          <w:marTop w:val="0"/>
          <w:marBottom w:val="0"/>
          <w:divBdr>
            <w:top w:val="none" w:sz="0" w:space="0" w:color="auto"/>
            <w:left w:val="none" w:sz="0" w:space="0" w:color="auto"/>
            <w:bottom w:val="none" w:sz="0" w:space="0" w:color="auto"/>
            <w:right w:val="none" w:sz="0" w:space="0" w:color="auto"/>
          </w:divBdr>
        </w:div>
      </w:divsChild>
    </w:div>
    <w:div w:id="2042896345">
      <w:bodyDiv w:val="1"/>
      <w:marLeft w:val="0"/>
      <w:marRight w:val="0"/>
      <w:marTop w:val="0"/>
      <w:marBottom w:val="0"/>
      <w:divBdr>
        <w:top w:val="none" w:sz="0" w:space="0" w:color="auto"/>
        <w:left w:val="none" w:sz="0" w:space="0" w:color="auto"/>
        <w:bottom w:val="none" w:sz="0" w:space="0" w:color="auto"/>
        <w:right w:val="none" w:sz="0" w:space="0" w:color="auto"/>
      </w:divBdr>
      <w:divsChild>
        <w:div w:id="457184041">
          <w:marLeft w:val="0"/>
          <w:marRight w:val="0"/>
          <w:marTop w:val="0"/>
          <w:marBottom w:val="0"/>
          <w:divBdr>
            <w:top w:val="single" w:sz="2" w:space="0" w:color="FF00FF"/>
            <w:left w:val="single" w:sz="2" w:space="0" w:color="FF00FF"/>
            <w:bottom w:val="single" w:sz="2" w:space="0" w:color="FF00FF"/>
            <w:right w:val="single" w:sz="2" w:space="0" w:color="FF00FF"/>
          </w:divBdr>
        </w:div>
        <w:div w:id="1303660112">
          <w:marLeft w:val="0"/>
          <w:marRight w:val="0"/>
          <w:marTop w:val="0"/>
          <w:marBottom w:val="120"/>
          <w:divBdr>
            <w:top w:val="single" w:sz="2" w:space="0" w:color="00FF00"/>
            <w:left w:val="single" w:sz="2" w:space="17" w:color="00FF00"/>
            <w:bottom w:val="single" w:sz="2" w:space="0" w:color="00FF00"/>
            <w:right w:val="single" w:sz="2" w:space="0" w:color="00FF00"/>
          </w:divBdr>
          <w:divsChild>
            <w:div w:id="735857297">
              <w:blockQuote w:val="1"/>
              <w:marLeft w:val="1050"/>
              <w:marRight w:val="0"/>
              <w:marTop w:val="75"/>
              <w:marBottom w:val="0"/>
              <w:divBdr>
                <w:top w:val="none" w:sz="0" w:space="0" w:color="auto"/>
                <w:left w:val="none" w:sz="0" w:space="0" w:color="auto"/>
                <w:bottom w:val="none" w:sz="0" w:space="0" w:color="auto"/>
                <w:right w:val="none" w:sz="0" w:space="0" w:color="auto"/>
              </w:divBdr>
            </w:div>
            <w:div w:id="1146749577">
              <w:blockQuote w:val="1"/>
              <w:marLeft w:val="1050"/>
              <w:marRight w:val="0"/>
              <w:marTop w:val="75"/>
              <w:marBottom w:val="0"/>
              <w:divBdr>
                <w:top w:val="none" w:sz="0" w:space="0" w:color="auto"/>
                <w:left w:val="none" w:sz="0" w:space="0" w:color="auto"/>
                <w:bottom w:val="none" w:sz="0" w:space="0" w:color="auto"/>
                <w:right w:val="none" w:sz="0" w:space="0" w:color="auto"/>
              </w:divBdr>
            </w:div>
          </w:divsChild>
        </w:div>
        <w:div w:id="283460604">
          <w:marLeft w:val="0"/>
          <w:marRight w:val="0"/>
          <w:marTop w:val="0"/>
          <w:marBottom w:val="0"/>
          <w:divBdr>
            <w:top w:val="single" w:sz="2" w:space="0" w:color="FF00FF"/>
            <w:left w:val="single" w:sz="2" w:space="0" w:color="FF00FF"/>
            <w:bottom w:val="single" w:sz="2" w:space="0" w:color="FF00FF"/>
            <w:right w:val="single" w:sz="2" w:space="0" w:color="FF00FF"/>
          </w:divBdr>
        </w:div>
        <w:div w:id="1232160169">
          <w:marLeft w:val="0"/>
          <w:marRight w:val="0"/>
          <w:marTop w:val="0"/>
          <w:marBottom w:val="120"/>
          <w:divBdr>
            <w:top w:val="single" w:sz="2" w:space="0" w:color="00FF00"/>
            <w:left w:val="single" w:sz="2" w:space="17" w:color="00FF00"/>
            <w:bottom w:val="single" w:sz="2" w:space="0" w:color="00FF00"/>
            <w:right w:val="single" w:sz="2" w:space="0" w:color="00FF00"/>
          </w:divBdr>
        </w:div>
      </w:divsChild>
    </w:div>
    <w:div w:id="2043552366">
      <w:bodyDiv w:val="1"/>
      <w:marLeft w:val="0"/>
      <w:marRight w:val="0"/>
      <w:marTop w:val="0"/>
      <w:marBottom w:val="0"/>
      <w:divBdr>
        <w:top w:val="none" w:sz="0" w:space="0" w:color="auto"/>
        <w:left w:val="none" w:sz="0" w:space="0" w:color="auto"/>
        <w:bottom w:val="none" w:sz="0" w:space="0" w:color="auto"/>
        <w:right w:val="none" w:sz="0" w:space="0" w:color="auto"/>
      </w:divBdr>
      <w:divsChild>
        <w:div w:id="427383767">
          <w:marLeft w:val="0"/>
          <w:marRight w:val="0"/>
          <w:marTop w:val="0"/>
          <w:marBottom w:val="0"/>
          <w:divBdr>
            <w:top w:val="none" w:sz="0" w:space="0" w:color="auto"/>
            <w:left w:val="none" w:sz="0" w:space="0" w:color="auto"/>
            <w:bottom w:val="none" w:sz="0" w:space="0" w:color="auto"/>
            <w:right w:val="none" w:sz="0" w:space="0" w:color="auto"/>
          </w:divBdr>
        </w:div>
        <w:div w:id="204447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eli/reg/2021/695/oj" TargetMode="External"/><Relationship Id="rId3" Type="http://schemas.openxmlformats.org/officeDocument/2006/relationships/hyperlink" Target="https://climate.ec.europa.eu/document/download/06c406a8-df93-4e38-b7ca-9a6929d5bddb_en?filename=c_2022_5759__en.pdf" TargetMode="External"/><Relationship Id="rId7" Type="http://schemas.openxmlformats.org/officeDocument/2006/relationships/hyperlink" Target="https://eur-lex.europa.eu/legal-content/EN/TXT/PDF/?uri=OJ:L_202302413" TargetMode="External"/><Relationship Id="rId2" Type="http://schemas.openxmlformats.org/officeDocument/2006/relationships/hyperlink" Target="https://climate.ec.europa.eu/document/download/8cd736dc-d508-408c-8cf7-9317048d1ff0_en?filename=c_2021_6022_en.pdf" TargetMode="External"/><Relationship Id="rId1" Type="http://schemas.openxmlformats.org/officeDocument/2006/relationships/hyperlink" Target="https://climate.ec.europa.eu/document/download/676175fd-f8db-40fb-b37a-cc7323c680a2_en?filename=c_2020_3184_en.pdf" TargetMode="External"/><Relationship Id="rId6" Type="http://schemas.openxmlformats.org/officeDocument/2006/relationships/hyperlink" Target="http://data.europa.eu/eli/reg/2023/1804/oj" TargetMode="External"/><Relationship Id="rId5" Type="http://schemas.openxmlformats.org/officeDocument/2006/relationships/hyperlink" Target="http://data.europa.eu/eli/reg/2023/1805/oj" TargetMode="External"/><Relationship Id="rId4" Type="http://schemas.openxmlformats.org/officeDocument/2006/relationships/hyperlink" Target="https://climate.ec.europa.eu/document/download/01688bd2-e5a5-48cd-97b7-415fb99666fa_en?filename=c_2023_1585_en.pdf" TargetMode="External"/><Relationship Id="rId9" Type="http://schemas.openxmlformats.org/officeDocument/2006/relationships/hyperlink" Target="http://data.europa.eu/eli/reg/2023/95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31f03-315b-4cd8-8e3a-6189969fd4f0" xsi:nil="true"/>
    <lcf76f155ced4ddcb4097134ff3c332f xmlns="5843c966-cb45-4885-93fc-2ce78a94204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782AF6692CB4E8097BF428225D135" ma:contentTypeVersion="16" ma:contentTypeDescription="Create a new document." ma:contentTypeScope="" ma:versionID="576009dcfc786a09f76f432edf4932ba">
  <xsd:schema xmlns:xsd="http://www.w3.org/2001/XMLSchema" xmlns:xs="http://www.w3.org/2001/XMLSchema" xmlns:p="http://schemas.microsoft.com/office/2006/metadata/properties" xmlns:ns2="5843c966-cb45-4885-93fc-2ce78a94204b" xmlns:ns3="ac131f03-315b-4cd8-8e3a-6189969fd4f0" targetNamespace="http://schemas.microsoft.com/office/2006/metadata/properties" ma:root="true" ma:fieldsID="41c5a744ac1b235ed4bb6dd34ea964a9" ns2:_="" ns3:_="">
    <xsd:import namespace="5843c966-cb45-4885-93fc-2ce78a94204b"/>
    <xsd:import namespace="ac131f03-315b-4cd8-8e3a-6189969fd4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3c966-cb45-4885-93fc-2ce78a942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1f03-315b-4cd8-8e3a-6189969fd4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a683dc-7c89-45b8-ab9d-480aec8b90de}" ma:internalName="TaxCatchAll" ma:showField="CatchAllData" ma:web="ac131f03-315b-4cd8-8e3a-6189969fd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62443-6AC3-4C82-83FE-9BACA8059360}">
  <ds:schemaRefs>
    <ds:schemaRef ds:uri="http://schemas.microsoft.com/office/2006/metadata/properties"/>
    <ds:schemaRef ds:uri="http://schemas.microsoft.com/office/infopath/2007/PartnerControls"/>
    <ds:schemaRef ds:uri="ac131f03-315b-4cd8-8e3a-6189969fd4f0"/>
    <ds:schemaRef ds:uri="5843c966-cb45-4885-93fc-2ce78a94204b"/>
  </ds:schemaRefs>
</ds:datastoreItem>
</file>

<file path=customXml/itemProps2.xml><?xml version="1.0" encoding="utf-8"?>
<ds:datastoreItem xmlns:ds="http://schemas.openxmlformats.org/officeDocument/2006/customXml" ds:itemID="{53009DA6-83EE-48AC-A13A-C60B428FB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3c966-cb45-4885-93fc-2ce78a94204b"/>
    <ds:schemaRef ds:uri="ac131f03-315b-4cd8-8e3a-6189969fd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C3CAE-D7A7-4C66-AA2A-3D55623F55E9}">
  <ds:schemaRefs>
    <ds:schemaRef ds:uri="http://schemas.microsoft.com/sharepoint/v3/contenttype/forms"/>
  </ds:schemaRefs>
</ds:datastoreItem>
</file>

<file path=customXml/itemProps4.xml><?xml version="1.0" encoding="utf-8"?>
<ds:datastoreItem xmlns:ds="http://schemas.openxmlformats.org/officeDocument/2006/customXml" ds:itemID="{F91E6F49-62EB-4D4C-A22D-89391226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30</cp:revision>
  <cp:lastPrinted>2023-11-29T13:33:00Z</cp:lastPrinted>
  <dcterms:created xsi:type="dcterms:W3CDTF">2024-02-07T16:39:00Z</dcterms:created>
  <dcterms:modified xsi:type="dcterms:W3CDTF">2024-04-05T10:11:00Z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6bd9ddd1-4d20-43f6-abfa-fc3c07406f94_Enabled">
    <vt:lpwstr>true</vt:lpwstr>
  </property>
  <property fmtid="{D5CDD505-2E9C-101B-9397-08002B2CF9AE}" pid="4" name="MSIP_Label_6bd9ddd1-4d20-43f6-abfa-fc3c07406f94_SetDate">
    <vt:lpwstr>2022-11-30T17:23:17Z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7de30471-c3a9-42ec-87ac-003d99f26d95</vt:lpwstr>
  </property>
  <property fmtid="{D5CDD505-2E9C-101B-9397-08002B2CF9AE}" pid="9" name="MSIP_Label_6bd9ddd1-4d20-43f6-abfa-fc3c07406f94_ContentBits">
    <vt:lpwstr>0</vt:lpwstr>
  </property>
  <property fmtid="{D5CDD505-2E9C-101B-9397-08002B2CF9AE}" pid="10" name="TitusGUID">
    <vt:lpwstr>5f3f0164-ee09-4c87-8967-7db60eacbe25</vt:lpwstr>
  </property>
  <property fmtid="{D5CDD505-2E9C-101B-9397-08002B2CF9AE}" pid="11" name="ContentTypeId">
    <vt:lpwstr>0x010100199782AF6692CB4E8097BF428225D135</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CP-003</vt:lpwstr>
  </property>
  <property fmtid="{D5CDD505-2E9C-101B-9397-08002B2CF9AE}" pid="17" name="Last edited using">
    <vt:lpwstr>LW 9.0, Build 20230317</vt:lpwstr>
  </property>
  <property fmtid="{D5CDD505-2E9C-101B-9397-08002B2CF9AE}" pid="18" name="Created using">
    <vt:lpwstr>LW 9.0, Build 20230317</vt:lpwstr>
  </property>
</Properties>
</file>