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D1CB8" w14:textId="505B4B87" w:rsidR="00E02FDD" w:rsidRPr="00977B90" w:rsidRDefault="009558C7" w:rsidP="009558C7">
      <w:pPr>
        <w:pStyle w:val="Pagedecouverture"/>
        <w:rPr>
          <w:noProof/>
        </w:rPr>
      </w:pPr>
      <w:bookmarkStart w:id="0" w:name="LW_BM_COVERPAGE"/>
      <w:r>
        <w:rPr>
          <w:noProof/>
        </w:rPr>
        <w:pict w14:anchorId="48F6E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2847511-E294-40A7-ACB0-A252C4AB3EBC" style="width:455.25pt;height:336.75pt">
            <v:imagedata r:id="rId11" o:title=""/>
          </v:shape>
        </w:pict>
      </w:r>
    </w:p>
    <w:bookmarkEnd w:id="0"/>
    <w:p w14:paraId="06B397F0" w14:textId="77777777" w:rsidR="00E02FDD" w:rsidRPr="00977B90" w:rsidRDefault="00E02FDD" w:rsidP="00530F2A">
      <w:pPr>
        <w:rPr>
          <w:noProof/>
        </w:rPr>
        <w:sectPr w:rsidR="00E02FDD" w:rsidRPr="00977B90" w:rsidSect="009558C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E79F4E0" w14:textId="77777777" w:rsidR="000E6E81" w:rsidRPr="00977B90" w:rsidRDefault="000E6E81" w:rsidP="00530F2A">
      <w:pPr>
        <w:pStyle w:val="Heading1"/>
        <w:rPr>
          <w:noProof/>
        </w:rPr>
      </w:pPr>
      <w:bookmarkStart w:id="1" w:name="_Toc39845161"/>
      <w:bookmarkStart w:id="2" w:name="_GoBack"/>
      <w:bookmarkEnd w:id="2"/>
      <w:r w:rsidRPr="00977B90">
        <w:rPr>
          <w:noProof/>
        </w:rPr>
        <w:lastRenderedPageBreak/>
        <w:t>Background</w:t>
      </w:r>
      <w:bookmarkEnd w:id="1"/>
    </w:p>
    <w:p w14:paraId="37869FCB" w14:textId="29F69647" w:rsidR="000E6E81" w:rsidRPr="00977B90" w:rsidRDefault="000E6E81" w:rsidP="00530F2A">
      <w:pPr>
        <w:rPr>
          <w:noProof/>
        </w:rPr>
      </w:pPr>
      <w:r w:rsidRPr="00977B90">
        <w:rPr>
          <w:noProof/>
        </w:rPr>
        <w:t xml:space="preserve">The Commission (Eurostat) collects statistics on </w:t>
      </w:r>
      <w:r w:rsidR="00010601" w:rsidRPr="00977B90">
        <w:rPr>
          <w:noProof/>
        </w:rPr>
        <w:t>farms</w:t>
      </w:r>
      <w:r w:rsidRPr="00977B90">
        <w:rPr>
          <w:noProof/>
        </w:rPr>
        <w:t xml:space="preserve"> under Regulation (E</w:t>
      </w:r>
      <w:r w:rsidR="00010601" w:rsidRPr="00977B90">
        <w:rPr>
          <w:noProof/>
        </w:rPr>
        <w:t>U</w:t>
      </w:r>
      <w:r w:rsidRPr="00977B90">
        <w:rPr>
          <w:noProof/>
        </w:rPr>
        <w:t>) 20</w:t>
      </w:r>
      <w:r w:rsidR="00010601" w:rsidRPr="00977B90">
        <w:rPr>
          <w:noProof/>
        </w:rPr>
        <w:t>18/1091</w:t>
      </w:r>
      <w:r w:rsidRPr="00977B90">
        <w:rPr>
          <w:noProof/>
        </w:rPr>
        <w:t xml:space="preserve"> of the European Parliament and of the Council</w:t>
      </w:r>
      <w:r w:rsidRPr="004517FF">
        <w:rPr>
          <w:rStyle w:val="FootnoteReference"/>
          <w:noProof/>
        </w:rPr>
        <w:footnoteReference w:id="2"/>
      </w:r>
      <w:r w:rsidRPr="00977B90">
        <w:rPr>
          <w:noProof/>
        </w:rPr>
        <w:t xml:space="preserve">. </w:t>
      </w:r>
      <w:r w:rsidR="00977B90">
        <w:rPr>
          <w:noProof/>
        </w:rPr>
        <w:t xml:space="preserve">Under </w:t>
      </w:r>
      <w:r w:rsidRPr="00977B90">
        <w:rPr>
          <w:noProof/>
        </w:rPr>
        <w:t>Article</w:t>
      </w:r>
      <w:r w:rsidR="00977B90">
        <w:rPr>
          <w:noProof/>
        </w:rPr>
        <w:t> </w:t>
      </w:r>
      <w:r w:rsidRPr="00977B90">
        <w:rPr>
          <w:noProof/>
        </w:rPr>
        <w:t>1</w:t>
      </w:r>
      <w:r w:rsidR="00010601" w:rsidRPr="00977B90">
        <w:rPr>
          <w:noProof/>
        </w:rPr>
        <w:t>8</w:t>
      </w:r>
      <w:r w:rsidRPr="00977B90">
        <w:rPr>
          <w:noProof/>
        </w:rPr>
        <w:t xml:space="preserve"> of th</w:t>
      </w:r>
      <w:r w:rsidR="00B1294B" w:rsidRPr="00977B90">
        <w:rPr>
          <w:noProof/>
        </w:rPr>
        <w:t>e</w:t>
      </w:r>
      <w:r w:rsidRPr="00977B90">
        <w:rPr>
          <w:noProof/>
        </w:rPr>
        <w:t xml:space="preserve"> Regulation</w:t>
      </w:r>
      <w:r w:rsidR="00977B90">
        <w:rPr>
          <w:noProof/>
        </w:rPr>
        <w:t>,</w:t>
      </w:r>
      <w:r w:rsidRPr="00977B90">
        <w:rPr>
          <w:noProof/>
        </w:rPr>
        <w:t xml:space="preserve"> </w:t>
      </w:r>
      <w:r w:rsidR="00010601" w:rsidRPr="00977B90">
        <w:rPr>
          <w:noProof/>
        </w:rPr>
        <w:t>by 31</w:t>
      </w:r>
      <w:r w:rsidR="00977B90">
        <w:rPr>
          <w:noProof/>
        </w:rPr>
        <w:t> </w:t>
      </w:r>
      <w:r w:rsidR="00010601" w:rsidRPr="00977B90">
        <w:rPr>
          <w:noProof/>
        </w:rPr>
        <w:t xml:space="preserve">December 2024 the Commission </w:t>
      </w:r>
      <w:r w:rsidR="00977B90">
        <w:rPr>
          <w:noProof/>
        </w:rPr>
        <w:t>is required</w:t>
      </w:r>
      <w:r w:rsidR="00010601" w:rsidRPr="00977B90">
        <w:rPr>
          <w:noProof/>
        </w:rPr>
        <w:t>, after consulting the</w:t>
      </w:r>
      <w:r w:rsidR="00D20D1D">
        <w:rPr>
          <w:noProof/>
        </w:rPr>
        <w:t xml:space="preserve"> </w:t>
      </w:r>
      <w:r w:rsidR="00010601" w:rsidRPr="00977B90">
        <w:rPr>
          <w:noProof/>
        </w:rPr>
        <w:t>E</w:t>
      </w:r>
      <w:r w:rsidR="00771435">
        <w:rPr>
          <w:noProof/>
        </w:rPr>
        <w:t xml:space="preserve">uropean </w:t>
      </w:r>
      <w:r w:rsidR="00010601" w:rsidRPr="00977B90">
        <w:rPr>
          <w:noProof/>
        </w:rPr>
        <w:t>S</w:t>
      </w:r>
      <w:r w:rsidR="00771435">
        <w:rPr>
          <w:noProof/>
        </w:rPr>
        <w:t>tatistical System Committee</w:t>
      </w:r>
      <w:r w:rsidR="00010601" w:rsidRPr="00977B90">
        <w:rPr>
          <w:noProof/>
        </w:rPr>
        <w:t xml:space="preserve">, </w:t>
      </w:r>
      <w:r w:rsidR="00977B90">
        <w:rPr>
          <w:noProof/>
        </w:rPr>
        <w:t>to report</w:t>
      </w:r>
      <w:r w:rsidR="00977B90" w:rsidRPr="00977B90">
        <w:rPr>
          <w:noProof/>
        </w:rPr>
        <w:t xml:space="preserve"> to Parliament and the Council</w:t>
      </w:r>
      <w:r w:rsidR="00010601" w:rsidRPr="00977B90">
        <w:rPr>
          <w:noProof/>
        </w:rPr>
        <w:t xml:space="preserve"> on the implementation and achievement of the </w:t>
      </w:r>
      <w:r w:rsidR="00977B90" w:rsidRPr="00977B90">
        <w:rPr>
          <w:noProof/>
        </w:rPr>
        <w:t>Regulation</w:t>
      </w:r>
      <w:r w:rsidR="00977B90">
        <w:rPr>
          <w:noProof/>
        </w:rPr>
        <w:t>’s</w:t>
      </w:r>
      <w:r w:rsidR="00977B90" w:rsidRPr="00977B90">
        <w:rPr>
          <w:noProof/>
        </w:rPr>
        <w:t xml:space="preserve"> </w:t>
      </w:r>
      <w:r w:rsidR="00010601" w:rsidRPr="00977B90">
        <w:rPr>
          <w:noProof/>
        </w:rPr>
        <w:t>objectives.</w:t>
      </w:r>
    </w:p>
    <w:p w14:paraId="354A949F" w14:textId="059532E9" w:rsidR="00AA77B0" w:rsidRPr="00977B90" w:rsidRDefault="00B1294B" w:rsidP="00530F2A">
      <w:pPr>
        <w:rPr>
          <w:noProof/>
        </w:rPr>
      </w:pPr>
      <w:r w:rsidRPr="00977B90">
        <w:rPr>
          <w:noProof/>
        </w:rPr>
        <w:t xml:space="preserve">The </w:t>
      </w:r>
      <w:r w:rsidR="000E6E81" w:rsidRPr="00977B90">
        <w:rPr>
          <w:noProof/>
        </w:rPr>
        <w:t xml:space="preserve">Regulation applies to Member States and to </w:t>
      </w:r>
      <w:r w:rsidR="00F65846" w:rsidRPr="00977B90">
        <w:rPr>
          <w:noProof/>
        </w:rPr>
        <w:t xml:space="preserve">Iceland, Liechtenstein and </w:t>
      </w:r>
      <w:r w:rsidR="000E6E81" w:rsidRPr="00977B90">
        <w:rPr>
          <w:noProof/>
        </w:rPr>
        <w:t>Norway (</w:t>
      </w:r>
      <w:r w:rsidRPr="00977B90">
        <w:rPr>
          <w:noProof/>
        </w:rPr>
        <w:t>EEA</w:t>
      </w:r>
      <w:r w:rsidR="000E6E81" w:rsidRPr="00977B90">
        <w:rPr>
          <w:noProof/>
        </w:rPr>
        <w:t xml:space="preserve"> relevance</w:t>
      </w:r>
      <w:r w:rsidR="00010601" w:rsidRPr="00977B90">
        <w:rPr>
          <w:noProof/>
        </w:rPr>
        <w:t>)</w:t>
      </w:r>
      <w:r w:rsidR="00977B90">
        <w:rPr>
          <w:noProof/>
        </w:rPr>
        <w:t>. However,</w:t>
      </w:r>
      <w:r w:rsidR="00010601" w:rsidRPr="00977B90">
        <w:rPr>
          <w:noProof/>
        </w:rPr>
        <w:t xml:space="preserve"> </w:t>
      </w:r>
      <w:r w:rsidR="000E6E81" w:rsidRPr="00977B90">
        <w:rPr>
          <w:noProof/>
        </w:rPr>
        <w:t xml:space="preserve">Liechtenstein </w:t>
      </w:r>
      <w:r w:rsidR="00010601" w:rsidRPr="00977B90">
        <w:rPr>
          <w:noProof/>
        </w:rPr>
        <w:t xml:space="preserve">is </w:t>
      </w:r>
      <w:r w:rsidR="000E6E81" w:rsidRPr="00977B90">
        <w:rPr>
          <w:noProof/>
        </w:rPr>
        <w:t>exempted from the data</w:t>
      </w:r>
      <w:r w:rsidRPr="00977B90">
        <w:rPr>
          <w:noProof/>
        </w:rPr>
        <w:t xml:space="preserve"> </w:t>
      </w:r>
      <w:r w:rsidR="000E6E81" w:rsidRPr="00977B90">
        <w:rPr>
          <w:noProof/>
        </w:rPr>
        <w:t>reporting obligation</w:t>
      </w:r>
      <w:r w:rsidR="00010601" w:rsidRPr="00977B90">
        <w:rPr>
          <w:noProof/>
        </w:rPr>
        <w:t xml:space="preserve"> </w:t>
      </w:r>
      <w:r w:rsidR="006539F9">
        <w:rPr>
          <w:noProof/>
        </w:rPr>
        <w:t>under</w:t>
      </w:r>
      <w:r w:rsidR="00C34421" w:rsidRPr="00977B90">
        <w:rPr>
          <w:noProof/>
        </w:rPr>
        <w:t xml:space="preserve"> Article</w:t>
      </w:r>
      <w:r w:rsidR="00977B90">
        <w:rPr>
          <w:noProof/>
        </w:rPr>
        <w:t> </w:t>
      </w:r>
      <w:r w:rsidR="00C34421" w:rsidRPr="00977B90">
        <w:rPr>
          <w:noProof/>
        </w:rPr>
        <w:t>23 of</w:t>
      </w:r>
      <w:r w:rsidR="003579C4" w:rsidRPr="00977B90">
        <w:rPr>
          <w:noProof/>
        </w:rPr>
        <w:t xml:space="preserve"> </w:t>
      </w:r>
      <w:hyperlink r:id="rId18" w:history="1">
        <w:r w:rsidR="003579C4" w:rsidRPr="00977B90">
          <w:rPr>
            <w:rStyle w:val="Hyperlink"/>
            <w:noProof/>
          </w:rPr>
          <w:t>Annex XXI (Statistics)</w:t>
        </w:r>
      </w:hyperlink>
      <w:r w:rsidR="003579C4" w:rsidRPr="00977B90">
        <w:rPr>
          <w:noProof/>
        </w:rPr>
        <w:t xml:space="preserve"> </w:t>
      </w:r>
      <w:r w:rsidR="00627C9A" w:rsidRPr="00977B90">
        <w:rPr>
          <w:noProof/>
        </w:rPr>
        <w:t>to</w:t>
      </w:r>
      <w:r w:rsidR="003579C4" w:rsidRPr="00977B90">
        <w:rPr>
          <w:noProof/>
        </w:rPr>
        <w:t xml:space="preserve"> the </w:t>
      </w:r>
      <w:r w:rsidR="003F18BB" w:rsidRPr="00977B90">
        <w:rPr>
          <w:noProof/>
        </w:rPr>
        <w:t>EEA Agreement</w:t>
      </w:r>
      <w:r w:rsidR="000E6E81" w:rsidRPr="00977B90">
        <w:rPr>
          <w:noProof/>
        </w:rPr>
        <w:t>.</w:t>
      </w:r>
      <w:r w:rsidR="00AA77B0" w:rsidRPr="00977B90">
        <w:rPr>
          <w:noProof/>
        </w:rPr>
        <w:t xml:space="preserve"> </w:t>
      </w:r>
      <w:r w:rsidR="009A08ED" w:rsidRPr="00977B90">
        <w:rPr>
          <w:noProof/>
        </w:rPr>
        <w:t xml:space="preserve">Switzerland also sent data and </w:t>
      </w:r>
      <w:r w:rsidR="00627C9A" w:rsidRPr="00977B90">
        <w:rPr>
          <w:noProof/>
        </w:rPr>
        <w:t xml:space="preserve">a </w:t>
      </w:r>
      <w:r w:rsidR="009A08ED" w:rsidRPr="00977B90">
        <w:rPr>
          <w:noProof/>
        </w:rPr>
        <w:t xml:space="preserve">quality report to Eurostat. </w:t>
      </w:r>
      <w:r w:rsidR="00AA77B0" w:rsidRPr="00977B90">
        <w:rPr>
          <w:noProof/>
        </w:rPr>
        <w:t xml:space="preserve">Candidate countries </w:t>
      </w:r>
      <w:r w:rsidR="00010601" w:rsidRPr="00977B90">
        <w:rPr>
          <w:noProof/>
        </w:rPr>
        <w:t xml:space="preserve">intend to </w:t>
      </w:r>
      <w:r w:rsidR="00AA77B0" w:rsidRPr="00977B90">
        <w:rPr>
          <w:noProof/>
        </w:rPr>
        <w:t>produc</w:t>
      </w:r>
      <w:r w:rsidR="00010601" w:rsidRPr="00977B90">
        <w:rPr>
          <w:noProof/>
        </w:rPr>
        <w:t>e</w:t>
      </w:r>
      <w:r w:rsidR="00A30509" w:rsidRPr="00977B90">
        <w:rPr>
          <w:noProof/>
        </w:rPr>
        <w:t xml:space="preserve"> and send to Eurostat</w:t>
      </w:r>
      <w:r w:rsidR="00AA77B0" w:rsidRPr="00977B90">
        <w:rPr>
          <w:noProof/>
        </w:rPr>
        <w:t xml:space="preserve"> </w:t>
      </w:r>
      <w:r w:rsidR="00010601" w:rsidRPr="00977B90">
        <w:rPr>
          <w:noProof/>
        </w:rPr>
        <w:t xml:space="preserve">integrated farm </w:t>
      </w:r>
      <w:r w:rsidR="00AA77B0" w:rsidRPr="00977B90">
        <w:rPr>
          <w:noProof/>
        </w:rPr>
        <w:t>statistics and quality reports</w:t>
      </w:r>
      <w:r w:rsidR="00627C9A" w:rsidRPr="00977B90">
        <w:rPr>
          <w:noProof/>
        </w:rPr>
        <w:t xml:space="preserve">. However, </w:t>
      </w:r>
      <w:r w:rsidR="00600C3F" w:rsidRPr="00977B90">
        <w:rPr>
          <w:noProof/>
        </w:rPr>
        <w:t>none has</w:t>
      </w:r>
      <w:r w:rsidR="00C34468" w:rsidRPr="00977B90">
        <w:rPr>
          <w:noProof/>
        </w:rPr>
        <w:t xml:space="preserve"> </w:t>
      </w:r>
      <w:r w:rsidR="00A30509" w:rsidRPr="00977B90">
        <w:rPr>
          <w:noProof/>
        </w:rPr>
        <w:t xml:space="preserve">done </w:t>
      </w:r>
      <w:r w:rsidR="00977B90">
        <w:rPr>
          <w:noProof/>
        </w:rPr>
        <w:t>this</w:t>
      </w:r>
      <w:r w:rsidR="00977B90" w:rsidRPr="00977B90">
        <w:rPr>
          <w:noProof/>
        </w:rPr>
        <w:t xml:space="preserve"> </w:t>
      </w:r>
      <w:r w:rsidR="00515693" w:rsidRPr="00977B90">
        <w:rPr>
          <w:noProof/>
        </w:rPr>
        <w:t>so far</w:t>
      </w:r>
      <w:r w:rsidR="00600C3F" w:rsidRPr="00977B90">
        <w:rPr>
          <w:noProof/>
        </w:rPr>
        <w:t>.</w:t>
      </w:r>
    </w:p>
    <w:p w14:paraId="00077882" w14:textId="2E6BA7D9" w:rsidR="000E6E81" w:rsidRPr="00977B90" w:rsidRDefault="000E6E81" w:rsidP="00530F2A">
      <w:pPr>
        <w:rPr>
          <w:noProof/>
        </w:rPr>
      </w:pPr>
      <w:r w:rsidRPr="00977B90">
        <w:rPr>
          <w:noProof/>
        </w:rPr>
        <w:t xml:space="preserve">This report is based on </w:t>
      </w:r>
      <w:r w:rsidR="00C34421" w:rsidRPr="00977B90">
        <w:rPr>
          <w:noProof/>
        </w:rPr>
        <w:t xml:space="preserve">Eurostat’s analysis and on </w:t>
      </w:r>
      <w:r w:rsidRPr="00977B90">
        <w:rPr>
          <w:noProof/>
        </w:rPr>
        <w:t xml:space="preserve">the quality reports submitted by the </w:t>
      </w:r>
      <w:r w:rsidR="00AA77B0" w:rsidRPr="00977B90">
        <w:rPr>
          <w:noProof/>
        </w:rPr>
        <w:t>above-mentioned reporting countries</w:t>
      </w:r>
      <w:r w:rsidRPr="00977B90">
        <w:rPr>
          <w:noProof/>
        </w:rPr>
        <w:t xml:space="preserve">. Eurostat analysed the </w:t>
      </w:r>
      <w:r w:rsidR="005D7C76" w:rsidRPr="00977B90">
        <w:rPr>
          <w:noProof/>
        </w:rPr>
        <w:t>202</w:t>
      </w:r>
      <w:r w:rsidR="00FB0A98" w:rsidRPr="00977B90">
        <w:rPr>
          <w:noProof/>
        </w:rPr>
        <w:t>0</w:t>
      </w:r>
      <w:r w:rsidR="005D7C76" w:rsidRPr="00977B90">
        <w:rPr>
          <w:noProof/>
        </w:rPr>
        <w:t xml:space="preserve"> </w:t>
      </w:r>
      <w:r w:rsidR="00010601" w:rsidRPr="00977B90">
        <w:rPr>
          <w:noProof/>
        </w:rPr>
        <w:t>agricultural census</w:t>
      </w:r>
      <w:r w:rsidRPr="00977B90">
        <w:rPr>
          <w:noProof/>
        </w:rPr>
        <w:t xml:space="preserve"> data</w:t>
      </w:r>
      <w:r w:rsidR="00010601" w:rsidRPr="00977B90">
        <w:rPr>
          <w:noProof/>
        </w:rPr>
        <w:t xml:space="preserve"> delivered by the reporting countries</w:t>
      </w:r>
      <w:r w:rsidR="00701D22" w:rsidRPr="00977B90">
        <w:rPr>
          <w:noProof/>
        </w:rPr>
        <w:t xml:space="preserve"> and </w:t>
      </w:r>
      <w:r w:rsidRPr="00977B90">
        <w:rPr>
          <w:noProof/>
        </w:rPr>
        <w:t>assesse</w:t>
      </w:r>
      <w:r w:rsidR="00627C9A" w:rsidRPr="00977B90">
        <w:rPr>
          <w:noProof/>
        </w:rPr>
        <w:t>d</w:t>
      </w:r>
      <w:r w:rsidRPr="00977B90">
        <w:rPr>
          <w:noProof/>
        </w:rPr>
        <w:t xml:space="preserve"> the </w:t>
      </w:r>
      <w:r w:rsidR="00C95B22">
        <w:rPr>
          <w:noProof/>
        </w:rPr>
        <w:t xml:space="preserve">completeness, user satisfaction, accuracy and reliability, </w:t>
      </w:r>
      <w:r w:rsidRPr="00977B90">
        <w:rPr>
          <w:noProof/>
        </w:rPr>
        <w:t>timeliness</w:t>
      </w:r>
      <w:r w:rsidR="00C95B22">
        <w:rPr>
          <w:noProof/>
        </w:rPr>
        <w:t xml:space="preserve"> and punctuality</w:t>
      </w:r>
      <w:r w:rsidRPr="00977B90">
        <w:rPr>
          <w:noProof/>
        </w:rPr>
        <w:t xml:space="preserve">, </w:t>
      </w:r>
      <w:r w:rsidR="00C95B22">
        <w:rPr>
          <w:noProof/>
        </w:rPr>
        <w:t>coherence and comparability</w:t>
      </w:r>
      <w:r w:rsidRPr="00977B90">
        <w:rPr>
          <w:noProof/>
        </w:rPr>
        <w:t>,</w:t>
      </w:r>
      <w:r w:rsidR="00C95B22">
        <w:rPr>
          <w:noProof/>
        </w:rPr>
        <w:t xml:space="preserve"> confidentiality, </w:t>
      </w:r>
      <w:r w:rsidRPr="00977B90">
        <w:rPr>
          <w:noProof/>
        </w:rPr>
        <w:t xml:space="preserve">accessibility </w:t>
      </w:r>
      <w:r w:rsidR="00C95B22">
        <w:rPr>
          <w:noProof/>
        </w:rPr>
        <w:t xml:space="preserve">and clarity and the cost and burden </w:t>
      </w:r>
      <w:r w:rsidRPr="00977B90">
        <w:rPr>
          <w:noProof/>
        </w:rPr>
        <w:t xml:space="preserve">of the data </w:t>
      </w:r>
      <w:r w:rsidR="00C95B22">
        <w:rPr>
          <w:noProof/>
        </w:rPr>
        <w:t>collection exercise</w:t>
      </w:r>
      <w:r w:rsidR="00B1294B" w:rsidRPr="00977B90">
        <w:rPr>
          <w:noProof/>
        </w:rPr>
        <w:t>.</w:t>
      </w:r>
    </w:p>
    <w:p w14:paraId="39A6CD5F" w14:textId="131E1ED1" w:rsidR="000E6E81" w:rsidRPr="00977B90" w:rsidRDefault="000E6E81" w:rsidP="00530F2A">
      <w:pPr>
        <w:rPr>
          <w:noProof/>
        </w:rPr>
      </w:pPr>
      <w:r w:rsidRPr="00977B90">
        <w:rPr>
          <w:noProof/>
        </w:rPr>
        <w:t>This report covers the data</w:t>
      </w:r>
      <w:r w:rsidR="00D402C8" w:rsidRPr="00977B90">
        <w:rPr>
          <w:noProof/>
        </w:rPr>
        <w:t xml:space="preserve"> and</w:t>
      </w:r>
      <w:r w:rsidR="00701D22" w:rsidRPr="00977B90">
        <w:rPr>
          <w:noProof/>
        </w:rPr>
        <w:t xml:space="preserve"> metadata </w:t>
      </w:r>
      <w:r w:rsidR="00D402C8" w:rsidRPr="00977B90">
        <w:rPr>
          <w:noProof/>
        </w:rPr>
        <w:t xml:space="preserve">of the EEA </w:t>
      </w:r>
      <w:r w:rsidR="007F6F27" w:rsidRPr="00977B90">
        <w:rPr>
          <w:noProof/>
        </w:rPr>
        <w:t>States</w:t>
      </w:r>
      <w:r w:rsidR="00D402C8" w:rsidRPr="00977B90">
        <w:rPr>
          <w:noProof/>
        </w:rPr>
        <w:t xml:space="preserve"> </w:t>
      </w:r>
      <w:r w:rsidR="00701D22" w:rsidRPr="00977B90">
        <w:rPr>
          <w:noProof/>
        </w:rPr>
        <w:t>and</w:t>
      </w:r>
      <w:r w:rsidR="00D402C8" w:rsidRPr="00977B90">
        <w:rPr>
          <w:noProof/>
        </w:rPr>
        <w:t xml:space="preserve"> the</w:t>
      </w:r>
      <w:r w:rsidR="00701D22" w:rsidRPr="00977B90">
        <w:rPr>
          <w:noProof/>
        </w:rPr>
        <w:t xml:space="preserve"> declared costs</w:t>
      </w:r>
      <w:r w:rsidRPr="00977B90">
        <w:rPr>
          <w:noProof/>
        </w:rPr>
        <w:t xml:space="preserve"> </w:t>
      </w:r>
      <w:r w:rsidR="00D402C8" w:rsidRPr="00977B90">
        <w:rPr>
          <w:noProof/>
        </w:rPr>
        <w:t xml:space="preserve">of the Member States </w:t>
      </w:r>
      <w:r w:rsidR="00701D22" w:rsidRPr="00977B90">
        <w:rPr>
          <w:noProof/>
        </w:rPr>
        <w:t>corresponding to the agricultural census 2020</w:t>
      </w:r>
      <w:r w:rsidR="002D6E88" w:rsidRPr="00977B90">
        <w:rPr>
          <w:rStyle w:val="FootnoteReference"/>
          <w:noProof/>
        </w:rPr>
        <w:footnoteReference w:id="3"/>
      </w:r>
      <w:r w:rsidRPr="00977B90">
        <w:rPr>
          <w:noProof/>
        </w:rPr>
        <w:t>.</w:t>
      </w:r>
    </w:p>
    <w:p w14:paraId="5540521B" w14:textId="7326D7A1" w:rsidR="000E6E81" w:rsidRPr="00977B90" w:rsidRDefault="000E6E81" w:rsidP="00530F2A">
      <w:pPr>
        <w:pStyle w:val="Heading1"/>
        <w:rPr>
          <w:noProof/>
        </w:rPr>
      </w:pPr>
      <w:bookmarkStart w:id="3" w:name="_Toc39845162"/>
      <w:r w:rsidRPr="00977B90">
        <w:rPr>
          <w:noProof/>
        </w:rPr>
        <w:t>Main findings</w:t>
      </w:r>
      <w:bookmarkEnd w:id="3"/>
    </w:p>
    <w:p w14:paraId="76AB6C00" w14:textId="4E7E810D" w:rsidR="00977B90" w:rsidRDefault="00A00CB9" w:rsidP="00A00CB9">
      <w:pPr>
        <w:rPr>
          <w:noProof/>
        </w:rPr>
      </w:pPr>
      <w:r w:rsidRPr="00977B90">
        <w:rPr>
          <w:noProof/>
        </w:rPr>
        <w:t xml:space="preserve">The reporting countries collect information from individual agricultural holdings and, observing strict rules of confidentiality, forward the data to Eurostat. The information collected </w:t>
      </w:r>
      <w:r w:rsidR="00FB06E4">
        <w:rPr>
          <w:noProof/>
        </w:rPr>
        <w:t xml:space="preserve">in 2020 </w:t>
      </w:r>
      <w:r w:rsidR="00977B90">
        <w:rPr>
          <w:noProof/>
        </w:rPr>
        <w:t>makes it possible</w:t>
      </w:r>
      <w:r w:rsidR="00977B90" w:rsidRPr="00977B90">
        <w:rPr>
          <w:noProof/>
        </w:rPr>
        <w:t xml:space="preserve"> </w:t>
      </w:r>
      <w:r w:rsidR="00AA419E" w:rsidRPr="00977B90">
        <w:rPr>
          <w:noProof/>
        </w:rPr>
        <w:t>to publish data on</w:t>
      </w:r>
      <w:r w:rsidR="00977B90">
        <w:rPr>
          <w:noProof/>
        </w:rPr>
        <w:t>:</w:t>
      </w:r>
      <w:r w:rsidR="00AA419E" w:rsidRPr="00977B90">
        <w:rPr>
          <w:noProof/>
        </w:rPr>
        <w:t xml:space="preserve"> </w:t>
      </w:r>
    </w:p>
    <w:p w14:paraId="5704D6F1" w14:textId="0E184313" w:rsidR="00977B90" w:rsidRDefault="00977B90" w:rsidP="0048009C">
      <w:pPr>
        <w:pStyle w:val="ListParagraph"/>
        <w:numPr>
          <w:ilvl w:val="0"/>
          <w:numId w:val="14"/>
        </w:numPr>
        <w:rPr>
          <w:noProof/>
        </w:rPr>
      </w:pPr>
      <w:r>
        <w:rPr>
          <w:noProof/>
        </w:rPr>
        <w:t xml:space="preserve">the </w:t>
      </w:r>
      <w:r w:rsidR="00AA419E" w:rsidRPr="00977B90">
        <w:rPr>
          <w:noProof/>
        </w:rPr>
        <w:t>number of farms</w:t>
      </w:r>
      <w:r>
        <w:rPr>
          <w:noProof/>
        </w:rPr>
        <w:t>;</w:t>
      </w:r>
      <w:r w:rsidR="00AA419E" w:rsidRPr="00977B90">
        <w:rPr>
          <w:noProof/>
        </w:rPr>
        <w:t xml:space="preserve"> </w:t>
      </w:r>
    </w:p>
    <w:p w14:paraId="3AF0A502" w14:textId="36F5A770" w:rsidR="00977B90" w:rsidRDefault="00A00CB9" w:rsidP="0048009C">
      <w:pPr>
        <w:pStyle w:val="ListParagraph"/>
        <w:numPr>
          <w:ilvl w:val="0"/>
          <w:numId w:val="14"/>
        </w:numPr>
        <w:rPr>
          <w:noProof/>
        </w:rPr>
      </w:pPr>
      <w:r w:rsidRPr="00977B90">
        <w:rPr>
          <w:noProof/>
        </w:rPr>
        <w:t>land use</w:t>
      </w:r>
      <w:r w:rsidR="00AA419E" w:rsidRPr="00977B90">
        <w:rPr>
          <w:noProof/>
        </w:rPr>
        <w:t xml:space="preserve"> and land tenure</w:t>
      </w:r>
      <w:r w:rsidR="00977B90">
        <w:rPr>
          <w:noProof/>
        </w:rPr>
        <w:t>;</w:t>
      </w:r>
      <w:r w:rsidRPr="00977B90">
        <w:rPr>
          <w:noProof/>
        </w:rPr>
        <w:t xml:space="preserve"> </w:t>
      </w:r>
    </w:p>
    <w:p w14:paraId="286E215D" w14:textId="7302D4EA" w:rsidR="00977B90" w:rsidRDefault="00A00CB9" w:rsidP="0048009C">
      <w:pPr>
        <w:pStyle w:val="ListParagraph"/>
        <w:numPr>
          <w:ilvl w:val="0"/>
          <w:numId w:val="14"/>
        </w:numPr>
        <w:rPr>
          <w:noProof/>
        </w:rPr>
      </w:pPr>
      <w:r w:rsidRPr="00977B90">
        <w:rPr>
          <w:noProof/>
        </w:rPr>
        <w:t>livestock numbers</w:t>
      </w:r>
      <w:r w:rsidR="00977B90">
        <w:rPr>
          <w:noProof/>
        </w:rPr>
        <w:t>;</w:t>
      </w:r>
      <w:r w:rsidRPr="00977B90">
        <w:rPr>
          <w:noProof/>
        </w:rPr>
        <w:t xml:space="preserve"> </w:t>
      </w:r>
    </w:p>
    <w:p w14:paraId="09BA5EC4" w14:textId="77777777" w:rsidR="0048009C" w:rsidRDefault="00A00CB9" w:rsidP="0048009C">
      <w:pPr>
        <w:pStyle w:val="ListParagraph"/>
        <w:numPr>
          <w:ilvl w:val="0"/>
          <w:numId w:val="14"/>
        </w:numPr>
        <w:rPr>
          <w:noProof/>
        </w:rPr>
      </w:pPr>
      <w:r w:rsidRPr="00977B90">
        <w:rPr>
          <w:noProof/>
        </w:rPr>
        <w:t>rural development</w:t>
      </w:r>
      <w:r w:rsidR="00AA419E" w:rsidRPr="00977B90">
        <w:rPr>
          <w:noProof/>
        </w:rPr>
        <w:t xml:space="preserve"> measures</w:t>
      </w:r>
      <w:r w:rsidRPr="00977B90">
        <w:rPr>
          <w:noProof/>
        </w:rPr>
        <w:t>,</w:t>
      </w:r>
    </w:p>
    <w:p w14:paraId="7EAA76BA" w14:textId="538E56FE" w:rsidR="00977B90" w:rsidRDefault="00A00CB9" w:rsidP="0048009C">
      <w:pPr>
        <w:pStyle w:val="ListParagraph"/>
        <w:numPr>
          <w:ilvl w:val="0"/>
          <w:numId w:val="14"/>
        </w:numPr>
        <w:rPr>
          <w:noProof/>
        </w:rPr>
      </w:pPr>
      <w:r w:rsidRPr="00977B90">
        <w:rPr>
          <w:noProof/>
        </w:rPr>
        <w:t>farm management and farm labour input (including the age</w:t>
      </w:r>
      <w:r w:rsidR="00AA419E" w:rsidRPr="00977B90">
        <w:rPr>
          <w:noProof/>
        </w:rPr>
        <w:t xml:space="preserve"> and training level of the holder and manager</w:t>
      </w:r>
      <w:r w:rsidRPr="00977B90">
        <w:rPr>
          <w:noProof/>
        </w:rPr>
        <w:t xml:space="preserve">, </w:t>
      </w:r>
      <w:r w:rsidR="00AA419E" w:rsidRPr="00977B90">
        <w:rPr>
          <w:noProof/>
        </w:rPr>
        <w:t xml:space="preserve">their </w:t>
      </w:r>
      <w:r w:rsidRPr="00977B90">
        <w:rPr>
          <w:noProof/>
        </w:rPr>
        <w:t xml:space="preserve">gender and relationship </w:t>
      </w:r>
      <w:r w:rsidR="00AA419E" w:rsidRPr="00977B90">
        <w:rPr>
          <w:noProof/>
        </w:rPr>
        <w:t xml:space="preserve">of the workers </w:t>
      </w:r>
      <w:r w:rsidRPr="00977B90">
        <w:rPr>
          <w:noProof/>
        </w:rPr>
        <w:t>to the holder of the agricultural holding)</w:t>
      </w:r>
      <w:r w:rsidR="00977B90">
        <w:rPr>
          <w:noProof/>
        </w:rPr>
        <w:t>;</w:t>
      </w:r>
      <w:r w:rsidR="00AA419E" w:rsidRPr="00977B90">
        <w:rPr>
          <w:noProof/>
        </w:rPr>
        <w:t xml:space="preserve"> </w:t>
      </w:r>
    </w:p>
    <w:p w14:paraId="2440749E" w14:textId="16AC4184" w:rsidR="00977B90" w:rsidRDefault="00AA419E" w:rsidP="0048009C">
      <w:pPr>
        <w:pStyle w:val="ListParagraph"/>
        <w:numPr>
          <w:ilvl w:val="0"/>
          <w:numId w:val="14"/>
        </w:numPr>
        <w:rPr>
          <w:noProof/>
        </w:rPr>
      </w:pPr>
      <w:r w:rsidRPr="00977B90">
        <w:rPr>
          <w:noProof/>
        </w:rPr>
        <w:t>other gainful activities</w:t>
      </w:r>
      <w:r w:rsidR="00977B90">
        <w:rPr>
          <w:noProof/>
        </w:rPr>
        <w:t>;</w:t>
      </w:r>
      <w:r w:rsidRPr="00977B90">
        <w:rPr>
          <w:noProof/>
        </w:rPr>
        <w:t xml:space="preserve"> and </w:t>
      </w:r>
    </w:p>
    <w:p w14:paraId="1C9688DD" w14:textId="6629A8F6" w:rsidR="00977B90" w:rsidRDefault="00AA419E" w:rsidP="0048009C">
      <w:pPr>
        <w:pStyle w:val="ListParagraph"/>
        <w:numPr>
          <w:ilvl w:val="0"/>
          <w:numId w:val="14"/>
        </w:numPr>
        <w:rPr>
          <w:noProof/>
        </w:rPr>
      </w:pPr>
      <w:r w:rsidRPr="00977B90">
        <w:rPr>
          <w:noProof/>
        </w:rPr>
        <w:t>animal housing and manure management</w:t>
      </w:r>
      <w:r w:rsidR="00A00CB9" w:rsidRPr="00977B90">
        <w:rPr>
          <w:noProof/>
        </w:rPr>
        <w:t>.</w:t>
      </w:r>
    </w:p>
    <w:p w14:paraId="3F06D62E" w14:textId="23A726CF" w:rsidR="00A00CB9" w:rsidRPr="00977B90" w:rsidRDefault="00A00CB9" w:rsidP="00A00CB9">
      <w:pPr>
        <w:rPr>
          <w:noProof/>
        </w:rPr>
      </w:pPr>
      <w:r w:rsidRPr="00977B90">
        <w:rPr>
          <w:noProof/>
        </w:rPr>
        <w:t>The data can then be aggregated by different geographic levels (countries, regions) and arranged by size class, legal status of the holding, standard output classes and farm type.</w:t>
      </w:r>
      <w:r w:rsidR="00AA419E" w:rsidRPr="00977B90">
        <w:rPr>
          <w:noProof/>
        </w:rPr>
        <w:t xml:space="preserve"> The information is made available for free online, either in tabular form (in </w:t>
      </w:r>
      <w:hyperlink r:id="rId19" w:history="1">
        <w:r w:rsidR="00AA419E" w:rsidRPr="00977B90">
          <w:rPr>
            <w:rStyle w:val="Hyperlink"/>
            <w:noProof/>
          </w:rPr>
          <w:t>Eurobase</w:t>
        </w:r>
      </w:hyperlink>
      <w:r w:rsidR="00AA419E" w:rsidRPr="00977B90">
        <w:rPr>
          <w:noProof/>
        </w:rPr>
        <w:t xml:space="preserve">), or as a complement to </w:t>
      </w:r>
      <w:hyperlink r:id="rId20" w:history="1">
        <w:r w:rsidR="00AA419E" w:rsidRPr="00977B90">
          <w:rPr>
            <w:rStyle w:val="Hyperlink"/>
            <w:noProof/>
          </w:rPr>
          <w:t>publications</w:t>
        </w:r>
      </w:hyperlink>
      <w:r w:rsidR="00AA419E" w:rsidRPr="00977B90">
        <w:rPr>
          <w:noProof/>
        </w:rPr>
        <w:t xml:space="preserve"> such as </w:t>
      </w:r>
      <w:r w:rsidR="00C54E4A" w:rsidRPr="0048009C">
        <w:rPr>
          <w:i/>
          <w:iCs/>
          <w:noProof/>
        </w:rPr>
        <w:t>S</w:t>
      </w:r>
      <w:r w:rsidR="00AA419E" w:rsidRPr="0048009C">
        <w:rPr>
          <w:i/>
          <w:iCs/>
          <w:noProof/>
        </w:rPr>
        <w:t xml:space="preserve">tatistics </w:t>
      </w:r>
      <w:r w:rsidR="00C54E4A" w:rsidRPr="0048009C">
        <w:rPr>
          <w:i/>
          <w:iCs/>
          <w:noProof/>
        </w:rPr>
        <w:t>E</w:t>
      </w:r>
      <w:r w:rsidR="00AA419E" w:rsidRPr="0048009C">
        <w:rPr>
          <w:i/>
          <w:noProof/>
        </w:rPr>
        <w:t>xplained</w:t>
      </w:r>
      <w:r w:rsidR="00AA419E" w:rsidRPr="00977B90">
        <w:rPr>
          <w:noProof/>
        </w:rPr>
        <w:t xml:space="preserve"> articles</w:t>
      </w:r>
      <w:r w:rsidR="00EC6D18" w:rsidRPr="00977B90">
        <w:rPr>
          <w:noProof/>
        </w:rPr>
        <w:t xml:space="preserve"> or </w:t>
      </w:r>
      <w:hyperlink r:id="rId21" w:history="1">
        <w:r w:rsidR="00EC6D18" w:rsidRPr="00977B90">
          <w:rPr>
            <w:rStyle w:val="Hyperlink"/>
            <w:noProof/>
          </w:rPr>
          <w:t>Key Figures</w:t>
        </w:r>
      </w:hyperlink>
      <w:r w:rsidR="00EC6D18" w:rsidRPr="00977B90">
        <w:rPr>
          <w:noProof/>
        </w:rPr>
        <w:t xml:space="preserve"> booklets</w:t>
      </w:r>
      <w:r w:rsidR="00AA419E" w:rsidRPr="00977B90">
        <w:rPr>
          <w:noProof/>
        </w:rPr>
        <w:t>.</w:t>
      </w:r>
    </w:p>
    <w:p w14:paraId="0E184E38" w14:textId="31E69186" w:rsidR="00590ADC" w:rsidRPr="00977B90" w:rsidRDefault="000E6E81" w:rsidP="00530F2A">
      <w:pPr>
        <w:rPr>
          <w:noProof/>
        </w:rPr>
      </w:pPr>
      <w:r w:rsidRPr="00977B90">
        <w:rPr>
          <w:noProof/>
        </w:rPr>
        <w:t xml:space="preserve">Eurostat strives </w:t>
      </w:r>
      <w:r w:rsidR="00C96F71" w:rsidRPr="00977B90">
        <w:rPr>
          <w:noProof/>
        </w:rPr>
        <w:t xml:space="preserve">to continually </w:t>
      </w:r>
      <w:r w:rsidRPr="00977B90">
        <w:rPr>
          <w:noProof/>
        </w:rPr>
        <w:t>improve the quality and availability of European statistics. It is also committed to reducing the burden on</w:t>
      </w:r>
      <w:r w:rsidR="00A50EFD" w:rsidRPr="00977B90">
        <w:rPr>
          <w:noProof/>
        </w:rPr>
        <w:t xml:space="preserve"> Member States and respondents.</w:t>
      </w:r>
      <w:r w:rsidR="007B12F0" w:rsidRPr="00977B90">
        <w:rPr>
          <w:noProof/>
        </w:rPr>
        <w:t xml:space="preserve"> </w:t>
      </w:r>
      <w:r w:rsidR="00A30509" w:rsidRPr="00977B90">
        <w:rPr>
          <w:noProof/>
        </w:rPr>
        <w:t xml:space="preserve">Through Regulation (EU) 2018/1091, </w:t>
      </w:r>
      <w:r w:rsidR="00590ADC" w:rsidRPr="00977B90">
        <w:rPr>
          <w:noProof/>
        </w:rPr>
        <w:t xml:space="preserve">several </w:t>
      </w:r>
      <w:r w:rsidR="007B12F0" w:rsidRPr="00977B90">
        <w:rPr>
          <w:noProof/>
        </w:rPr>
        <w:t xml:space="preserve">measures </w:t>
      </w:r>
      <w:r w:rsidR="006539F9">
        <w:rPr>
          <w:noProof/>
        </w:rPr>
        <w:t xml:space="preserve">were taken </w:t>
      </w:r>
      <w:r w:rsidR="007B12F0" w:rsidRPr="00977B90">
        <w:rPr>
          <w:noProof/>
        </w:rPr>
        <w:t xml:space="preserve">to reduce the burden on respondents </w:t>
      </w:r>
      <w:r w:rsidR="000A1ED0" w:rsidRPr="00977B90">
        <w:rPr>
          <w:noProof/>
        </w:rPr>
        <w:t>in farm statistics</w:t>
      </w:r>
      <w:r w:rsidR="00590ADC" w:rsidRPr="00977B90">
        <w:rPr>
          <w:noProof/>
        </w:rPr>
        <w:t>:</w:t>
      </w:r>
    </w:p>
    <w:p w14:paraId="3126AF65" w14:textId="3D5AE0F9" w:rsidR="00590ADC" w:rsidRPr="00977B90" w:rsidRDefault="006539F9" w:rsidP="0048009C">
      <w:pPr>
        <w:pStyle w:val="ListParagraph"/>
        <w:numPr>
          <w:ilvl w:val="0"/>
          <w:numId w:val="15"/>
        </w:numPr>
        <w:rPr>
          <w:noProof/>
        </w:rPr>
      </w:pPr>
      <w:r>
        <w:rPr>
          <w:noProof/>
        </w:rPr>
        <w:t xml:space="preserve">use of </w:t>
      </w:r>
      <w:r w:rsidR="00590ADC" w:rsidRPr="00977B90">
        <w:rPr>
          <w:noProof/>
        </w:rPr>
        <w:t xml:space="preserve">the </w:t>
      </w:r>
      <w:r w:rsidR="007B12F0" w:rsidRPr="00977B90">
        <w:rPr>
          <w:noProof/>
        </w:rPr>
        <w:t>modular approach</w:t>
      </w:r>
      <w:r w:rsidR="00590ADC" w:rsidRPr="00977B90">
        <w:rPr>
          <w:noProof/>
        </w:rPr>
        <w:t>,</w:t>
      </w:r>
      <w:r w:rsidR="007B12F0" w:rsidRPr="00977B90">
        <w:rPr>
          <w:noProof/>
        </w:rPr>
        <w:t xml:space="preserve"> where the variables to be collected </w:t>
      </w:r>
      <w:r w:rsidR="000A1ED0" w:rsidRPr="00977B90">
        <w:rPr>
          <w:noProof/>
        </w:rPr>
        <w:t xml:space="preserve">are </w:t>
      </w:r>
      <w:r w:rsidR="007B12F0" w:rsidRPr="00977B90">
        <w:rPr>
          <w:noProof/>
        </w:rPr>
        <w:t>allocated to different collection groups (core data and modules) varying in frequency</w:t>
      </w:r>
      <w:r w:rsidR="00590ADC" w:rsidRPr="00977B90">
        <w:rPr>
          <w:noProof/>
        </w:rPr>
        <w:t xml:space="preserve"> or representativeness, or both;</w:t>
      </w:r>
    </w:p>
    <w:p w14:paraId="11B8823A" w14:textId="410BC75B" w:rsidR="00590ADC" w:rsidRPr="00977B90" w:rsidRDefault="00600C3F" w:rsidP="0048009C">
      <w:pPr>
        <w:pStyle w:val="ListParagraph"/>
        <w:numPr>
          <w:ilvl w:val="0"/>
          <w:numId w:val="15"/>
        </w:numPr>
        <w:rPr>
          <w:noProof/>
        </w:rPr>
      </w:pPr>
      <w:r w:rsidRPr="00977B90">
        <w:rPr>
          <w:noProof/>
        </w:rPr>
        <w:t>allow</w:t>
      </w:r>
      <w:r w:rsidR="00590ADC" w:rsidRPr="00977B90">
        <w:rPr>
          <w:noProof/>
        </w:rPr>
        <w:t>ing</w:t>
      </w:r>
      <w:r w:rsidRPr="00977B90">
        <w:rPr>
          <w:noProof/>
        </w:rPr>
        <w:t xml:space="preserve"> the core data on small farms </w:t>
      </w:r>
      <w:r w:rsidR="00C54E4A">
        <w:rPr>
          <w:noProof/>
        </w:rPr>
        <w:t xml:space="preserve">to </w:t>
      </w:r>
      <w:r w:rsidRPr="00977B90">
        <w:rPr>
          <w:noProof/>
        </w:rPr>
        <w:t xml:space="preserve">be collected from </w:t>
      </w:r>
      <w:r w:rsidR="00C54E4A">
        <w:rPr>
          <w:noProof/>
        </w:rPr>
        <w:t xml:space="preserve">the </w:t>
      </w:r>
      <w:r w:rsidRPr="00977B90">
        <w:rPr>
          <w:noProof/>
        </w:rPr>
        <w:t xml:space="preserve">sample in the </w:t>
      </w:r>
      <w:r w:rsidR="00C54E4A">
        <w:rPr>
          <w:noProof/>
        </w:rPr>
        <w:t xml:space="preserve">2020 </w:t>
      </w:r>
      <w:r w:rsidRPr="00977B90">
        <w:rPr>
          <w:noProof/>
        </w:rPr>
        <w:t xml:space="preserve">census year and no longer </w:t>
      </w:r>
      <w:r w:rsidR="00C54E4A" w:rsidRPr="00977B90">
        <w:rPr>
          <w:noProof/>
        </w:rPr>
        <w:t>requir</w:t>
      </w:r>
      <w:r w:rsidR="00C54E4A">
        <w:rPr>
          <w:noProof/>
        </w:rPr>
        <w:t>ing</w:t>
      </w:r>
      <w:r w:rsidR="00C54E4A" w:rsidRPr="00977B90">
        <w:rPr>
          <w:noProof/>
        </w:rPr>
        <w:t xml:space="preserve"> </w:t>
      </w:r>
      <w:r w:rsidRPr="00977B90">
        <w:rPr>
          <w:noProof/>
        </w:rPr>
        <w:t>module data on small farms</w:t>
      </w:r>
      <w:r w:rsidR="0048009C">
        <w:rPr>
          <w:noProof/>
        </w:rPr>
        <w:t xml:space="preserve"> in the intermediate survey years</w:t>
      </w:r>
      <w:r w:rsidR="00590ADC" w:rsidRPr="00977B90">
        <w:rPr>
          <w:noProof/>
        </w:rPr>
        <w:t>;</w:t>
      </w:r>
    </w:p>
    <w:p w14:paraId="420DAFD7" w14:textId="7578B99A" w:rsidR="00A50EFD" w:rsidRPr="00977B90" w:rsidRDefault="000A1ED0" w:rsidP="0048009C">
      <w:pPr>
        <w:pStyle w:val="ListParagraph"/>
        <w:numPr>
          <w:ilvl w:val="0"/>
          <w:numId w:val="15"/>
        </w:numPr>
        <w:rPr>
          <w:noProof/>
        </w:rPr>
      </w:pPr>
      <w:r w:rsidRPr="00977B90">
        <w:rPr>
          <w:noProof/>
        </w:rPr>
        <w:t>promot</w:t>
      </w:r>
      <w:r w:rsidR="00590ADC" w:rsidRPr="00977B90">
        <w:rPr>
          <w:noProof/>
        </w:rPr>
        <w:t>ing</w:t>
      </w:r>
      <w:r w:rsidRPr="00977B90">
        <w:rPr>
          <w:noProof/>
        </w:rPr>
        <w:t xml:space="preserve"> the use of already</w:t>
      </w:r>
      <w:r w:rsidR="00C54E4A">
        <w:rPr>
          <w:noProof/>
        </w:rPr>
        <w:t>-</w:t>
      </w:r>
      <w:r w:rsidRPr="00977B90">
        <w:rPr>
          <w:noProof/>
        </w:rPr>
        <w:t>existing administrative data sources (mostly registers) and innovative approache</w:t>
      </w:r>
      <w:r w:rsidR="00FB06E4">
        <w:rPr>
          <w:noProof/>
        </w:rPr>
        <w:t>s</w:t>
      </w:r>
      <w:r w:rsidRPr="00977B90">
        <w:rPr>
          <w:noProof/>
        </w:rPr>
        <w:t>.</w:t>
      </w:r>
    </w:p>
    <w:p w14:paraId="781E4F18" w14:textId="10630B20" w:rsidR="00590ADC" w:rsidRPr="00977B90" w:rsidRDefault="00EB6123" w:rsidP="00590ADC">
      <w:pPr>
        <w:rPr>
          <w:noProof/>
        </w:rPr>
      </w:pPr>
      <w:r w:rsidRPr="00977B90">
        <w:rPr>
          <w:noProof/>
        </w:rPr>
        <w:t>The overall quality for the census is good. A quality management system is in place in 22 Member States and in Iceland. 19 Member States and Iceland reported improvements in quality procedures</w:t>
      </w:r>
      <w:r w:rsidR="006539F9">
        <w:rPr>
          <w:noProof/>
        </w:rPr>
        <w:t>, while</w:t>
      </w:r>
      <w:r w:rsidR="006539F9" w:rsidRPr="00977B90">
        <w:rPr>
          <w:noProof/>
        </w:rPr>
        <w:t xml:space="preserve"> </w:t>
      </w:r>
      <w:r w:rsidRPr="00977B90">
        <w:rPr>
          <w:noProof/>
        </w:rPr>
        <w:t xml:space="preserve">25 Member States, Iceland and Norway </w:t>
      </w:r>
      <w:r w:rsidR="006539F9">
        <w:rPr>
          <w:noProof/>
        </w:rPr>
        <w:t xml:space="preserve">have </w:t>
      </w:r>
      <w:r w:rsidRPr="00977B90">
        <w:rPr>
          <w:noProof/>
        </w:rPr>
        <w:t>reported efficiency gains since the last data transmission to Eurostat</w:t>
      </w:r>
      <w:r w:rsidR="00C54E4A">
        <w:rPr>
          <w:noProof/>
        </w:rPr>
        <w:t>. These include</w:t>
      </w:r>
      <w:r w:rsidRPr="00977B90">
        <w:rPr>
          <w:noProof/>
        </w:rPr>
        <w:t xml:space="preserve"> further automation, increased use of administrative data, </w:t>
      </w:r>
      <w:r w:rsidR="007D47C7" w:rsidRPr="00977B90">
        <w:rPr>
          <w:noProof/>
        </w:rPr>
        <w:t xml:space="preserve">use of </w:t>
      </w:r>
      <w:r w:rsidR="00977B90">
        <w:rPr>
          <w:noProof/>
        </w:rPr>
        <w:t>online</w:t>
      </w:r>
      <w:r w:rsidRPr="00977B90">
        <w:rPr>
          <w:noProof/>
        </w:rPr>
        <w:t xml:space="preserve"> surveys, </w:t>
      </w:r>
      <w:r w:rsidR="007D47C7" w:rsidRPr="00977B90">
        <w:rPr>
          <w:noProof/>
        </w:rPr>
        <w:t>and improved</w:t>
      </w:r>
      <w:r w:rsidRPr="00977B90">
        <w:rPr>
          <w:noProof/>
        </w:rPr>
        <w:t xml:space="preserve"> training.</w:t>
      </w:r>
      <w:r w:rsidR="003144FF">
        <w:rPr>
          <w:noProof/>
        </w:rPr>
        <w:t xml:space="preserve"> However, the dissemination of aggregated tables by Eurostat is progressing at a slow pace and the underlying IT systems are being analysed to improve the timeliness.</w:t>
      </w:r>
    </w:p>
    <w:p w14:paraId="4747FD7C" w14:textId="05870F87" w:rsidR="008E65C8" w:rsidRPr="00977B90" w:rsidRDefault="008E65C8" w:rsidP="00590ADC">
      <w:pPr>
        <w:rPr>
          <w:noProof/>
        </w:rPr>
      </w:pPr>
      <w:r w:rsidRPr="00977B90">
        <w:rPr>
          <w:noProof/>
        </w:rPr>
        <w:t>The agricultural census and the related surveys on the structure of agricultural holdings provide reliable data on the structure of agricultural holdings in the EU</w:t>
      </w:r>
      <w:r w:rsidR="00C54E4A">
        <w:rPr>
          <w:noProof/>
        </w:rPr>
        <w:t>. The data</w:t>
      </w:r>
      <w:r w:rsidRPr="00977B90">
        <w:rPr>
          <w:noProof/>
        </w:rPr>
        <w:t xml:space="preserve"> </w:t>
      </w:r>
      <w:r w:rsidR="006539F9">
        <w:rPr>
          <w:noProof/>
        </w:rPr>
        <w:t>are</w:t>
      </w:r>
      <w:r w:rsidRPr="00977B90">
        <w:rPr>
          <w:noProof/>
        </w:rPr>
        <w:t xml:space="preserve"> commonly used by </w:t>
      </w:r>
      <w:r w:rsidR="00960D0F" w:rsidRPr="00977B90">
        <w:rPr>
          <w:noProof/>
        </w:rPr>
        <w:t>policy</w:t>
      </w:r>
      <w:r w:rsidR="00960D0F">
        <w:rPr>
          <w:noProof/>
        </w:rPr>
        <w:t>makers</w:t>
      </w:r>
      <w:r w:rsidRPr="00977B90">
        <w:rPr>
          <w:noProof/>
        </w:rPr>
        <w:t xml:space="preserve"> </w:t>
      </w:r>
      <w:r w:rsidR="00C54E4A">
        <w:rPr>
          <w:noProof/>
        </w:rPr>
        <w:t>to</w:t>
      </w:r>
      <w:r w:rsidR="00C54E4A" w:rsidRPr="00977B90">
        <w:rPr>
          <w:noProof/>
        </w:rPr>
        <w:t xml:space="preserve"> </w:t>
      </w:r>
      <w:r w:rsidRPr="00977B90">
        <w:rPr>
          <w:noProof/>
        </w:rPr>
        <w:t xml:space="preserve">monitor the implementation of </w:t>
      </w:r>
      <w:r w:rsidR="00C54E4A" w:rsidRPr="00977B90">
        <w:rPr>
          <w:noProof/>
        </w:rPr>
        <w:t>E</w:t>
      </w:r>
      <w:r w:rsidR="00C54E4A">
        <w:rPr>
          <w:noProof/>
        </w:rPr>
        <w:t>U</w:t>
      </w:r>
      <w:r w:rsidR="00C54E4A" w:rsidRPr="00977B90">
        <w:rPr>
          <w:noProof/>
        </w:rPr>
        <w:t xml:space="preserve"> </w:t>
      </w:r>
      <w:r w:rsidRPr="00977B90">
        <w:rPr>
          <w:noProof/>
        </w:rPr>
        <w:t xml:space="preserve">policies such as the </w:t>
      </w:r>
      <w:r w:rsidR="00C54E4A">
        <w:rPr>
          <w:noProof/>
        </w:rPr>
        <w:t>c</w:t>
      </w:r>
      <w:r w:rsidRPr="00977B90">
        <w:rPr>
          <w:noProof/>
        </w:rPr>
        <w:t xml:space="preserve">ommon </w:t>
      </w:r>
      <w:r w:rsidR="00C54E4A">
        <w:rPr>
          <w:noProof/>
        </w:rPr>
        <w:t>a</w:t>
      </w:r>
      <w:r w:rsidRPr="00977B90">
        <w:rPr>
          <w:noProof/>
        </w:rPr>
        <w:t xml:space="preserve">gricultural </w:t>
      </w:r>
      <w:r w:rsidR="00C54E4A">
        <w:rPr>
          <w:noProof/>
        </w:rPr>
        <w:t>p</w:t>
      </w:r>
      <w:r w:rsidRPr="00977B90">
        <w:rPr>
          <w:noProof/>
        </w:rPr>
        <w:t xml:space="preserve">olicy (CAP). Data </w:t>
      </w:r>
      <w:r w:rsidR="00C816E0" w:rsidRPr="00977B90">
        <w:rPr>
          <w:noProof/>
        </w:rPr>
        <w:t>are</w:t>
      </w:r>
      <w:r w:rsidRPr="00977B90">
        <w:rPr>
          <w:noProof/>
        </w:rPr>
        <w:t xml:space="preserve"> also used </w:t>
      </w:r>
      <w:r w:rsidR="00C54E4A">
        <w:rPr>
          <w:noProof/>
        </w:rPr>
        <w:t>to</w:t>
      </w:r>
      <w:r w:rsidRPr="00977B90">
        <w:rPr>
          <w:noProof/>
        </w:rPr>
        <w:t xml:space="preserve"> determin</w:t>
      </w:r>
      <w:r w:rsidR="00C54E4A">
        <w:rPr>
          <w:noProof/>
        </w:rPr>
        <w:t>e</w:t>
      </w:r>
      <w:r w:rsidRPr="00977B90">
        <w:rPr>
          <w:noProof/>
        </w:rPr>
        <w:t xml:space="preserve"> Sustainable Development Goals indicators, </w:t>
      </w:r>
      <w:r w:rsidR="00C54E4A">
        <w:rPr>
          <w:noProof/>
        </w:rPr>
        <w:t>while</w:t>
      </w:r>
      <w:r w:rsidR="00C54E4A" w:rsidRPr="00977B90">
        <w:rPr>
          <w:noProof/>
        </w:rPr>
        <w:t xml:space="preserve"> </w:t>
      </w:r>
      <w:r w:rsidRPr="00977B90">
        <w:rPr>
          <w:noProof/>
        </w:rPr>
        <w:t xml:space="preserve">anonymised microdata </w:t>
      </w:r>
      <w:r w:rsidR="00C816E0" w:rsidRPr="00977B90">
        <w:rPr>
          <w:noProof/>
        </w:rPr>
        <w:t>are</w:t>
      </w:r>
      <w:r w:rsidRPr="00977B90">
        <w:rPr>
          <w:noProof/>
        </w:rPr>
        <w:t xml:space="preserve"> provided to researchers, in agreement with the national data providers</w:t>
      </w:r>
      <w:r w:rsidR="00E14595" w:rsidRPr="00977B90">
        <w:rPr>
          <w:noProof/>
        </w:rPr>
        <w:t xml:space="preserve">, in accordance with </w:t>
      </w:r>
      <w:hyperlink r:id="rId22" w:history="1">
        <w:r w:rsidR="009A1732" w:rsidRPr="00977B90">
          <w:rPr>
            <w:rStyle w:val="Hyperlink"/>
            <w:noProof/>
          </w:rPr>
          <w:t xml:space="preserve">Commission </w:t>
        </w:r>
        <w:r w:rsidR="00E14595" w:rsidRPr="00977B90">
          <w:rPr>
            <w:rStyle w:val="Hyperlink"/>
            <w:noProof/>
          </w:rPr>
          <w:t xml:space="preserve">Regulation </w:t>
        </w:r>
        <w:r w:rsidR="009A1732" w:rsidRPr="00977B90">
          <w:rPr>
            <w:rStyle w:val="Hyperlink"/>
            <w:noProof/>
          </w:rPr>
          <w:t>(EU) No 557/2013</w:t>
        </w:r>
      </w:hyperlink>
      <w:r w:rsidR="00E14595" w:rsidRPr="00977B90">
        <w:rPr>
          <w:rStyle w:val="FootnoteReference"/>
          <w:noProof/>
        </w:rPr>
        <w:footnoteReference w:id="4"/>
      </w:r>
      <w:r w:rsidR="00E14595" w:rsidRPr="00977B90">
        <w:rPr>
          <w:noProof/>
        </w:rPr>
        <w:t>.</w:t>
      </w:r>
    </w:p>
    <w:p w14:paraId="06DBAA86" w14:textId="64AF37EF" w:rsidR="008E65C8" w:rsidRPr="00977B90" w:rsidRDefault="008E65C8" w:rsidP="008E65C8">
      <w:pPr>
        <w:rPr>
          <w:noProof/>
        </w:rPr>
      </w:pPr>
      <w:r w:rsidRPr="00977B90">
        <w:rPr>
          <w:bCs/>
          <w:noProof/>
        </w:rPr>
        <w:t xml:space="preserve">The total EU contributions paid to the Member States </w:t>
      </w:r>
      <w:r w:rsidR="00C54E4A">
        <w:rPr>
          <w:bCs/>
          <w:noProof/>
        </w:rPr>
        <w:t>were</w:t>
      </w:r>
      <w:r w:rsidRPr="00977B90">
        <w:rPr>
          <w:bCs/>
          <w:noProof/>
        </w:rPr>
        <w:t xml:space="preserve"> </w:t>
      </w:r>
      <w:r w:rsidR="00C816E0" w:rsidRPr="00977B90">
        <w:rPr>
          <w:noProof/>
        </w:rPr>
        <w:t>EUR 35 495 889.00</w:t>
      </w:r>
      <w:r w:rsidRPr="00977B90">
        <w:rPr>
          <w:bCs/>
          <w:noProof/>
        </w:rPr>
        <w:t>, a financing rate of 13.25% of the estimated total eligible costs.</w:t>
      </w:r>
    </w:p>
    <w:p w14:paraId="01534346" w14:textId="78DD4B03" w:rsidR="000E6E81" w:rsidRPr="00977B90" w:rsidRDefault="000E6E81" w:rsidP="00E47B95">
      <w:pPr>
        <w:pStyle w:val="Heading2"/>
        <w:rPr>
          <w:noProof/>
        </w:rPr>
      </w:pPr>
      <w:bookmarkStart w:id="4" w:name="_Toc39845169"/>
      <w:r w:rsidRPr="00977B90">
        <w:rPr>
          <w:noProof/>
        </w:rPr>
        <w:t>Relevance</w:t>
      </w:r>
      <w:bookmarkEnd w:id="4"/>
    </w:p>
    <w:p w14:paraId="5E9D0233" w14:textId="1F6DD611" w:rsidR="00345FE1" w:rsidRPr="00977B90" w:rsidRDefault="00345FE1" w:rsidP="00530F2A">
      <w:pPr>
        <w:rPr>
          <w:noProof/>
        </w:rPr>
      </w:pPr>
      <w:r w:rsidRPr="00977B90">
        <w:rPr>
          <w:noProof/>
        </w:rPr>
        <w:t>The agricultural census and the related surveys on the structure of agricultural holdings form the backbone of the current European Agricultural Statistical System</w:t>
      </w:r>
      <w:r w:rsidR="00C54E4A">
        <w:rPr>
          <w:noProof/>
        </w:rPr>
        <w:t>. These</w:t>
      </w:r>
      <w:r w:rsidR="00C54E4A" w:rsidRPr="00977B90">
        <w:rPr>
          <w:noProof/>
        </w:rPr>
        <w:t xml:space="preserve"> provid</w:t>
      </w:r>
      <w:r w:rsidR="00C54E4A">
        <w:rPr>
          <w:noProof/>
        </w:rPr>
        <w:t>e</w:t>
      </w:r>
      <w:r w:rsidR="00C54E4A" w:rsidRPr="00977B90">
        <w:rPr>
          <w:noProof/>
        </w:rPr>
        <w:t xml:space="preserve"> </w:t>
      </w:r>
      <w:r w:rsidRPr="00977B90">
        <w:rPr>
          <w:noProof/>
        </w:rPr>
        <w:t xml:space="preserve">reliable data on the structure of agricultural holdings in the EU, </w:t>
      </w:r>
      <w:r w:rsidR="00C54E4A">
        <w:rPr>
          <w:noProof/>
        </w:rPr>
        <w:t xml:space="preserve">which can be used </w:t>
      </w:r>
      <w:r w:rsidRPr="00977B90">
        <w:rPr>
          <w:noProof/>
        </w:rPr>
        <w:t xml:space="preserve">to assess the </w:t>
      </w:r>
      <w:r w:rsidR="00C54E4A">
        <w:rPr>
          <w:noProof/>
        </w:rPr>
        <w:t>state</w:t>
      </w:r>
      <w:r w:rsidR="00C54E4A" w:rsidRPr="00977B90">
        <w:rPr>
          <w:noProof/>
        </w:rPr>
        <w:t xml:space="preserve"> </w:t>
      </w:r>
      <w:r w:rsidRPr="00977B90">
        <w:rPr>
          <w:noProof/>
        </w:rPr>
        <w:t>of agriculture and to monitor trends. Since 1966, farm structure data ha</w:t>
      </w:r>
      <w:r w:rsidR="00F7170B" w:rsidRPr="00977B90">
        <w:rPr>
          <w:noProof/>
        </w:rPr>
        <w:t>ve</w:t>
      </w:r>
      <w:r w:rsidRPr="00977B90">
        <w:rPr>
          <w:noProof/>
        </w:rPr>
        <w:t xml:space="preserve"> been used as a benchmark and basis (especially a sampling basis) for other agricultural statistics, and </w:t>
      </w:r>
      <w:r w:rsidR="00F7170B" w:rsidRPr="00977B90">
        <w:rPr>
          <w:noProof/>
        </w:rPr>
        <w:t>are</w:t>
      </w:r>
      <w:r w:rsidRPr="00977B90">
        <w:rPr>
          <w:noProof/>
        </w:rPr>
        <w:t xml:space="preserve"> commonly used by </w:t>
      </w:r>
      <w:r w:rsidR="00960D0F" w:rsidRPr="00977B90">
        <w:rPr>
          <w:noProof/>
        </w:rPr>
        <w:t>policy</w:t>
      </w:r>
      <w:r w:rsidR="00960D0F">
        <w:rPr>
          <w:noProof/>
        </w:rPr>
        <w:t>makers</w:t>
      </w:r>
      <w:r w:rsidRPr="00977B90">
        <w:rPr>
          <w:noProof/>
        </w:rPr>
        <w:t xml:space="preserve"> </w:t>
      </w:r>
      <w:r w:rsidR="00C54E4A">
        <w:rPr>
          <w:noProof/>
        </w:rPr>
        <w:t>to</w:t>
      </w:r>
      <w:r w:rsidR="00C54E4A" w:rsidRPr="00977B90">
        <w:rPr>
          <w:noProof/>
        </w:rPr>
        <w:t xml:space="preserve"> </w:t>
      </w:r>
      <w:r w:rsidRPr="00977B90">
        <w:rPr>
          <w:noProof/>
        </w:rPr>
        <w:t xml:space="preserve">monitor implementation of </w:t>
      </w:r>
      <w:r w:rsidR="00C54E4A">
        <w:rPr>
          <w:noProof/>
        </w:rPr>
        <w:t>EU</w:t>
      </w:r>
      <w:r w:rsidR="00C54E4A" w:rsidRPr="00977B90">
        <w:rPr>
          <w:noProof/>
        </w:rPr>
        <w:t xml:space="preserve"> </w:t>
      </w:r>
      <w:r w:rsidRPr="00977B90">
        <w:rPr>
          <w:noProof/>
        </w:rPr>
        <w:t>policies such as the CAP.</w:t>
      </w:r>
    </w:p>
    <w:p w14:paraId="7B5547BF" w14:textId="6D75F1E0" w:rsidR="00174275" w:rsidRPr="00977B90" w:rsidRDefault="00C54E4A" w:rsidP="00AA419E">
      <w:pPr>
        <w:rPr>
          <w:noProof/>
        </w:rPr>
      </w:pPr>
      <w:r>
        <w:rPr>
          <w:noProof/>
        </w:rPr>
        <w:t>Farm structure</w:t>
      </w:r>
      <w:r w:rsidR="000E6E81" w:rsidRPr="00977B90">
        <w:rPr>
          <w:noProof/>
        </w:rPr>
        <w:t xml:space="preserve"> data</w:t>
      </w:r>
      <w:r w:rsidR="00174275" w:rsidRPr="00977B90">
        <w:rPr>
          <w:noProof/>
        </w:rPr>
        <w:t xml:space="preserve"> </w:t>
      </w:r>
      <w:r w:rsidR="00F7170B" w:rsidRPr="00977B90">
        <w:rPr>
          <w:noProof/>
        </w:rPr>
        <w:t>are</w:t>
      </w:r>
      <w:r w:rsidR="00174275" w:rsidRPr="00977B90">
        <w:rPr>
          <w:noProof/>
        </w:rPr>
        <w:t xml:space="preserve"> </w:t>
      </w:r>
      <w:r>
        <w:rPr>
          <w:noProof/>
        </w:rPr>
        <w:t xml:space="preserve">also </w:t>
      </w:r>
      <w:r w:rsidR="00174275" w:rsidRPr="00977B90">
        <w:rPr>
          <w:noProof/>
        </w:rPr>
        <w:t xml:space="preserve">used </w:t>
      </w:r>
      <w:r>
        <w:rPr>
          <w:noProof/>
        </w:rPr>
        <w:t>to</w:t>
      </w:r>
      <w:r w:rsidR="00174275" w:rsidRPr="00977B90">
        <w:rPr>
          <w:noProof/>
        </w:rPr>
        <w:t xml:space="preserve"> </w:t>
      </w:r>
      <w:r w:rsidRPr="00977B90">
        <w:rPr>
          <w:noProof/>
        </w:rPr>
        <w:t>determin</w:t>
      </w:r>
      <w:r>
        <w:rPr>
          <w:noProof/>
        </w:rPr>
        <w:t>e</w:t>
      </w:r>
      <w:r w:rsidR="00174275" w:rsidRPr="00977B90">
        <w:rPr>
          <w:noProof/>
        </w:rPr>
        <w:t xml:space="preserve"> some Sustainable Development Goals indicators</w:t>
      </w:r>
      <w:r>
        <w:rPr>
          <w:noProof/>
        </w:rPr>
        <w:t>;</w:t>
      </w:r>
      <w:r w:rsidR="00174275" w:rsidRPr="00977B90">
        <w:rPr>
          <w:noProof/>
        </w:rPr>
        <w:t xml:space="preserve"> </w:t>
      </w:r>
      <w:r>
        <w:rPr>
          <w:noProof/>
        </w:rPr>
        <w:t>these</w:t>
      </w:r>
      <w:r w:rsidRPr="00977B90">
        <w:rPr>
          <w:noProof/>
        </w:rPr>
        <w:t xml:space="preserve"> </w:t>
      </w:r>
      <w:r w:rsidR="007D47C7" w:rsidRPr="00977B90">
        <w:rPr>
          <w:noProof/>
        </w:rPr>
        <w:t xml:space="preserve">are </w:t>
      </w:r>
      <w:r>
        <w:rPr>
          <w:noProof/>
        </w:rPr>
        <w:t xml:space="preserve">then </w:t>
      </w:r>
      <w:r w:rsidR="007D47C7" w:rsidRPr="00977B90">
        <w:rPr>
          <w:noProof/>
        </w:rPr>
        <w:t>provided to</w:t>
      </w:r>
      <w:r w:rsidR="00F7170B" w:rsidRPr="00977B90">
        <w:rPr>
          <w:noProof/>
        </w:rPr>
        <w:t xml:space="preserve"> the Food and Agriculture Organi</w:t>
      </w:r>
      <w:r>
        <w:rPr>
          <w:noProof/>
        </w:rPr>
        <w:t>z</w:t>
      </w:r>
      <w:r w:rsidR="00F7170B" w:rsidRPr="00977B90">
        <w:rPr>
          <w:noProof/>
        </w:rPr>
        <w:t>ation of the United Nations (</w:t>
      </w:r>
      <w:r w:rsidR="007D47C7" w:rsidRPr="00977B90">
        <w:rPr>
          <w:noProof/>
        </w:rPr>
        <w:t>FAO</w:t>
      </w:r>
      <w:r w:rsidR="00F7170B" w:rsidRPr="00977B90">
        <w:rPr>
          <w:noProof/>
        </w:rPr>
        <w:t>)</w:t>
      </w:r>
      <w:r w:rsidR="007D47C7" w:rsidRPr="00977B90">
        <w:rPr>
          <w:noProof/>
        </w:rPr>
        <w:t>. A</w:t>
      </w:r>
      <w:r w:rsidR="00174275" w:rsidRPr="00977B90">
        <w:rPr>
          <w:noProof/>
        </w:rPr>
        <w:t xml:space="preserve">nonymised microdata </w:t>
      </w:r>
      <w:r w:rsidR="00C816E0" w:rsidRPr="00977B90">
        <w:rPr>
          <w:noProof/>
        </w:rPr>
        <w:t>are</w:t>
      </w:r>
      <w:r w:rsidR="00174275" w:rsidRPr="00977B90">
        <w:rPr>
          <w:noProof/>
        </w:rPr>
        <w:t xml:space="preserve"> provided to researchers, in agreement with national data providers.</w:t>
      </w:r>
    </w:p>
    <w:p w14:paraId="2D68D46F" w14:textId="6D52EE1E" w:rsidR="00E47B95" w:rsidRPr="00977B90" w:rsidRDefault="00E47B95" w:rsidP="00E47B95">
      <w:pPr>
        <w:pStyle w:val="Heading3"/>
        <w:rPr>
          <w:noProof/>
        </w:rPr>
      </w:pPr>
      <w:r w:rsidRPr="00977B90">
        <w:rPr>
          <w:noProof/>
        </w:rPr>
        <w:t>Completeness</w:t>
      </w:r>
    </w:p>
    <w:p w14:paraId="29AA6291" w14:textId="0E2C3CEE" w:rsidR="00E47B95" w:rsidRPr="00977B90" w:rsidRDefault="00E47B95" w:rsidP="00E47B95">
      <w:pPr>
        <w:rPr>
          <w:noProof/>
        </w:rPr>
      </w:pPr>
      <w:r w:rsidRPr="00977B90">
        <w:rPr>
          <w:noProof/>
        </w:rPr>
        <w:t>The automated validation procedures guarantee that the microdata sets that are transmitted to Eurostat are complete.</w:t>
      </w:r>
    </w:p>
    <w:p w14:paraId="522A3EB2" w14:textId="338B161B" w:rsidR="004A3038" w:rsidRPr="00977B90" w:rsidRDefault="004A3038" w:rsidP="004A3038">
      <w:pPr>
        <w:pStyle w:val="Heading3"/>
        <w:rPr>
          <w:noProof/>
        </w:rPr>
      </w:pPr>
      <w:r w:rsidRPr="00977B90">
        <w:rPr>
          <w:noProof/>
        </w:rPr>
        <w:t>User satisfaction</w:t>
      </w:r>
    </w:p>
    <w:p w14:paraId="0163AF54" w14:textId="70E26D25" w:rsidR="004A3038" w:rsidRPr="00977B90" w:rsidRDefault="004A3038" w:rsidP="00E47B95">
      <w:pPr>
        <w:rPr>
          <w:noProof/>
        </w:rPr>
      </w:pPr>
      <w:r w:rsidRPr="00977B90">
        <w:rPr>
          <w:noProof/>
          <w:color w:val="000000" w:themeColor="text1"/>
        </w:rPr>
        <w:t>User satisfaction surveys have been conducted in 8 Member States</w:t>
      </w:r>
      <w:r w:rsidR="00C54E4A">
        <w:rPr>
          <w:noProof/>
          <w:color w:val="000000" w:themeColor="text1"/>
        </w:rPr>
        <w:t>. The surveys</w:t>
      </w:r>
      <w:r w:rsidR="00C54E4A" w:rsidRPr="00977B90">
        <w:rPr>
          <w:noProof/>
          <w:color w:val="000000" w:themeColor="text1"/>
        </w:rPr>
        <w:t xml:space="preserve"> </w:t>
      </w:r>
      <w:r w:rsidR="00C54E4A">
        <w:rPr>
          <w:noProof/>
          <w:color w:val="000000" w:themeColor="text1"/>
        </w:rPr>
        <w:t>found</w:t>
      </w:r>
      <w:r w:rsidR="00C54E4A" w:rsidRPr="00977B90">
        <w:rPr>
          <w:noProof/>
          <w:color w:val="000000" w:themeColor="text1"/>
        </w:rPr>
        <w:t xml:space="preserve"> </w:t>
      </w:r>
      <w:r w:rsidRPr="00977B90">
        <w:rPr>
          <w:noProof/>
          <w:color w:val="000000" w:themeColor="text1"/>
        </w:rPr>
        <w:t xml:space="preserve">that users </w:t>
      </w:r>
      <w:r w:rsidR="00C54E4A">
        <w:rPr>
          <w:noProof/>
          <w:color w:val="000000" w:themeColor="text1"/>
        </w:rPr>
        <w:t>were</w:t>
      </w:r>
      <w:r w:rsidRPr="00977B90">
        <w:rPr>
          <w:noProof/>
          <w:color w:val="000000" w:themeColor="text1"/>
        </w:rPr>
        <w:t xml:space="preserve"> satisfied in 7 Member States and highly satisfied in 1 Member State.</w:t>
      </w:r>
    </w:p>
    <w:p w14:paraId="0B6F8CB3" w14:textId="1EB43EFC" w:rsidR="007D4293" w:rsidRPr="00977B90" w:rsidRDefault="007D4293" w:rsidP="007D4293">
      <w:pPr>
        <w:pStyle w:val="Heading2"/>
        <w:rPr>
          <w:noProof/>
        </w:rPr>
      </w:pPr>
      <w:r w:rsidRPr="00977B90">
        <w:rPr>
          <w:noProof/>
        </w:rPr>
        <w:t>Accuracy</w:t>
      </w:r>
      <w:r w:rsidR="00625FEB" w:rsidRPr="00977B90">
        <w:rPr>
          <w:noProof/>
        </w:rPr>
        <w:t xml:space="preserve"> and reliability</w:t>
      </w:r>
    </w:p>
    <w:p w14:paraId="51755E75" w14:textId="28288361" w:rsidR="007D4293" w:rsidRPr="00977B90" w:rsidRDefault="00C54E4A" w:rsidP="007D4293">
      <w:pPr>
        <w:rPr>
          <w:noProof/>
        </w:rPr>
      </w:pPr>
      <w:r>
        <w:rPr>
          <w:noProof/>
        </w:rPr>
        <w:t>T</w:t>
      </w:r>
      <w:r w:rsidR="007D4293" w:rsidRPr="00977B90">
        <w:rPr>
          <w:noProof/>
        </w:rPr>
        <w:t xml:space="preserve">he COVID-19 pandemic had a </w:t>
      </w:r>
      <w:r>
        <w:rPr>
          <w:noProof/>
        </w:rPr>
        <w:t>major</w:t>
      </w:r>
      <w:r w:rsidRPr="00977B90">
        <w:rPr>
          <w:noProof/>
        </w:rPr>
        <w:t xml:space="preserve"> </w:t>
      </w:r>
      <w:r w:rsidR="007D4293" w:rsidRPr="00977B90">
        <w:rPr>
          <w:noProof/>
        </w:rPr>
        <w:t>impact on the census</w:t>
      </w:r>
      <w:r w:rsidRPr="00C54E4A">
        <w:rPr>
          <w:noProof/>
        </w:rPr>
        <w:t xml:space="preserve"> </w:t>
      </w:r>
      <w:r>
        <w:rPr>
          <w:noProof/>
        </w:rPr>
        <w:t>i</w:t>
      </w:r>
      <w:r w:rsidRPr="00977B90">
        <w:rPr>
          <w:noProof/>
        </w:rPr>
        <w:t>n several EU countries</w:t>
      </w:r>
      <w:r w:rsidR="00193760">
        <w:rPr>
          <w:noProof/>
        </w:rPr>
        <w:t>. This</w:t>
      </w:r>
      <w:r w:rsidR="00193760" w:rsidRPr="00977B90">
        <w:rPr>
          <w:noProof/>
        </w:rPr>
        <w:t xml:space="preserve"> </w:t>
      </w:r>
      <w:r w:rsidR="007D4293" w:rsidRPr="00977B90">
        <w:rPr>
          <w:noProof/>
        </w:rPr>
        <w:t xml:space="preserve">mainly </w:t>
      </w:r>
      <w:r w:rsidR="00193760">
        <w:rPr>
          <w:noProof/>
        </w:rPr>
        <w:t>took the form of</w:t>
      </w:r>
      <w:r w:rsidR="007D4293" w:rsidRPr="00977B90">
        <w:rPr>
          <w:noProof/>
        </w:rPr>
        <w:t xml:space="preserve"> delays </w:t>
      </w:r>
      <w:r>
        <w:rPr>
          <w:noProof/>
        </w:rPr>
        <w:t>to</w:t>
      </w:r>
      <w:r w:rsidR="007D4293" w:rsidRPr="00977B90">
        <w:rPr>
          <w:noProof/>
        </w:rPr>
        <w:t xml:space="preserve"> </w:t>
      </w:r>
      <w:r w:rsidR="00193760">
        <w:rPr>
          <w:noProof/>
        </w:rPr>
        <w:t>various</w:t>
      </w:r>
      <w:r w:rsidR="00193760" w:rsidRPr="00977B90">
        <w:rPr>
          <w:noProof/>
        </w:rPr>
        <w:t xml:space="preserve"> </w:t>
      </w:r>
      <w:r w:rsidR="007D4293" w:rsidRPr="00977B90">
        <w:rPr>
          <w:noProof/>
        </w:rPr>
        <w:t xml:space="preserve">activities, especially printing questionnaires, training interviewers and supervisors, contracting, data collection and access to administrative registers. In response, the European Statistical System </w:t>
      </w:r>
      <w:r>
        <w:rPr>
          <w:noProof/>
        </w:rPr>
        <w:t>W</w:t>
      </w:r>
      <w:r w:rsidR="007D4293" w:rsidRPr="00977B90">
        <w:rPr>
          <w:noProof/>
        </w:rPr>
        <w:t xml:space="preserve">orking </w:t>
      </w:r>
      <w:r>
        <w:rPr>
          <w:noProof/>
        </w:rPr>
        <w:t>G</w:t>
      </w:r>
      <w:r w:rsidR="007D4293" w:rsidRPr="00977B90">
        <w:rPr>
          <w:noProof/>
        </w:rPr>
        <w:t>roup on Structure of Agricultural Holdings set up a task force to discuss the practices used in Europe to minimise these difficulties. The task force prepared a report</w:t>
      </w:r>
      <w:r w:rsidR="00A738BA">
        <w:rPr>
          <w:noProof/>
        </w:rPr>
        <w:t xml:space="preserve"> entitled</w:t>
      </w:r>
      <w:r w:rsidR="007D4293" w:rsidRPr="00977B90">
        <w:rPr>
          <w:noProof/>
        </w:rPr>
        <w:t xml:space="preserve"> </w:t>
      </w:r>
      <w:r w:rsidR="00977B90">
        <w:rPr>
          <w:noProof/>
        </w:rPr>
        <w:t>‘</w:t>
      </w:r>
      <w:hyperlink r:id="rId23" w:history="1">
        <w:r w:rsidR="007D4293" w:rsidRPr="00977B90">
          <w:rPr>
            <w:rStyle w:val="Hyperlink"/>
            <w:noProof/>
          </w:rPr>
          <w:t>Minimising the impact of COVID-19 on data quality in the agricultural census</w:t>
        </w:r>
      </w:hyperlink>
      <w:r w:rsidR="00977B90">
        <w:rPr>
          <w:noProof/>
        </w:rPr>
        <w:t>’</w:t>
      </w:r>
      <w:r w:rsidR="00A738BA">
        <w:rPr>
          <w:noProof/>
        </w:rPr>
        <w:t>,</w:t>
      </w:r>
      <w:r w:rsidR="007D4293" w:rsidRPr="00977B90">
        <w:rPr>
          <w:noProof/>
        </w:rPr>
        <w:t xml:space="preserve"> which presents the best of these practices. Although </w:t>
      </w:r>
      <w:r w:rsidR="00A738BA" w:rsidRPr="00977B90">
        <w:rPr>
          <w:noProof/>
        </w:rPr>
        <w:t>the</w:t>
      </w:r>
      <w:r w:rsidR="00A738BA">
        <w:rPr>
          <w:noProof/>
        </w:rPr>
        <w:t xml:space="preserve"> practice</w:t>
      </w:r>
      <w:r w:rsidR="006539F9">
        <w:rPr>
          <w:noProof/>
        </w:rPr>
        <w:t>s</w:t>
      </w:r>
      <w:r w:rsidR="00A738BA" w:rsidRPr="00977B90">
        <w:rPr>
          <w:noProof/>
        </w:rPr>
        <w:t xml:space="preserve"> </w:t>
      </w:r>
      <w:r w:rsidR="007D4293" w:rsidRPr="00977B90">
        <w:rPr>
          <w:noProof/>
        </w:rPr>
        <w:t>apply to the COVID-19 pandemic, the</w:t>
      </w:r>
      <w:r w:rsidR="00A738BA">
        <w:rPr>
          <w:noProof/>
        </w:rPr>
        <w:t>y</w:t>
      </w:r>
      <w:r w:rsidR="007D4293" w:rsidRPr="00977B90">
        <w:rPr>
          <w:noProof/>
        </w:rPr>
        <w:t xml:space="preserve"> are also applicable in any other similar situation of general restrictions, and even in normal situations.</w:t>
      </w:r>
    </w:p>
    <w:p w14:paraId="1EB58785" w14:textId="6B309D61" w:rsidR="007D4293" w:rsidRPr="00977B90" w:rsidRDefault="007D4293" w:rsidP="007D4293">
      <w:pPr>
        <w:rPr>
          <w:noProof/>
        </w:rPr>
      </w:pPr>
      <w:r w:rsidRPr="00977B90">
        <w:rPr>
          <w:noProof/>
        </w:rPr>
        <w:t xml:space="preserve">Eurostat collects quality reports on integrated farm statistics corresponding to each data transmission. </w:t>
      </w:r>
      <w:r w:rsidR="00A93761" w:rsidRPr="00977B90">
        <w:rPr>
          <w:noProof/>
        </w:rPr>
        <w:t>The</w:t>
      </w:r>
      <w:r w:rsidR="00A93761">
        <w:rPr>
          <w:noProof/>
        </w:rPr>
        <w:t xml:space="preserve"> reports</w:t>
      </w:r>
      <w:r w:rsidR="00A93761" w:rsidRPr="00977B90">
        <w:rPr>
          <w:noProof/>
        </w:rPr>
        <w:t xml:space="preserve"> </w:t>
      </w:r>
      <w:r w:rsidRPr="00977B90">
        <w:rPr>
          <w:noProof/>
        </w:rPr>
        <w:t>describe the methods and quality aspects of data collection based on self-assessments by the countries</w:t>
      </w:r>
      <w:r w:rsidR="006539F9">
        <w:rPr>
          <w:noProof/>
        </w:rPr>
        <w:t>; they</w:t>
      </w:r>
      <w:r w:rsidRPr="00977B90">
        <w:rPr>
          <w:noProof/>
        </w:rPr>
        <w:t xml:space="preserve"> are </w:t>
      </w:r>
      <w:r w:rsidR="00A93761">
        <w:rPr>
          <w:noProof/>
        </w:rPr>
        <w:t>drawn up</w:t>
      </w:r>
      <w:r w:rsidR="00A93761" w:rsidRPr="00977B90">
        <w:rPr>
          <w:noProof/>
        </w:rPr>
        <w:t xml:space="preserve"> </w:t>
      </w:r>
      <w:r w:rsidRPr="00977B90">
        <w:rPr>
          <w:noProof/>
        </w:rPr>
        <w:t xml:space="preserve">under </w:t>
      </w:r>
      <w:hyperlink r:id="rId24" w:history="1">
        <w:r w:rsidRPr="00977B90">
          <w:rPr>
            <w:rStyle w:val="Hyperlink"/>
            <w:noProof/>
          </w:rPr>
          <w:t>Implementing Regulation (EU) 2020/405</w:t>
        </w:r>
      </w:hyperlink>
      <w:r w:rsidRPr="00977B90">
        <w:rPr>
          <w:noProof/>
        </w:rPr>
        <w:t xml:space="preserve"> specifying the arrangements for, and contents of, the quality reports to be transmitted under Regulation (EU) 2018/1091 of the European Parliament and of the Council on integrated farm statistics. Eurostat used the national quality reports to compile an </w:t>
      </w:r>
      <w:hyperlink r:id="rId25" w:history="1">
        <w:r w:rsidRPr="00977B90">
          <w:rPr>
            <w:rStyle w:val="Hyperlink"/>
            <w:noProof/>
          </w:rPr>
          <w:t>EU-level quality report</w:t>
        </w:r>
      </w:hyperlink>
      <w:r w:rsidRPr="00977B90">
        <w:rPr>
          <w:noProof/>
        </w:rPr>
        <w:t>.</w:t>
      </w:r>
    </w:p>
    <w:p w14:paraId="351CCB10" w14:textId="2CCC47F6" w:rsidR="007D4293" w:rsidRPr="00977B90" w:rsidRDefault="007D4293" w:rsidP="007D4293">
      <w:pPr>
        <w:rPr>
          <w:noProof/>
          <w:color w:val="000000" w:themeColor="text1"/>
        </w:rPr>
      </w:pPr>
      <w:r w:rsidRPr="00977B90">
        <w:rPr>
          <w:noProof/>
          <w:color w:val="000000" w:themeColor="text1"/>
        </w:rPr>
        <w:t>A quality management system is in place in 22 Member States and in Iceland. 19 Member States and Iceland reported improvements in quality procedures</w:t>
      </w:r>
      <w:r w:rsidR="00864085">
        <w:rPr>
          <w:noProof/>
          <w:color w:val="000000" w:themeColor="text1"/>
        </w:rPr>
        <w:t>, while</w:t>
      </w:r>
      <w:r w:rsidR="00864085" w:rsidRPr="00977B90">
        <w:rPr>
          <w:noProof/>
          <w:color w:val="000000" w:themeColor="text1"/>
        </w:rPr>
        <w:t xml:space="preserve"> </w:t>
      </w:r>
      <w:r w:rsidRPr="00977B90">
        <w:rPr>
          <w:noProof/>
          <w:color w:val="000000" w:themeColor="text1"/>
        </w:rPr>
        <w:t>25 Member States, Iceland and Norway reported efficiency gains since the last data transmission to Eurostat</w:t>
      </w:r>
      <w:r w:rsidR="00A93761">
        <w:rPr>
          <w:noProof/>
          <w:color w:val="000000" w:themeColor="text1"/>
        </w:rPr>
        <w:t>. These included</w:t>
      </w:r>
      <w:r w:rsidRPr="00977B90">
        <w:rPr>
          <w:noProof/>
          <w:color w:val="000000" w:themeColor="text1"/>
        </w:rPr>
        <w:t xml:space="preserve"> further automation</w:t>
      </w:r>
      <w:r w:rsidR="00B52CE9">
        <w:rPr>
          <w:noProof/>
          <w:color w:val="000000" w:themeColor="text1"/>
        </w:rPr>
        <w:t xml:space="preserve"> and</w:t>
      </w:r>
      <w:r w:rsidRPr="00977B90">
        <w:rPr>
          <w:noProof/>
          <w:color w:val="000000" w:themeColor="text1"/>
        </w:rPr>
        <w:t xml:space="preserve"> increased use of administrative data</w:t>
      </w:r>
      <w:r w:rsidR="00B52CE9">
        <w:rPr>
          <w:noProof/>
          <w:color w:val="000000" w:themeColor="text1"/>
        </w:rPr>
        <w:t xml:space="preserve"> sources</w:t>
      </w:r>
      <w:r w:rsidR="003144FF">
        <w:rPr>
          <w:noProof/>
          <w:color w:val="000000" w:themeColor="text1"/>
        </w:rPr>
        <w:t xml:space="preserve"> such</w:t>
      </w:r>
      <w:r w:rsidR="003144FF" w:rsidRPr="003144FF">
        <w:rPr>
          <w:noProof/>
        </w:rPr>
        <w:t xml:space="preserve"> as</w:t>
      </w:r>
      <w:r w:rsidR="003144FF">
        <w:rPr>
          <w:noProof/>
        </w:rPr>
        <w:t xml:space="preserve"> the</w:t>
      </w:r>
      <w:r w:rsidR="003144FF" w:rsidRPr="003144FF">
        <w:rPr>
          <w:noProof/>
        </w:rPr>
        <w:t xml:space="preserve"> </w:t>
      </w:r>
      <w:bookmarkStart w:id="5" w:name="_Hlk148084853"/>
      <w:r w:rsidR="003144FF" w:rsidRPr="003144FF">
        <w:rPr>
          <w:noProof/>
        </w:rPr>
        <w:t>Integrated Administration and Control System (EU Regulation 1306/2013 and Regulation 2021/2116)</w:t>
      </w:r>
      <w:bookmarkEnd w:id="5"/>
      <w:r w:rsidR="00B52CE9">
        <w:rPr>
          <w:noProof/>
        </w:rPr>
        <w:t>,</w:t>
      </w:r>
      <w:r w:rsidR="00C808CA">
        <w:rPr>
          <w:noProof/>
        </w:rPr>
        <w:t xml:space="preserve"> animal</w:t>
      </w:r>
      <w:r w:rsidR="00B52CE9">
        <w:rPr>
          <w:noProof/>
        </w:rPr>
        <w:t xml:space="preserve"> registers</w:t>
      </w:r>
      <w:r w:rsidR="00C808CA">
        <w:rPr>
          <w:noProof/>
        </w:rPr>
        <w:t>, organic farming</w:t>
      </w:r>
      <w:r w:rsidR="00B52CE9">
        <w:rPr>
          <w:noProof/>
        </w:rPr>
        <w:t xml:space="preserve"> registers</w:t>
      </w:r>
      <w:r w:rsidR="00C808CA">
        <w:rPr>
          <w:noProof/>
        </w:rPr>
        <w:t xml:space="preserve"> or vineyards registers</w:t>
      </w:r>
      <w:r w:rsidR="00A82FF6">
        <w:rPr>
          <w:rStyle w:val="FootnoteReference"/>
          <w:noProof/>
        </w:rPr>
        <w:footnoteReference w:id="5"/>
      </w:r>
      <w:r w:rsidR="00C808CA">
        <w:rPr>
          <w:noProof/>
          <w:color w:val="000000" w:themeColor="text1"/>
        </w:rPr>
        <w:t>. The use of</w:t>
      </w:r>
      <w:r w:rsidRPr="00977B90">
        <w:rPr>
          <w:noProof/>
          <w:color w:val="000000" w:themeColor="text1"/>
        </w:rPr>
        <w:t xml:space="preserve"> </w:t>
      </w:r>
      <w:r w:rsidR="00977B90">
        <w:rPr>
          <w:noProof/>
          <w:color w:val="000000" w:themeColor="text1"/>
        </w:rPr>
        <w:t>online</w:t>
      </w:r>
      <w:r w:rsidRPr="00977B90">
        <w:rPr>
          <w:noProof/>
          <w:color w:val="000000" w:themeColor="text1"/>
        </w:rPr>
        <w:t xml:space="preserve"> surveys</w:t>
      </w:r>
      <w:r w:rsidR="00A93761">
        <w:rPr>
          <w:noProof/>
          <w:color w:val="000000" w:themeColor="text1"/>
        </w:rPr>
        <w:t xml:space="preserve"> and</w:t>
      </w:r>
      <w:r w:rsidR="00A93761" w:rsidRPr="00977B90">
        <w:rPr>
          <w:noProof/>
          <w:color w:val="000000" w:themeColor="text1"/>
        </w:rPr>
        <w:t xml:space="preserve"> </w:t>
      </w:r>
      <w:r w:rsidRPr="00977B90">
        <w:rPr>
          <w:noProof/>
          <w:color w:val="000000" w:themeColor="text1"/>
        </w:rPr>
        <w:t>further training</w:t>
      </w:r>
      <w:r w:rsidR="00C808CA">
        <w:rPr>
          <w:noProof/>
          <w:color w:val="000000" w:themeColor="text1"/>
        </w:rPr>
        <w:t xml:space="preserve"> were also indicated as improvements</w:t>
      </w:r>
      <w:r w:rsidRPr="00977B90">
        <w:rPr>
          <w:noProof/>
          <w:color w:val="000000" w:themeColor="text1"/>
        </w:rPr>
        <w:t>.</w:t>
      </w:r>
      <w:r w:rsidRPr="00977B90">
        <w:rPr>
          <w:i/>
          <w:noProof/>
          <w:color w:val="FF0000"/>
        </w:rPr>
        <w:t xml:space="preserve"> </w:t>
      </w:r>
      <w:r w:rsidRPr="00977B90">
        <w:rPr>
          <w:noProof/>
          <w:color w:val="000000" w:themeColor="text1"/>
        </w:rPr>
        <w:t>Most</w:t>
      </w:r>
      <w:r w:rsidR="00977B90" w:rsidRPr="00977B90">
        <w:rPr>
          <w:noProof/>
          <w:color w:val="000000" w:themeColor="text1"/>
        </w:rPr>
        <w:t xml:space="preserve"> </w:t>
      </w:r>
      <w:r w:rsidRPr="00977B90">
        <w:rPr>
          <w:noProof/>
          <w:color w:val="000000" w:themeColor="text1"/>
        </w:rPr>
        <w:t xml:space="preserve">EEA reporting countries </w:t>
      </w:r>
      <w:r w:rsidR="00A93761">
        <w:rPr>
          <w:noProof/>
          <w:color w:val="000000" w:themeColor="text1"/>
        </w:rPr>
        <w:t>found</w:t>
      </w:r>
      <w:r w:rsidR="00A93761" w:rsidRPr="00977B90">
        <w:rPr>
          <w:noProof/>
          <w:color w:val="000000" w:themeColor="text1"/>
        </w:rPr>
        <w:t xml:space="preserve"> </w:t>
      </w:r>
      <w:r w:rsidRPr="00977B90">
        <w:rPr>
          <w:noProof/>
          <w:color w:val="000000" w:themeColor="text1"/>
        </w:rPr>
        <w:t xml:space="preserve">that </w:t>
      </w:r>
      <w:r w:rsidR="00A93761" w:rsidRPr="00977B90">
        <w:rPr>
          <w:noProof/>
          <w:color w:val="000000" w:themeColor="text1"/>
        </w:rPr>
        <w:t>sampling errors</w:t>
      </w:r>
      <w:r w:rsidR="00A93761">
        <w:rPr>
          <w:noProof/>
          <w:color w:val="000000" w:themeColor="text1"/>
        </w:rPr>
        <w:t xml:space="preserve"> had</w:t>
      </w:r>
      <w:r w:rsidRPr="00977B90">
        <w:rPr>
          <w:noProof/>
          <w:color w:val="000000" w:themeColor="text1"/>
        </w:rPr>
        <w:t xml:space="preserve"> no impact on data quality and</w:t>
      </w:r>
      <w:r w:rsidR="00977B90" w:rsidRPr="00977B90">
        <w:rPr>
          <w:noProof/>
          <w:color w:val="000000" w:themeColor="text1"/>
        </w:rPr>
        <w:t xml:space="preserve"> </w:t>
      </w:r>
      <w:r w:rsidRPr="00977B90">
        <w:rPr>
          <w:noProof/>
          <w:color w:val="000000" w:themeColor="text1"/>
        </w:rPr>
        <w:t xml:space="preserve">that the impact of coverage errors, non-response errors, measurement errors and processing errors on data quality </w:t>
      </w:r>
      <w:r w:rsidR="00F7170B" w:rsidRPr="00977B90">
        <w:rPr>
          <w:noProof/>
          <w:color w:val="000000" w:themeColor="text1"/>
        </w:rPr>
        <w:t>is</w:t>
      </w:r>
      <w:r w:rsidRPr="00977B90">
        <w:rPr>
          <w:noProof/>
          <w:color w:val="000000" w:themeColor="text1"/>
        </w:rPr>
        <w:t xml:space="preserve"> low or absent.</w:t>
      </w:r>
    </w:p>
    <w:p w14:paraId="2CA7052C" w14:textId="62F6CCF6" w:rsidR="007D4293" w:rsidRPr="00977B90" w:rsidRDefault="007D4293" w:rsidP="007D4293">
      <w:pPr>
        <w:rPr>
          <w:i/>
          <w:noProof/>
        </w:rPr>
      </w:pPr>
      <w:r w:rsidRPr="00977B90">
        <w:rPr>
          <w:noProof/>
        </w:rPr>
        <w:t xml:space="preserve">21 Member States, Iceland and Norway complied with all precision requirements in Regulation (EU) 2018/1091, while </w:t>
      </w:r>
      <w:r w:rsidR="00864085">
        <w:rPr>
          <w:noProof/>
        </w:rPr>
        <w:t xml:space="preserve">in </w:t>
      </w:r>
      <w:r w:rsidRPr="00977B90">
        <w:rPr>
          <w:noProof/>
        </w:rPr>
        <w:t xml:space="preserve">6 Member States </w:t>
      </w:r>
      <w:r w:rsidR="00864085">
        <w:rPr>
          <w:noProof/>
        </w:rPr>
        <w:t>the rate of</w:t>
      </w:r>
      <w:r w:rsidRPr="00977B90">
        <w:rPr>
          <w:noProof/>
        </w:rPr>
        <w:t xml:space="preserve"> </w:t>
      </w:r>
      <w:r w:rsidR="00A93761" w:rsidRPr="00977B90">
        <w:rPr>
          <w:noProof/>
        </w:rPr>
        <w:t>no</w:t>
      </w:r>
      <w:r w:rsidR="00A93761">
        <w:rPr>
          <w:noProof/>
        </w:rPr>
        <w:t>n-</w:t>
      </w:r>
      <w:r w:rsidR="00A93761" w:rsidRPr="00977B90">
        <w:rPr>
          <w:noProof/>
        </w:rPr>
        <w:t>complian</w:t>
      </w:r>
      <w:r w:rsidR="00A93761">
        <w:rPr>
          <w:noProof/>
        </w:rPr>
        <w:t>ce with</w:t>
      </w:r>
      <w:r w:rsidR="00A93761" w:rsidRPr="00977B90">
        <w:rPr>
          <w:noProof/>
        </w:rPr>
        <w:t xml:space="preserve"> </w:t>
      </w:r>
      <w:r w:rsidRPr="00977B90">
        <w:rPr>
          <w:noProof/>
        </w:rPr>
        <w:t xml:space="preserve">precision requirements </w:t>
      </w:r>
      <w:r w:rsidR="00864085">
        <w:rPr>
          <w:noProof/>
        </w:rPr>
        <w:t xml:space="preserve">was </w:t>
      </w:r>
      <w:r w:rsidRPr="00977B90">
        <w:rPr>
          <w:noProof/>
        </w:rPr>
        <w:t>lower than 10%. The overall quality for the census is good.</w:t>
      </w:r>
    </w:p>
    <w:p w14:paraId="4F83D840" w14:textId="77777777" w:rsidR="00625FEB" w:rsidRPr="00977B90" w:rsidRDefault="00625FEB" w:rsidP="00625FEB">
      <w:pPr>
        <w:pStyle w:val="Heading2"/>
        <w:rPr>
          <w:noProof/>
        </w:rPr>
      </w:pPr>
      <w:bookmarkStart w:id="6" w:name="_Toc39845163"/>
      <w:bookmarkStart w:id="7" w:name="_Toc39845175"/>
      <w:r w:rsidRPr="00977B90">
        <w:rPr>
          <w:noProof/>
        </w:rPr>
        <w:t>Timeliness and punctuality</w:t>
      </w:r>
      <w:bookmarkEnd w:id="6"/>
    </w:p>
    <w:p w14:paraId="100BEBF1" w14:textId="7B0C0A0F" w:rsidR="00625FEB" w:rsidRPr="00977B90" w:rsidRDefault="00650869" w:rsidP="00625FEB">
      <w:pPr>
        <w:rPr>
          <w:noProof/>
        </w:rPr>
      </w:pPr>
      <w:r>
        <w:rPr>
          <w:noProof/>
        </w:rPr>
        <w:t xml:space="preserve">Article 12(1) of </w:t>
      </w:r>
      <w:r w:rsidR="00625FEB" w:rsidRPr="00977B90">
        <w:rPr>
          <w:noProof/>
        </w:rPr>
        <w:t>Regulation (EU) 2018/1091 set a deadline of 15 months for the data and quality reports to be transmitted to Eurostat, from the end of the reference year 2020.</w:t>
      </w:r>
    </w:p>
    <w:p w14:paraId="3467241D" w14:textId="118E5E0F" w:rsidR="00625FEB" w:rsidRPr="00977B90" w:rsidRDefault="00625FEB" w:rsidP="00625FEB">
      <w:pPr>
        <w:rPr>
          <w:noProof/>
        </w:rPr>
      </w:pPr>
      <w:r w:rsidRPr="00977B90">
        <w:rPr>
          <w:noProof/>
        </w:rPr>
        <w:t>Most EEA States have met the data and quality report submission deadlines</w:t>
      </w:r>
      <w:r w:rsidR="00A93761">
        <w:rPr>
          <w:noProof/>
        </w:rPr>
        <w:t>.</w:t>
      </w:r>
    </w:p>
    <w:p w14:paraId="73E142C6" w14:textId="6F93FEF9" w:rsidR="00625FEB" w:rsidRPr="00977B90" w:rsidRDefault="006B70F0" w:rsidP="00625FEB">
      <w:pPr>
        <w:pStyle w:val="ListParagraph"/>
        <w:numPr>
          <w:ilvl w:val="0"/>
          <w:numId w:val="5"/>
        </w:numPr>
        <w:rPr>
          <w:strike/>
          <w:noProof/>
        </w:rPr>
      </w:pPr>
      <w:r>
        <w:rPr>
          <w:noProof/>
        </w:rPr>
        <w:t>20</w:t>
      </w:r>
      <w:r w:rsidR="00625FEB" w:rsidRPr="00977B90">
        <w:rPr>
          <w:noProof/>
        </w:rPr>
        <w:t xml:space="preserve"> </w:t>
      </w:r>
      <w:r>
        <w:rPr>
          <w:noProof/>
        </w:rPr>
        <w:t>countries</w:t>
      </w:r>
      <w:r w:rsidR="00625FEB" w:rsidRPr="00977B90">
        <w:rPr>
          <w:noProof/>
        </w:rPr>
        <w:t xml:space="preserve"> met the </w:t>
      </w:r>
      <w:r w:rsidR="00A93761">
        <w:rPr>
          <w:noProof/>
        </w:rPr>
        <w:t xml:space="preserve">reporting </w:t>
      </w:r>
      <w:r w:rsidR="00625FEB" w:rsidRPr="00977B90">
        <w:rPr>
          <w:noProof/>
        </w:rPr>
        <w:t xml:space="preserve">deadlines </w:t>
      </w:r>
      <w:r w:rsidR="00713A3E">
        <w:rPr>
          <w:noProof/>
        </w:rPr>
        <w:t xml:space="preserve">laid down </w:t>
      </w:r>
      <w:r w:rsidR="00625FEB" w:rsidRPr="00977B90">
        <w:rPr>
          <w:noProof/>
        </w:rPr>
        <w:t xml:space="preserve">in Regulation (EU) 2018/1091 and, for the Member States, </w:t>
      </w:r>
      <w:r w:rsidR="00713A3E">
        <w:rPr>
          <w:noProof/>
        </w:rPr>
        <w:t xml:space="preserve">in </w:t>
      </w:r>
      <w:r w:rsidR="00625FEB" w:rsidRPr="00977B90">
        <w:rPr>
          <w:noProof/>
        </w:rPr>
        <w:t>their grant agreements signed with Eurostat</w:t>
      </w:r>
      <w:r w:rsidR="004A3038" w:rsidRPr="00977B90">
        <w:rPr>
          <w:noProof/>
        </w:rPr>
        <w:t>.</w:t>
      </w:r>
    </w:p>
    <w:p w14:paraId="23CBA8C2" w14:textId="1B711922" w:rsidR="00625FEB" w:rsidRPr="00977B90" w:rsidRDefault="00650869" w:rsidP="00625FEB">
      <w:pPr>
        <w:pStyle w:val="ListParagraph"/>
        <w:numPr>
          <w:ilvl w:val="0"/>
          <w:numId w:val="5"/>
        </w:numPr>
        <w:rPr>
          <w:strike/>
          <w:noProof/>
        </w:rPr>
      </w:pPr>
      <w:r>
        <w:rPr>
          <w:noProof/>
        </w:rPr>
        <w:t xml:space="preserve">At the request of </w:t>
      </w:r>
      <w:r w:rsidR="00625FEB" w:rsidRPr="00977B90">
        <w:rPr>
          <w:noProof/>
        </w:rPr>
        <w:t>3 Member States</w:t>
      </w:r>
      <w:r w:rsidR="003735F1">
        <w:rPr>
          <w:noProof/>
        </w:rPr>
        <w:t xml:space="preserve">, </w:t>
      </w:r>
      <w:r w:rsidR="00625FEB" w:rsidRPr="00977B90">
        <w:rPr>
          <w:noProof/>
        </w:rPr>
        <w:t>the</w:t>
      </w:r>
      <w:r w:rsidR="00025EB7">
        <w:rPr>
          <w:noProof/>
        </w:rPr>
        <w:t>ir</w:t>
      </w:r>
      <w:r w:rsidR="00625FEB" w:rsidRPr="00977B90">
        <w:rPr>
          <w:noProof/>
        </w:rPr>
        <w:t xml:space="preserve"> grant agreements with Eurostat </w:t>
      </w:r>
      <w:r w:rsidR="00C33800">
        <w:rPr>
          <w:noProof/>
        </w:rPr>
        <w:t>were</w:t>
      </w:r>
      <w:r>
        <w:rPr>
          <w:noProof/>
        </w:rPr>
        <w:t xml:space="preserve"> amended </w:t>
      </w:r>
      <w:r w:rsidR="00A93761">
        <w:rPr>
          <w:noProof/>
        </w:rPr>
        <w:t>on the grounds of</w:t>
      </w:r>
      <w:r w:rsidR="00A93761" w:rsidRPr="00977B90">
        <w:rPr>
          <w:noProof/>
        </w:rPr>
        <w:t xml:space="preserve"> </w:t>
      </w:r>
      <w:r w:rsidR="00625FEB" w:rsidRPr="00960D0F">
        <w:rPr>
          <w:i/>
          <w:noProof/>
        </w:rPr>
        <w:t>force majeure</w:t>
      </w:r>
      <w:r w:rsidR="00625FEB" w:rsidRPr="00977B90">
        <w:rPr>
          <w:noProof/>
        </w:rPr>
        <w:t xml:space="preserve"> in the context of the COVID</w:t>
      </w:r>
      <w:r w:rsidR="00864085">
        <w:rPr>
          <w:noProof/>
        </w:rPr>
        <w:noBreakHyphen/>
      </w:r>
      <w:r w:rsidR="00625FEB" w:rsidRPr="00977B90">
        <w:rPr>
          <w:noProof/>
        </w:rPr>
        <w:t>19 pandemic</w:t>
      </w:r>
      <w:r w:rsidR="00C33800">
        <w:rPr>
          <w:noProof/>
        </w:rPr>
        <w:t xml:space="preserve"> (under explicit provisions foreseen in Article II.15 of the grant agreements</w:t>
      </w:r>
      <w:r w:rsidR="003144FF">
        <w:rPr>
          <w:noProof/>
        </w:rPr>
        <w:t>)</w:t>
      </w:r>
      <w:r w:rsidR="00625FEB" w:rsidRPr="00977B90">
        <w:rPr>
          <w:noProof/>
        </w:rPr>
        <w:t>. The amended grant agreements set extended deadlines for data and quality report</w:t>
      </w:r>
      <w:r w:rsidR="00A93761">
        <w:rPr>
          <w:noProof/>
        </w:rPr>
        <w:t>ing</w:t>
      </w:r>
      <w:r w:rsidR="00960D0F">
        <w:rPr>
          <w:noProof/>
        </w:rPr>
        <w:t xml:space="preserve"> </w:t>
      </w:r>
      <w:r w:rsidR="00625FEB" w:rsidRPr="00977B90">
        <w:rPr>
          <w:noProof/>
        </w:rPr>
        <w:t xml:space="preserve">that exceeded the deadline in Regulation (EU) 2018/1091. The 3 Member States have met the extended deadlines </w:t>
      </w:r>
      <w:r w:rsidR="00A93761">
        <w:rPr>
          <w:noProof/>
        </w:rPr>
        <w:t>laid down</w:t>
      </w:r>
      <w:r w:rsidR="00A93761" w:rsidRPr="00977B90">
        <w:rPr>
          <w:noProof/>
        </w:rPr>
        <w:t xml:space="preserve"> </w:t>
      </w:r>
      <w:r w:rsidR="00625FEB" w:rsidRPr="00977B90">
        <w:rPr>
          <w:noProof/>
        </w:rPr>
        <w:t>in the amended grant agreements.</w:t>
      </w:r>
      <w:r w:rsidR="003144FF" w:rsidRPr="003144FF">
        <w:rPr>
          <w:noProof/>
        </w:rPr>
        <w:t xml:space="preserve"> </w:t>
      </w:r>
      <w:bookmarkStart w:id="8" w:name="_Hlk148085490"/>
      <w:r w:rsidR="003144FF" w:rsidRPr="003144FF">
        <w:rPr>
          <w:noProof/>
        </w:rPr>
        <w:t xml:space="preserve">The coronavirus crisis </w:t>
      </w:r>
      <w:r w:rsidR="003144FF">
        <w:rPr>
          <w:noProof/>
        </w:rPr>
        <w:t>was considered</w:t>
      </w:r>
      <w:r w:rsidR="003144FF" w:rsidRPr="003144FF">
        <w:rPr>
          <w:noProof/>
        </w:rPr>
        <w:t xml:space="preserve"> an exceptional situation justify</w:t>
      </w:r>
      <w:r w:rsidR="003144FF">
        <w:rPr>
          <w:noProof/>
        </w:rPr>
        <w:t>ing</w:t>
      </w:r>
      <w:r w:rsidR="003144FF" w:rsidRPr="003144FF">
        <w:rPr>
          <w:noProof/>
        </w:rPr>
        <w:t xml:space="preserve"> the extension of the deadline</w:t>
      </w:r>
      <w:r w:rsidR="003144FF">
        <w:rPr>
          <w:noProof/>
        </w:rPr>
        <w:t>.</w:t>
      </w:r>
      <w:bookmarkEnd w:id="8"/>
    </w:p>
    <w:p w14:paraId="5715D3A5" w14:textId="7C71CC5D" w:rsidR="00625FEB" w:rsidRPr="00977B90" w:rsidRDefault="003735F1" w:rsidP="00625FEB">
      <w:pPr>
        <w:pStyle w:val="ListParagraph"/>
        <w:numPr>
          <w:ilvl w:val="0"/>
          <w:numId w:val="5"/>
        </w:numPr>
        <w:rPr>
          <w:strike/>
          <w:noProof/>
        </w:rPr>
      </w:pPr>
      <w:r>
        <w:rPr>
          <w:noProof/>
        </w:rPr>
        <w:t xml:space="preserve">Minor delays of up to </w:t>
      </w:r>
      <w:r w:rsidR="00625FEB" w:rsidRPr="00977B90">
        <w:rPr>
          <w:noProof/>
        </w:rPr>
        <w:t xml:space="preserve">13 days </w:t>
      </w:r>
      <w:r w:rsidR="00A93761">
        <w:rPr>
          <w:noProof/>
        </w:rPr>
        <w:t>in</w:t>
      </w:r>
      <w:r w:rsidR="00A93761" w:rsidRPr="00977B90">
        <w:rPr>
          <w:noProof/>
        </w:rPr>
        <w:t xml:space="preserve"> </w:t>
      </w:r>
      <w:r w:rsidR="00625FEB" w:rsidRPr="00977B90">
        <w:rPr>
          <w:noProof/>
        </w:rPr>
        <w:t>transmit</w:t>
      </w:r>
      <w:r w:rsidR="00A93761">
        <w:rPr>
          <w:noProof/>
        </w:rPr>
        <w:t>ting</w:t>
      </w:r>
      <w:r w:rsidR="00625FEB" w:rsidRPr="00977B90">
        <w:rPr>
          <w:noProof/>
        </w:rPr>
        <w:t xml:space="preserve"> the </w:t>
      </w:r>
      <w:r w:rsidR="006B70F0">
        <w:rPr>
          <w:noProof/>
        </w:rPr>
        <w:t>micro</w:t>
      </w:r>
      <w:r w:rsidR="00625FEB" w:rsidRPr="00977B90">
        <w:rPr>
          <w:noProof/>
        </w:rPr>
        <w:t>data</w:t>
      </w:r>
      <w:r w:rsidR="006B70F0">
        <w:rPr>
          <w:noProof/>
        </w:rPr>
        <w:t xml:space="preserve"> (2 countries)</w:t>
      </w:r>
      <w:r w:rsidR="00625FEB" w:rsidRPr="00977B90">
        <w:rPr>
          <w:noProof/>
        </w:rPr>
        <w:t xml:space="preserve"> or quality report </w:t>
      </w:r>
      <w:r w:rsidR="006B70F0">
        <w:rPr>
          <w:noProof/>
        </w:rPr>
        <w:t xml:space="preserve">(2 countries) </w:t>
      </w:r>
      <w:r w:rsidR="00625FEB" w:rsidRPr="00977B90">
        <w:rPr>
          <w:noProof/>
        </w:rPr>
        <w:t xml:space="preserve">compared to the deadlines </w:t>
      </w:r>
      <w:r w:rsidR="00864085">
        <w:rPr>
          <w:noProof/>
        </w:rPr>
        <w:t xml:space="preserve">laid down </w:t>
      </w:r>
      <w:r w:rsidR="00625FEB" w:rsidRPr="00977B90">
        <w:rPr>
          <w:noProof/>
        </w:rPr>
        <w:t xml:space="preserve">in </w:t>
      </w:r>
      <w:r w:rsidR="00A93761" w:rsidRPr="00977B90">
        <w:rPr>
          <w:noProof/>
        </w:rPr>
        <w:t xml:space="preserve">either </w:t>
      </w:r>
      <w:r w:rsidR="00625FEB" w:rsidRPr="00977B90">
        <w:rPr>
          <w:noProof/>
        </w:rPr>
        <w:t>the grant agreements</w:t>
      </w:r>
      <w:r w:rsidR="003144FF">
        <w:rPr>
          <w:noProof/>
        </w:rPr>
        <w:t xml:space="preserve"> </w:t>
      </w:r>
      <w:r w:rsidR="00625FEB" w:rsidRPr="00977B90">
        <w:rPr>
          <w:noProof/>
        </w:rPr>
        <w:t>or Regulation (EU) 2018/1091</w:t>
      </w:r>
      <w:r>
        <w:rPr>
          <w:noProof/>
        </w:rPr>
        <w:t xml:space="preserve"> were observed</w:t>
      </w:r>
      <w:r w:rsidR="00625FEB" w:rsidRPr="00977B90">
        <w:rPr>
          <w:noProof/>
        </w:rPr>
        <w:t>.</w:t>
      </w:r>
      <w:r w:rsidR="00625FEB" w:rsidRPr="00977B90" w:rsidDel="007D1EEA">
        <w:rPr>
          <w:noProof/>
        </w:rPr>
        <w:t xml:space="preserve"> </w:t>
      </w:r>
      <w:r w:rsidR="00625FEB" w:rsidRPr="00977B90">
        <w:rPr>
          <w:noProof/>
        </w:rPr>
        <w:t xml:space="preserve">These minor delays are acceptable given the complexity of the data collections and in some cases the substantial number of records and exceptional circumstances </w:t>
      </w:r>
      <w:r w:rsidR="00A93761">
        <w:rPr>
          <w:noProof/>
        </w:rPr>
        <w:t>caused by</w:t>
      </w:r>
      <w:r w:rsidR="00A93761" w:rsidRPr="00977B90">
        <w:rPr>
          <w:noProof/>
        </w:rPr>
        <w:t xml:space="preserve"> </w:t>
      </w:r>
      <w:r w:rsidR="00625FEB" w:rsidRPr="00977B90">
        <w:rPr>
          <w:noProof/>
        </w:rPr>
        <w:t>the pandemic</w:t>
      </w:r>
      <w:r w:rsidR="00A93761">
        <w:rPr>
          <w:noProof/>
        </w:rPr>
        <w:t>.</w:t>
      </w:r>
      <w:r w:rsidR="00625FEB" w:rsidRPr="00977B90">
        <w:rPr>
          <w:noProof/>
        </w:rPr>
        <w:t xml:space="preserve"> </w:t>
      </w:r>
      <w:r w:rsidR="00A93761">
        <w:rPr>
          <w:noProof/>
        </w:rPr>
        <w:t>These delays</w:t>
      </w:r>
      <w:r w:rsidR="00625FEB" w:rsidRPr="00977B90">
        <w:rPr>
          <w:noProof/>
        </w:rPr>
        <w:t xml:space="preserve"> </w:t>
      </w:r>
      <w:r w:rsidR="00A93761">
        <w:rPr>
          <w:noProof/>
        </w:rPr>
        <w:t xml:space="preserve">did </w:t>
      </w:r>
      <w:r w:rsidR="00625FEB" w:rsidRPr="00977B90">
        <w:rPr>
          <w:noProof/>
        </w:rPr>
        <w:t>not affect the dissemination of the data.</w:t>
      </w:r>
    </w:p>
    <w:p w14:paraId="7B65517B" w14:textId="2FCC858D" w:rsidR="00625FEB" w:rsidRPr="00977B90" w:rsidRDefault="00625FEB" w:rsidP="00625FEB">
      <w:pPr>
        <w:pStyle w:val="ListParagraph"/>
        <w:numPr>
          <w:ilvl w:val="0"/>
          <w:numId w:val="5"/>
        </w:numPr>
        <w:rPr>
          <w:strike/>
          <w:noProof/>
        </w:rPr>
      </w:pPr>
      <w:r w:rsidRPr="00977B90">
        <w:rPr>
          <w:noProof/>
        </w:rPr>
        <w:t xml:space="preserve">1 Member State delivered the data on the </w:t>
      </w:r>
      <w:r w:rsidR="00A93761">
        <w:rPr>
          <w:noProof/>
        </w:rPr>
        <w:t>‘</w:t>
      </w:r>
      <w:r w:rsidR="00D06132">
        <w:rPr>
          <w:noProof/>
        </w:rPr>
        <w:t>a</w:t>
      </w:r>
      <w:r w:rsidRPr="00977B90">
        <w:rPr>
          <w:noProof/>
        </w:rPr>
        <w:t xml:space="preserve">nimal </w:t>
      </w:r>
      <w:r w:rsidR="00D06132">
        <w:rPr>
          <w:noProof/>
        </w:rPr>
        <w:t>h</w:t>
      </w:r>
      <w:r w:rsidRPr="00977B90">
        <w:rPr>
          <w:noProof/>
        </w:rPr>
        <w:t xml:space="preserve">ousing and </w:t>
      </w:r>
      <w:r w:rsidR="00D06132">
        <w:rPr>
          <w:noProof/>
        </w:rPr>
        <w:t>m</w:t>
      </w:r>
      <w:r w:rsidRPr="00977B90">
        <w:rPr>
          <w:noProof/>
        </w:rPr>
        <w:t xml:space="preserve">anure </w:t>
      </w:r>
      <w:r w:rsidR="00D06132">
        <w:rPr>
          <w:noProof/>
        </w:rPr>
        <w:t>m</w:t>
      </w:r>
      <w:r w:rsidRPr="00977B90">
        <w:rPr>
          <w:noProof/>
        </w:rPr>
        <w:t>anagement</w:t>
      </w:r>
      <w:r w:rsidR="00A93761">
        <w:rPr>
          <w:noProof/>
        </w:rPr>
        <w:t>’</w:t>
      </w:r>
      <w:r w:rsidRPr="00977B90">
        <w:rPr>
          <w:noProof/>
        </w:rPr>
        <w:t xml:space="preserve"> </w:t>
      </w:r>
      <w:r w:rsidR="00A93761" w:rsidRPr="00977B90">
        <w:rPr>
          <w:noProof/>
        </w:rPr>
        <w:t xml:space="preserve">module </w:t>
      </w:r>
      <w:r w:rsidRPr="00977B90">
        <w:rPr>
          <w:noProof/>
        </w:rPr>
        <w:t xml:space="preserve">with a delay of </w:t>
      </w:r>
      <w:r w:rsidR="00A93761">
        <w:rPr>
          <w:noProof/>
        </w:rPr>
        <w:t>1</w:t>
      </w:r>
      <w:r w:rsidR="00A93761" w:rsidRPr="00977B90">
        <w:rPr>
          <w:noProof/>
        </w:rPr>
        <w:t xml:space="preserve"> </w:t>
      </w:r>
      <w:r w:rsidRPr="00977B90">
        <w:rPr>
          <w:noProof/>
        </w:rPr>
        <w:t xml:space="preserve">month compared to the deadline </w:t>
      </w:r>
      <w:r w:rsidR="00A93761">
        <w:rPr>
          <w:noProof/>
        </w:rPr>
        <w:t>in</w:t>
      </w:r>
      <w:r w:rsidR="00A93761" w:rsidRPr="00977B90">
        <w:rPr>
          <w:noProof/>
        </w:rPr>
        <w:t xml:space="preserve"> </w:t>
      </w:r>
      <w:r w:rsidRPr="00977B90">
        <w:rPr>
          <w:noProof/>
        </w:rPr>
        <w:t xml:space="preserve">the grant agreement. Eurostat accepted the delay </w:t>
      </w:r>
      <w:r w:rsidR="00A93761">
        <w:rPr>
          <w:noProof/>
        </w:rPr>
        <w:t>on the grounds</w:t>
      </w:r>
      <w:r w:rsidRPr="00977B90">
        <w:rPr>
          <w:noProof/>
        </w:rPr>
        <w:t xml:space="preserve"> of </w:t>
      </w:r>
      <w:r w:rsidRPr="00960D0F">
        <w:rPr>
          <w:i/>
          <w:noProof/>
        </w:rPr>
        <w:t>force majeure</w:t>
      </w:r>
      <w:r w:rsidRPr="00977B90">
        <w:rPr>
          <w:noProof/>
        </w:rPr>
        <w:t xml:space="preserve"> related to the COVID-19 pandemic. The data (and the quality report) met the deadline in Regulation (EU) 2018/1091 and the dissemination of the animal housing data was not affected.</w:t>
      </w:r>
    </w:p>
    <w:p w14:paraId="78F3D524" w14:textId="4344992D" w:rsidR="00625FEB" w:rsidRPr="00977B90" w:rsidRDefault="006B70F0" w:rsidP="00625FEB">
      <w:pPr>
        <w:pStyle w:val="ListParagraph"/>
        <w:numPr>
          <w:ilvl w:val="0"/>
          <w:numId w:val="5"/>
        </w:numPr>
        <w:rPr>
          <w:strike/>
          <w:noProof/>
        </w:rPr>
      </w:pPr>
      <w:r>
        <w:rPr>
          <w:noProof/>
        </w:rPr>
        <w:t>1 country</w:t>
      </w:r>
      <w:r w:rsidR="00625FEB" w:rsidRPr="00977B90">
        <w:rPr>
          <w:noProof/>
        </w:rPr>
        <w:t xml:space="preserve"> met the deadline set in Regulation (EU) 2018/1091 for the quality report but not for the data. </w:t>
      </w:r>
      <w:r>
        <w:rPr>
          <w:noProof/>
        </w:rPr>
        <w:t>T</w:t>
      </w:r>
      <w:r w:rsidR="00625FEB" w:rsidRPr="00977B90">
        <w:rPr>
          <w:noProof/>
        </w:rPr>
        <w:t xml:space="preserve">he data </w:t>
      </w:r>
      <w:r>
        <w:rPr>
          <w:noProof/>
        </w:rPr>
        <w:t xml:space="preserve">was sent </w:t>
      </w:r>
      <w:r w:rsidR="00625FEB" w:rsidRPr="00977B90">
        <w:rPr>
          <w:noProof/>
        </w:rPr>
        <w:t xml:space="preserve">to Eurostat </w:t>
      </w:r>
      <w:r w:rsidR="00A93761">
        <w:rPr>
          <w:noProof/>
        </w:rPr>
        <w:t>2</w:t>
      </w:r>
      <w:r w:rsidR="00A93761" w:rsidRPr="00977B90">
        <w:rPr>
          <w:noProof/>
        </w:rPr>
        <w:t xml:space="preserve"> </w:t>
      </w:r>
      <w:r w:rsidR="00625FEB" w:rsidRPr="00977B90">
        <w:rPr>
          <w:noProof/>
        </w:rPr>
        <w:t>months after the deadline.</w:t>
      </w:r>
    </w:p>
    <w:p w14:paraId="3D44B0DA" w14:textId="0342D2A4" w:rsidR="00625FEB" w:rsidRPr="00977B90" w:rsidRDefault="00625FEB" w:rsidP="00625FEB">
      <w:pPr>
        <w:rPr>
          <w:noProof/>
        </w:rPr>
      </w:pPr>
      <w:r w:rsidRPr="00977B90">
        <w:rPr>
          <w:noProof/>
        </w:rPr>
        <w:t xml:space="preserve">Automatic validation of structure and content is applied to the data, and countries receive a report indicating whether there are any errors. If required, countries re-submit the data until no errors are reported. Under the post-validation procedure, if Eurostat identifies any inconsistencies, reporting countries are requested to check the data and the quality report and to submit corrected datasets and quality reports. Feedback and revisions were mostly </w:t>
      </w:r>
      <w:r w:rsidR="00864085">
        <w:rPr>
          <w:noProof/>
        </w:rPr>
        <w:t>sent</w:t>
      </w:r>
      <w:r w:rsidR="00864085" w:rsidRPr="00977B90">
        <w:rPr>
          <w:noProof/>
        </w:rPr>
        <w:t xml:space="preserve"> </w:t>
      </w:r>
      <w:r w:rsidRPr="00977B90">
        <w:rPr>
          <w:noProof/>
        </w:rPr>
        <w:t>within an appropriate timeframe.</w:t>
      </w:r>
    </w:p>
    <w:p w14:paraId="0F416EE5" w14:textId="650D896A" w:rsidR="00625FEB" w:rsidRDefault="00625FEB" w:rsidP="00625FEB">
      <w:pPr>
        <w:rPr>
          <w:noProof/>
        </w:rPr>
      </w:pPr>
      <w:r w:rsidRPr="00977B90">
        <w:rPr>
          <w:noProof/>
        </w:rPr>
        <w:t>After countries transmit the microdata, Eurostat needs to process it and apply confidentiality methods before publishing the aggregated indicator tables in Eurobase. This is a complex and lengthy procedure that can take up to several months for each of the published datasets. The data may be revised</w:t>
      </w:r>
      <w:r w:rsidR="00A93761">
        <w:rPr>
          <w:noProof/>
        </w:rPr>
        <w:t xml:space="preserve"> at</w:t>
      </w:r>
      <w:r w:rsidRPr="00977B90">
        <w:rPr>
          <w:noProof/>
        </w:rPr>
        <w:t xml:space="preserve"> any time</w:t>
      </w:r>
      <w:r w:rsidR="00864085">
        <w:rPr>
          <w:noProof/>
        </w:rPr>
        <w:t>;</w:t>
      </w:r>
      <w:r w:rsidRPr="00977B90">
        <w:rPr>
          <w:noProof/>
        </w:rPr>
        <w:t xml:space="preserve"> in the current campaign Eurostat is </w:t>
      </w:r>
      <w:r w:rsidR="00A93761">
        <w:rPr>
          <w:noProof/>
        </w:rPr>
        <w:t>attempting</w:t>
      </w:r>
      <w:r w:rsidRPr="00977B90">
        <w:rPr>
          <w:noProof/>
        </w:rPr>
        <w:t xml:space="preserve"> to</w:t>
      </w:r>
      <w:r w:rsidR="00A93761" w:rsidRPr="00977B90">
        <w:rPr>
          <w:noProof/>
        </w:rPr>
        <w:t xml:space="preserve"> </w:t>
      </w:r>
      <w:r w:rsidRPr="00977B90">
        <w:rPr>
          <w:noProof/>
        </w:rPr>
        <w:t>revis</w:t>
      </w:r>
      <w:r w:rsidR="00864085">
        <w:rPr>
          <w:noProof/>
        </w:rPr>
        <w:t>e</w:t>
      </w:r>
      <w:r w:rsidRPr="00977B90">
        <w:rPr>
          <w:noProof/>
        </w:rPr>
        <w:t xml:space="preserve"> published data </w:t>
      </w:r>
      <w:r w:rsidR="00A93761">
        <w:rPr>
          <w:noProof/>
        </w:rPr>
        <w:t xml:space="preserve">dating </w:t>
      </w:r>
      <w:r w:rsidRPr="00977B90">
        <w:rPr>
          <w:noProof/>
        </w:rPr>
        <w:t xml:space="preserve">back </w:t>
      </w:r>
      <w:r w:rsidR="00A93761">
        <w:rPr>
          <w:noProof/>
        </w:rPr>
        <w:t>to</w:t>
      </w:r>
      <w:r w:rsidR="00A93761" w:rsidRPr="00977B90">
        <w:rPr>
          <w:noProof/>
        </w:rPr>
        <w:t xml:space="preserve"> </w:t>
      </w:r>
      <w:r w:rsidRPr="00977B90">
        <w:rPr>
          <w:noProof/>
        </w:rPr>
        <w:t>2005.</w:t>
      </w:r>
    </w:p>
    <w:p w14:paraId="535DA6A9" w14:textId="2560561C" w:rsidR="00B143DE" w:rsidRPr="00977B90" w:rsidRDefault="00C97E68" w:rsidP="00625FEB">
      <w:pPr>
        <w:rPr>
          <w:noProof/>
        </w:rPr>
      </w:pPr>
      <w:r>
        <w:rPr>
          <w:noProof/>
        </w:rPr>
        <w:t>Out of</w:t>
      </w:r>
      <w:r w:rsidR="00B143DE">
        <w:rPr>
          <w:noProof/>
        </w:rPr>
        <w:t xml:space="preserve"> </w:t>
      </w:r>
      <w:r>
        <w:rPr>
          <w:noProof/>
        </w:rPr>
        <w:t xml:space="preserve">250 existing </w:t>
      </w:r>
      <w:r w:rsidR="00D65DB8">
        <w:rPr>
          <w:noProof/>
        </w:rPr>
        <w:t xml:space="preserve">farm structure related </w:t>
      </w:r>
      <w:r>
        <w:rPr>
          <w:noProof/>
        </w:rPr>
        <w:t>tables</w:t>
      </w:r>
      <w:r w:rsidR="007C6ABF">
        <w:rPr>
          <w:noProof/>
        </w:rPr>
        <w:t xml:space="preserve"> on Eurostat public database</w:t>
      </w:r>
      <w:r>
        <w:rPr>
          <w:noProof/>
        </w:rPr>
        <w:t xml:space="preserve">, </w:t>
      </w:r>
      <w:r w:rsidR="00B143DE">
        <w:rPr>
          <w:noProof/>
        </w:rPr>
        <w:t xml:space="preserve">30 priority tables </w:t>
      </w:r>
      <w:r>
        <w:rPr>
          <w:noProof/>
        </w:rPr>
        <w:t xml:space="preserve">were selected </w:t>
      </w:r>
      <w:r w:rsidR="00B143DE">
        <w:rPr>
          <w:noProof/>
        </w:rPr>
        <w:t>for revision</w:t>
      </w:r>
      <w:r>
        <w:rPr>
          <w:noProof/>
        </w:rPr>
        <w:t xml:space="preserve">. The selection was made on </w:t>
      </w:r>
      <w:r w:rsidR="007C6ABF">
        <w:rPr>
          <w:noProof/>
        </w:rPr>
        <w:t xml:space="preserve">the basis of </w:t>
      </w:r>
      <w:r>
        <w:rPr>
          <w:noProof/>
        </w:rPr>
        <w:t>relevance f</w:t>
      </w:r>
      <w:r w:rsidR="007C6ABF">
        <w:rPr>
          <w:noProof/>
        </w:rPr>
        <w:t>or data users</w:t>
      </w:r>
      <w:r w:rsidR="00477928">
        <w:rPr>
          <w:rStyle w:val="FootnoteReference"/>
          <w:noProof/>
        </w:rPr>
        <w:footnoteReference w:id="6"/>
      </w:r>
      <w:r w:rsidR="007C6ABF">
        <w:rPr>
          <w:noProof/>
        </w:rPr>
        <w:t xml:space="preserve">. </w:t>
      </w:r>
      <w:r>
        <w:rPr>
          <w:noProof/>
        </w:rPr>
        <w:t>One year after data validation ended,</w:t>
      </w:r>
      <w:r w:rsidR="00B143DE">
        <w:rPr>
          <w:noProof/>
        </w:rPr>
        <w:t xml:space="preserve"> only </w:t>
      </w:r>
      <w:r>
        <w:rPr>
          <w:noProof/>
        </w:rPr>
        <w:t xml:space="preserve">10 </w:t>
      </w:r>
      <w:r w:rsidR="007C6ABF">
        <w:rPr>
          <w:noProof/>
        </w:rPr>
        <w:t>of the priority tables are</w:t>
      </w:r>
      <w:r>
        <w:rPr>
          <w:noProof/>
        </w:rPr>
        <w:t xml:space="preserve"> published.</w:t>
      </w:r>
      <w:r w:rsidR="007C6ABF">
        <w:rPr>
          <w:noProof/>
        </w:rPr>
        <w:t xml:space="preserve"> Due to t</w:t>
      </w:r>
      <w:r w:rsidRPr="00C97E68">
        <w:rPr>
          <w:noProof/>
        </w:rPr>
        <w:t>he specificity</w:t>
      </w:r>
      <w:r w:rsidR="007C6ABF">
        <w:rPr>
          <w:noProof/>
        </w:rPr>
        <w:t xml:space="preserve"> of the datasets</w:t>
      </w:r>
      <w:r w:rsidRPr="00C97E68">
        <w:rPr>
          <w:noProof/>
        </w:rPr>
        <w:t xml:space="preserve"> and particularly the </w:t>
      </w:r>
      <w:r w:rsidR="007C6ABF">
        <w:rPr>
          <w:noProof/>
        </w:rPr>
        <w:t xml:space="preserve">volume of </w:t>
      </w:r>
      <w:r w:rsidRPr="00C97E68">
        <w:rPr>
          <w:noProof/>
        </w:rPr>
        <w:t xml:space="preserve">data </w:t>
      </w:r>
      <w:r w:rsidR="007C6ABF">
        <w:rPr>
          <w:noProof/>
        </w:rPr>
        <w:t xml:space="preserve">to be </w:t>
      </w:r>
      <w:r w:rsidRPr="00C97E68">
        <w:rPr>
          <w:noProof/>
        </w:rPr>
        <w:t xml:space="preserve">handled, the underlying IT infrastructure was not able to process the data and perform the necessary calculations in a reasonable time, adding </w:t>
      </w:r>
      <w:r w:rsidR="007C6ABF">
        <w:rPr>
          <w:noProof/>
        </w:rPr>
        <w:t>unforeseen</w:t>
      </w:r>
      <w:r w:rsidRPr="00C97E68">
        <w:rPr>
          <w:noProof/>
        </w:rPr>
        <w:t xml:space="preserve"> delays. </w:t>
      </w:r>
      <w:r w:rsidR="007C6ABF">
        <w:rPr>
          <w:noProof/>
        </w:rPr>
        <w:t>Moreover</w:t>
      </w:r>
      <w:r w:rsidRPr="00C97E68">
        <w:rPr>
          <w:noProof/>
        </w:rPr>
        <w:t xml:space="preserve">, the instability of the hosting </w:t>
      </w:r>
      <w:r w:rsidR="00A9333B" w:rsidRPr="00C97E68">
        <w:rPr>
          <w:noProof/>
        </w:rPr>
        <w:t>datacentr</w:t>
      </w:r>
      <w:r w:rsidR="00A9333B">
        <w:rPr>
          <w:noProof/>
        </w:rPr>
        <w:t>e</w:t>
      </w:r>
      <w:r w:rsidRPr="00C97E68">
        <w:rPr>
          <w:noProof/>
        </w:rPr>
        <w:t xml:space="preserve"> services provided by </w:t>
      </w:r>
      <w:r w:rsidR="007C6ABF">
        <w:rPr>
          <w:noProof/>
        </w:rPr>
        <w:t xml:space="preserve">DG </w:t>
      </w:r>
      <w:r w:rsidRPr="00C97E68">
        <w:rPr>
          <w:noProof/>
        </w:rPr>
        <w:t>DIGIT for SAS (the IT system used to perform the calculations) provoked several interruptions in the long calculation process, forcing restart</w:t>
      </w:r>
      <w:r w:rsidR="007C6ABF">
        <w:rPr>
          <w:noProof/>
        </w:rPr>
        <w:t>s</w:t>
      </w:r>
      <w:r w:rsidRPr="00C97E68">
        <w:rPr>
          <w:noProof/>
        </w:rPr>
        <w:t xml:space="preserve"> and adding additional delays. </w:t>
      </w:r>
      <w:r w:rsidR="007C6ABF">
        <w:rPr>
          <w:noProof/>
        </w:rPr>
        <w:t xml:space="preserve">Currently Eurostat and DIGIT are in the process of attempting to </w:t>
      </w:r>
      <w:r w:rsidRPr="00C97E68">
        <w:rPr>
          <w:noProof/>
        </w:rPr>
        <w:t>solve this situation in the shortest delay possible</w:t>
      </w:r>
      <w:r w:rsidR="007C6ABF">
        <w:rPr>
          <w:noProof/>
        </w:rPr>
        <w:t>. A detailed</w:t>
      </w:r>
      <w:r w:rsidRPr="00C97E68">
        <w:rPr>
          <w:noProof/>
        </w:rPr>
        <w:t xml:space="preserve"> assessment of the IT system </w:t>
      </w:r>
      <w:r w:rsidR="007C6ABF">
        <w:rPr>
          <w:noProof/>
        </w:rPr>
        <w:t>is being</w:t>
      </w:r>
      <w:r w:rsidRPr="00C97E68">
        <w:rPr>
          <w:noProof/>
        </w:rPr>
        <w:t xml:space="preserve"> performed to define an action plan to improve the performance and the response time of the system</w:t>
      </w:r>
      <w:r w:rsidR="007C6ABF">
        <w:rPr>
          <w:noProof/>
        </w:rPr>
        <w:t xml:space="preserve"> during the coming months.</w:t>
      </w:r>
    </w:p>
    <w:p w14:paraId="3B1E2439" w14:textId="77777777" w:rsidR="00625FEB" w:rsidRPr="00977B90" w:rsidRDefault="00625FEB" w:rsidP="00625FEB">
      <w:pPr>
        <w:pStyle w:val="Heading2"/>
        <w:rPr>
          <w:noProof/>
        </w:rPr>
      </w:pPr>
      <w:r w:rsidRPr="00977B90">
        <w:rPr>
          <w:noProof/>
        </w:rPr>
        <w:t>Coherence and comparability</w:t>
      </w:r>
    </w:p>
    <w:p w14:paraId="0E606F8F" w14:textId="468CE108" w:rsidR="00625FEB" w:rsidRPr="00977B90" w:rsidRDefault="00625FEB" w:rsidP="00625FEB">
      <w:pPr>
        <w:rPr>
          <w:noProof/>
        </w:rPr>
      </w:pPr>
      <w:r w:rsidRPr="00977B90">
        <w:rPr>
          <w:noProof/>
        </w:rPr>
        <w:t xml:space="preserve">Eurostat published a </w:t>
      </w:r>
      <w:hyperlink r:id="rId26" w:history="1">
        <w:r w:rsidRPr="00977B90">
          <w:rPr>
            <w:rStyle w:val="Hyperlink"/>
            <w:noProof/>
          </w:rPr>
          <w:t>handbook for the 2020 integrated farm statistics</w:t>
        </w:r>
      </w:hyperlink>
      <w:r w:rsidRPr="00977B90">
        <w:rPr>
          <w:noProof/>
        </w:rPr>
        <w:t xml:space="preserve">, which has further improved the </w:t>
      </w:r>
      <w:r w:rsidR="00FA539D">
        <w:rPr>
          <w:noProof/>
        </w:rPr>
        <w:t>coherence</w:t>
      </w:r>
      <w:r w:rsidRPr="00977B90">
        <w:rPr>
          <w:noProof/>
        </w:rPr>
        <w:t xml:space="preserve"> and </w:t>
      </w:r>
      <w:r w:rsidR="00FA539D">
        <w:rPr>
          <w:noProof/>
        </w:rPr>
        <w:t xml:space="preserve">the </w:t>
      </w:r>
      <w:r w:rsidRPr="00977B90">
        <w:rPr>
          <w:noProof/>
        </w:rPr>
        <w:t>comparability of data between countries.</w:t>
      </w:r>
    </w:p>
    <w:p w14:paraId="24A4740D" w14:textId="3936BA5F" w:rsidR="00625FEB" w:rsidRPr="00977B90" w:rsidRDefault="00625FEB" w:rsidP="00625FEB">
      <w:pPr>
        <w:rPr>
          <w:noProof/>
        </w:rPr>
      </w:pPr>
      <w:r w:rsidRPr="00977B90">
        <w:rPr>
          <w:noProof/>
        </w:rPr>
        <w:t xml:space="preserve">For the period covered by this report, the </w:t>
      </w:r>
      <w:r w:rsidRPr="00FA539D">
        <w:rPr>
          <w:i/>
          <w:noProof/>
        </w:rPr>
        <w:t>core data</w:t>
      </w:r>
      <w:r w:rsidRPr="00977B90">
        <w:rPr>
          <w:noProof/>
        </w:rPr>
        <w:t xml:space="preserve"> can be considered as comparable across countries. </w:t>
      </w:r>
      <w:r w:rsidR="00E258EE">
        <w:rPr>
          <w:noProof/>
        </w:rPr>
        <w:t>However, t</w:t>
      </w:r>
      <w:r w:rsidRPr="00977B90">
        <w:rPr>
          <w:noProof/>
        </w:rPr>
        <w:t xml:space="preserve">he </w:t>
      </w:r>
      <w:r w:rsidRPr="00FA539D">
        <w:rPr>
          <w:i/>
          <w:noProof/>
        </w:rPr>
        <w:t>module data</w:t>
      </w:r>
      <w:r w:rsidRPr="00977B90">
        <w:rPr>
          <w:noProof/>
        </w:rPr>
        <w:t xml:space="preserve"> are not always comparable across countries, because Regulation (EU) 2018/1091 decreased the burden by not requiring module data on small farms. In countries where the main frame does not cover agricultural holdings accounting for at least 98% of the total utilised agricultural area (without kitchen gardens) and at least 98% of the </w:t>
      </w:r>
      <w:r w:rsidR="00E258EE" w:rsidRPr="00977B90">
        <w:rPr>
          <w:noProof/>
        </w:rPr>
        <w:t>country</w:t>
      </w:r>
      <w:r w:rsidR="00E258EE">
        <w:rPr>
          <w:noProof/>
        </w:rPr>
        <w:t>’s</w:t>
      </w:r>
      <w:r w:rsidR="00E258EE" w:rsidRPr="00977B90">
        <w:rPr>
          <w:noProof/>
        </w:rPr>
        <w:t xml:space="preserve"> </w:t>
      </w:r>
      <w:r w:rsidRPr="00977B90">
        <w:rPr>
          <w:noProof/>
        </w:rPr>
        <w:t xml:space="preserve">total livestock units, it was possible (but not mandatory) to send module data for the farms in </w:t>
      </w:r>
      <w:r w:rsidR="00E258EE">
        <w:rPr>
          <w:noProof/>
        </w:rPr>
        <w:t>what is known as a</w:t>
      </w:r>
      <w:r w:rsidRPr="00977B90">
        <w:rPr>
          <w:noProof/>
        </w:rPr>
        <w:t xml:space="preserve"> </w:t>
      </w:r>
      <w:r w:rsidR="00977B90">
        <w:rPr>
          <w:noProof/>
        </w:rPr>
        <w:t>‘</w:t>
      </w:r>
      <w:r w:rsidRPr="00977B90">
        <w:rPr>
          <w:noProof/>
        </w:rPr>
        <w:t>frame extension</w:t>
      </w:r>
      <w:r w:rsidR="00977B90">
        <w:rPr>
          <w:noProof/>
        </w:rPr>
        <w:t>’</w:t>
      </w:r>
      <w:r w:rsidRPr="00977B90">
        <w:rPr>
          <w:noProof/>
        </w:rPr>
        <w:t>.</w:t>
      </w:r>
    </w:p>
    <w:p w14:paraId="5404EBEA" w14:textId="26B63BD8" w:rsidR="00625FEB" w:rsidRPr="00977B90" w:rsidRDefault="00625FEB" w:rsidP="00625FEB">
      <w:pPr>
        <w:rPr>
          <w:noProof/>
        </w:rPr>
      </w:pPr>
      <w:r w:rsidRPr="00977B90">
        <w:rPr>
          <w:noProof/>
        </w:rPr>
        <w:t>The length of the farm structure time series</w:t>
      </w:r>
      <w:r w:rsidR="00F7170B" w:rsidRPr="00977B90">
        <w:rPr>
          <w:noProof/>
        </w:rPr>
        <w:t xml:space="preserve"> varies</w:t>
      </w:r>
      <w:r w:rsidRPr="00977B90">
        <w:rPr>
          <w:noProof/>
        </w:rPr>
        <w:t xml:space="preserve"> between countries. In some countries, the online time series go back to 1990, while other countries started only in 2013. The core data are comparable in the time series mainly as long as the country did not change the coverage thresholds between years. </w:t>
      </w:r>
      <w:r w:rsidR="00E258EE">
        <w:rPr>
          <w:noProof/>
        </w:rPr>
        <w:t>As for t</w:t>
      </w:r>
      <w:r w:rsidRPr="00977B90">
        <w:rPr>
          <w:noProof/>
        </w:rPr>
        <w:t>he module data</w:t>
      </w:r>
      <w:r w:rsidR="00E258EE">
        <w:rPr>
          <w:noProof/>
        </w:rPr>
        <w:t>, these</w:t>
      </w:r>
      <w:r w:rsidRPr="00977B90">
        <w:rPr>
          <w:noProof/>
        </w:rPr>
        <w:t xml:space="preserve"> are comparable in the time series mainly as long as the country did not change the coverage thresholds between years and as long as the 2020 module data cover agricultural holdings accounting for at least 98% of the total utilised agricultural area (without kitchen gardens) and at least 98% of the </w:t>
      </w:r>
      <w:r w:rsidR="00E258EE">
        <w:rPr>
          <w:noProof/>
        </w:rPr>
        <w:t xml:space="preserve">country’s </w:t>
      </w:r>
      <w:r w:rsidRPr="00977B90">
        <w:rPr>
          <w:noProof/>
        </w:rPr>
        <w:t>total livestock units.</w:t>
      </w:r>
    </w:p>
    <w:p w14:paraId="5BDB5E00" w14:textId="12EB3972" w:rsidR="00625FEB" w:rsidRPr="00977B90" w:rsidRDefault="00625FEB" w:rsidP="00625FEB">
      <w:pPr>
        <w:rPr>
          <w:noProof/>
        </w:rPr>
      </w:pPr>
      <w:r w:rsidRPr="00977B90">
        <w:rPr>
          <w:noProof/>
        </w:rPr>
        <w:t xml:space="preserve">The </w:t>
      </w:r>
      <w:hyperlink r:id="rId27" w:history="1">
        <w:r w:rsidRPr="00977B90">
          <w:rPr>
            <w:rStyle w:val="Hyperlink"/>
            <w:noProof/>
          </w:rPr>
          <w:t>EU-level quality report</w:t>
        </w:r>
      </w:hyperlink>
      <w:r w:rsidRPr="00977B90">
        <w:rPr>
          <w:noProof/>
        </w:rPr>
        <w:t xml:space="preserve"> includes information about the coverage, possibilities and limitations </w:t>
      </w:r>
      <w:r w:rsidR="00E258EE">
        <w:rPr>
          <w:noProof/>
        </w:rPr>
        <w:t>of</w:t>
      </w:r>
      <w:r w:rsidR="00E258EE" w:rsidRPr="00977B90">
        <w:rPr>
          <w:noProof/>
        </w:rPr>
        <w:t xml:space="preserve"> </w:t>
      </w:r>
      <w:r w:rsidRPr="00977B90">
        <w:rPr>
          <w:noProof/>
        </w:rPr>
        <w:t xml:space="preserve">comparability across countries and </w:t>
      </w:r>
      <w:r w:rsidR="004A3038" w:rsidRPr="00977B90">
        <w:rPr>
          <w:noProof/>
        </w:rPr>
        <w:t xml:space="preserve">comparability </w:t>
      </w:r>
      <w:r w:rsidRPr="00977B90">
        <w:rPr>
          <w:noProof/>
        </w:rPr>
        <w:t>over time for each group of countries.</w:t>
      </w:r>
    </w:p>
    <w:p w14:paraId="09B218B8" w14:textId="115039D3" w:rsidR="00625FEB" w:rsidRPr="00977B90" w:rsidRDefault="00625FEB" w:rsidP="00625FEB">
      <w:pPr>
        <w:rPr>
          <w:noProof/>
        </w:rPr>
      </w:pPr>
      <w:r w:rsidRPr="00977B90">
        <w:rPr>
          <w:noProof/>
        </w:rPr>
        <w:t>For the 2020 agricultural census data collection, a derogation was accepted for Portugal (under Article</w:t>
      </w:r>
      <w:r w:rsidR="00977B90">
        <w:rPr>
          <w:noProof/>
        </w:rPr>
        <w:t> </w:t>
      </w:r>
      <w:r w:rsidRPr="00977B90">
        <w:rPr>
          <w:noProof/>
        </w:rPr>
        <w:t xml:space="preserve">19 of Regulation (EU) 2018/1091), allowing the reference period </w:t>
      </w:r>
      <w:r w:rsidR="00D65DB8" w:rsidRPr="00977B90">
        <w:rPr>
          <w:noProof/>
        </w:rPr>
        <w:t>to be</w:t>
      </w:r>
      <w:r w:rsidRPr="00977B90">
        <w:rPr>
          <w:noProof/>
        </w:rPr>
        <w:t xml:space="preserve"> 2019. Greece did not request a derogation.</w:t>
      </w:r>
    </w:p>
    <w:p w14:paraId="106B01D8" w14:textId="4DC6FD29" w:rsidR="00625FEB" w:rsidRPr="00977B90" w:rsidRDefault="00625FEB" w:rsidP="00625FEB">
      <w:pPr>
        <w:rPr>
          <w:noProof/>
        </w:rPr>
      </w:pPr>
      <w:r w:rsidRPr="00977B90">
        <w:rPr>
          <w:noProof/>
          <w:shd w:val="clear" w:color="auto" w:fill="FFFFFF"/>
        </w:rPr>
        <w:t xml:space="preserve">The 2020 agricultural census is part of the </w:t>
      </w:r>
      <w:hyperlink r:id="rId28" w:history="1">
        <w:r w:rsidRPr="00977B90">
          <w:rPr>
            <w:rStyle w:val="Hyperlink"/>
            <w:noProof/>
            <w:sz w:val="22"/>
            <w:szCs w:val="22"/>
            <w:shd w:val="clear" w:color="auto" w:fill="FFFFFF"/>
          </w:rPr>
          <w:t>World Programme for the Census of Agriculture 2020</w:t>
        </w:r>
      </w:hyperlink>
      <w:r w:rsidR="00FA539D">
        <w:rPr>
          <w:noProof/>
          <w:shd w:val="clear" w:color="auto" w:fill="FFFFFF"/>
        </w:rPr>
        <w:t>. This</w:t>
      </w:r>
      <w:r w:rsidRPr="00977B90">
        <w:rPr>
          <w:noProof/>
          <w:shd w:val="clear" w:color="auto" w:fill="FFFFFF"/>
        </w:rPr>
        <w:t xml:space="preserve"> enhanc</w:t>
      </w:r>
      <w:r w:rsidR="00FA539D">
        <w:rPr>
          <w:noProof/>
          <w:shd w:val="clear" w:color="auto" w:fill="FFFFFF"/>
        </w:rPr>
        <w:t>es</w:t>
      </w:r>
      <w:r w:rsidRPr="00977B90">
        <w:rPr>
          <w:noProof/>
          <w:shd w:val="clear" w:color="auto" w:fill="FFFFFF"/>
        </w:rPr>
        <w:t xml:space="preserve"> comparability with countries outside Europe</w:t>
      </w:r>
      <w:r w:rsidR="00E258EE">
        <w:rPr>
          <w:noProof/>
          <w:shd w:val="clear" w:color="auto" w:fill="FFFFFF"/>
        </w:rPr>
        <w:t>,</w:t>
      </w:r>
      <w:r w:rsidRPr="00977B90">
        <w:rPr>
          <w:noProof/>
          <w:shd w:val="clear" w:color="auto" w:fill="FFFFFF"/>
        </w:rPr>
        <w:t xml:space="preserve"> including </w:t>
      </w:r>
      <w:r w:rsidR="00E258EE">
        <w:rPr>
          <w:noProof/>
          <w:shd w:val="clear" w:color="auto" w:fill="FFFFFF"/>
        </w:rPr>
        <w:t xml:space="preserve">the </w:t>
      </w:r>
      <w:r w:rsidRPr="00977B90">
        <w:rPr>
          <w:noProof/>
          <w:shd w:val="clear" w:color="auto" w:fill="FFFFFF"/>
        </w:rPr>
        <w:t>USA and Japan.</w:t>
      </w:r>
    </w:p>
    <w:p w14:paraId="62AEDACC" w14:textId="77777777" w:rsidR="00625FEB" w:rsidRPr="00977B90" w:rsidRDefault="00625FEB" w:rsidP="00625FEB">
      <w:pPr>
        <w:pStyle w:val="Heading2"/>
        <w:rPr>
          <w:noProof/>
        </w:rPr>
      </w:pPr>
      <w:r w:rsidRPr="00977B90">
        <w:rPr>
          <w:noProof/>
        </w:rPr>
        <w:t>Confidentiality</w:t>
      </w:r>
      <w:bookmarkEnd w:id="7"/>
    </w:p>
    <w:p w14:paraId="690CB9D2" w14:textId="23DB6E01" w:rsidR="00625FEB" w:rsidRPr="00977B90" w:rsidRDefault="00625FEB" w:rsidP="00625FEB">
      <w:pPr>
        <w:rPr>
          <w:noProof/>
        </w:rPr>
      </w:pPr>
      <w:r w:rsidRPr="00977B90">
        <w:rPr>
          <w:noProof/>
        </w:rPr>
        <w:t xml:space="preserve">Microdata collected under </w:t>
      </w:r>
      <w:r w:rsidR="00864085">
        <w:rPr>
          <w:noProof/>
        </w:rPr>
        <w:t>i</w:t>
      </w:r>
      <w:r w:rsidRPr="00977B90">
        <w:rPr>
          <w:noProof/>
        </w:rPr>
        <w:t xml:space="preserve">ntegrated </w:t>
      </w:r>
      <w:r w:rsidR="00864085">
        <w:rPr>
          <w:noProof/>
        </w:rPr>
        <w:t>f</w:t>
      </w:r>
      <w:r w:rsidRPr="00977B90">
        <w:rPr>
          <w:noProof/>
        </w:rPr>
        <w:t xml:space="preserve">arm </w:t>
      </w:r>
      <w:r w:rsidR="00864085">
        <w:rPr>
          <w:noProof/>
        </w:rPr>
        <w:t>s</w:t>
      </w:r>
      <w:r w:rsidRPr="00977B90">
        <w:rPr>
          <w:noProof/>
        </w:rPr>
        <w:t xml:space="preserve">tatistics </w:t>
      </w:r>
      <w:r w:rsidR="00F7170B" w:rsidRPr="00977B90">
        <w:rPr>
          <w:noProof/>
        </w:rPr>
        <w:t>are</w:t>
      </w:r>
      <w:r w:rsidRPr="00977B90">
        <w:rPr>
          <w:noProof/>
        </w:rPr>
        <w:t xml:space="preserve"> confidential.</w:t>
      </w:r>
    </w:p>
    <w:p w14:paraId="094AADC0" w14:textId="42A8635D" w:rsidR="004A3038" w:rsidRPr="00977B90" w:rsidRDefault="00625FEB" w:rsidP="00625FEB">
      <w:pPr>
        <w:rPr>
          <w:noProof/>
        </w:rPr>
      </w:pPr>
      <w:r w:rsidRPr="00BF4D3C">
        <w:rPr>
          <w:noProof/>
        </w:rPr>
        <w:t>Based on</w:t>
      </w:r>
      <w:r w:rsidRPr="00977B90">
        <w:rPr>
          <w:noProof/>
        </w:rPr>
        <w:t xml:space="preserve"> the microdata, Eurostat computes aggregates</w:t>
      </w:r>
      <w:r w:rsidR="00BF4D3C">
        <w:rPr>
          <w:noProof/>
        </w:rPr>
        <w:t>,</w:t>
      </w:r>
      <w:r w:rsidRPr="00977B90">
        <w:rPr>
          <w:noProof/>
        </w:rPr>
        <w:t xml:space="preserve"> which are disseminated in the form of statistical tables. For the aggregated results, Eurostat applies methods related to primary confidentiality and reliability. Eurostat flags and suppresses the confidential data (with too few units and/or dominant contributors) and the unreliable data (with high sampling errors) in table cells. </w:t>
      </w:r>
      <w:r w:rsidR="00864085">
        <w:rPr>
          <w:noProof/>
        </w:rPr>
        <w:t>Fo</w:t>
      </w:r>
      <w:r w:rsidR="00BF4D3C">
        <w:rPr>
          <w:noProof/>
        </w:rPr>
        <w:t>r</w:t>
      </w:r>
      <w:r w:rsidRPr="00977B90">
        <w:rPr>
          <w:noProof/>
        </w:rPr>
        <w:t xml:space="preserve"> cell values that are published, Eurostat rounds all published cell values (be </w:t>
      </w:r>
      <w:r w:rsidR="00CA6966">
        <w:rPr>
          <w:noProof/>
        </w:rPr>
        <w:t>they</w:t>
      </w:r>
      <w:r w:rsidR="00CA6966" w:rsidRPr="00977B90">
        <w:rPr>
          <w:noProof/>
        </w:rPr>
        <w:t xml:space="preserve"> </w:t>
      </w:r>
      <w:r w:rsidRPr="00977B90">
        <w:rPr>
          <w:noProof/>
        </w:rPr>
        <w:t>number of holdings, hectares, animal heads, etc.)</w:t>
      </w:r>
      <w:r w:rsidR="004A3038" w:rsidRPr="00977B90">
        <w:rPr>
          <w:noProof/>
        </w:rPr>
        <w:t xml:space="preserve"> to the nearest multiple of 10.</w:t>
      </w:r>
    </w:p>
    <w:p w14:paraId="76F7D6FE" w14:textId="0F50D94E" w:rsidR="00625FEB" w:rsidRPr="00977B90" w:rsidRDefault="00625FEB" w:rsidP="00625FEB">
      <w:pPr>
        <w:rPr>
          <w:noProof/>
        </w:rPr>
      </w:pPr>
      <w:r w:rsidRPr="00977B90">
        <w:rPr>
          <w:noProof/>
        </w:rPr>
        <w:t>Eurostat has not yet applied methods related to secondary confidentiality in farm structure statistics</w:t>
      </w:r>
      <w:r w:rsidR="00BF4D3C">
        <w:rPr>
          <w:noProof/>
        </w:rPr>
        <w:t>. This is</w:t>
      </w:r>
      <w:r w:rsidR="00BF4D3C" w:rsidRPr="00977B90">
        <w:rPr>
          <w:noProof/>
        </w:rPr>
        <w:t xml:space="preserve"> </w:t>
      </w:r>
      <w:r w:rsidRPr="00977B90">
        <w:rPr>
          <w:noProof/>
        </w:rPr>
        <w:t xml:space="preserve">because the results of a </w:t>
      </w:r>
      <w:r w:rsidR="00BF4D3C">
        <w:rPr>
          <w:noProof/>
        </w:rPr>
        <w:t xml:space="preserve">1993 </w:t>
      </w:r>
      <w:r w:rsidRPr="00977B90">
        <w:rPr>
          <w:noProof/>
        </w:rPr>
        <w:t xml:space="preserve">study showed that additional data are lost without realistic risk of disclosure and because of the large number of interlinked tables disseminated on Eurostat’s website and following </w:t>
      </w:r>
      <w:r w:rsidR="00977B90">
        <w:rPr>
          <w:noProof/>
        </w:rPr>
        <w:t>ad hoc</w:t>
      </w:r>
      <w:r w:rsidRPr="00977B90">
        <w:rPr>
          <w:noProof/>
        </w:rPr>
        <w:t xml:space="preserve"> requests from users. As the number of farms has been decreasing and more data cells are expected to become confidential, Eurostat has launched a project to renew the analysis made in 1993 and to identify a set of methods that ensures a good compromise between realistic risks of disclosure and </w:t>
      </w:r>
      <w:r w:rsidR="00BF4D3C">
        <w:rPr>
          <w:noProof/>
        </w:rPr>
        <w:t xml:space="preserve">the </w:t>
      </w:r>
      <w:r w:rsidRPr="00977B90">
        <w:rPr>
          <w:noProof/>
        </w:rPr>
        <w:t xml:space="preserve">amount of data available to users. </w:t>
      </w:r>
      <w:r w:rsidR="00EE21EF">
        <w:rPr>
          <w:noProof/>
        </w:rPr>
        <w:t>While t</w:t>
      </w:r>
      <w:r w:rsidRPr="00977B90">
        <w:rPr>
          <w:noProof/>
        </w:rPr>
        <w:t>he set of methods would include secondary confidentiality</w:t>
      </w:r>
      <w:r w:rsidR="00EE21EF">
        <w:rPr>
          <w:noProof/>
        </w:rPr>
        <w:t>,</w:t>
      </w:r>
      <w:r w:rsidR="00BF4D3C" w:rsidRPr="00977B90">
        <w:rPr>
          <w:noProof/>
        </w:rPr>
        <w:t xml:space="preserve"> </w:t>
      </w:r>
      <w:r w:rsidR="00EE21EF">
        <w:rPr>
          <w:noProof/>
        </w:rPr>
        <w:t>t</w:t>
      </w:r>
      <w:r w:rsidR="00BF4D3C">
        <w:rPr>
          <w:noProof/>
        </w:rPr>
        <w:t>here are also plans to explore</w:t>
      </w:r>
      <w:r w:rsidRPr="00977B90">
        <w:rPr>
          <w:noProof/>
        </w:rPr>
        <w:t xml:space="preserve"> alternatives to secondary confidentiality or at least to suppression of secondary confidential cell data</w:t>
      </w:r>
      <w:r w:rsidR="00864085">
        <w:rPr>
          <w:noProof/>
        </w:rPr>
        <w:t>. Alternatives include</w:t>
      </w:r>
      <w:r w:rsidRPr="00977B90">
        <w:rPr>
          <w:noProof/>
        </w:rPr>
        <w:t xml:space="preserve"> perturbation of cell values, implying smaller data loss.</w:t>
      </w:r>
    </w:p>
    <w:p w14:paraId="2B6492D3" w14:textId="343AE14B" w:rsidR="000E6E81" w:rsidRPr="00977B90" w:rsidRDefault="00625FEB" w:rsidP="00530F2A">
      <w:pPr>
        <w:pStyle w:val="Heading2"/>
        <w:rPr>
          <w:noProof/>
        </w:rPr>
      </w:pPr>
      <w:r w:rsidRPr="00977B90">
        <w:rPr>
          <w:noProof/>
        </w:rPr>
        <w:t>Accessibility and clarity</w:t>
      </w:r>
    </w:p>
    <w:p w14:paraId="4C61608C" w14:textId="76097953" w:rsidR="000E6E81" w:rsidRPr="00977B90" w:rsidRDefault="000E6E81" w:rsidP="00530F2A">
      <w:pPr>
        <w:pStyle w:val="Heading3"/>
        <w:rPr>
          <w:noProof/>
        </w:rPr>
      </w:pPr>
      <w:bookmarkStart w:id="9" w:name="_Toc39845171"/>
      <w:r w:rsidRPr="00977B90">
        <w:rPr>
          <w:noProof/>
        </w:rPr>
        <w:t>Online database</w:t>
      </w:r>
      <w:bookmarkEnd w:id="9"/>
    </w:p>
    <w:p w14:paraId="4EC1C808" w14:textId="2BD1E282" w:rsidR="000E6E81" w:rsidRPr="00977B90" w:rsidRDefault="00FD6FD8" w:rsidP="00530F2A">
      <w:pPr>
        <w:rPr>
          <w:noProof/>
        </w:rPr>
      </w:pPr>
      <w:r w:rsidRPr="00977B90">
        <w:rPr>
          <w:noProof/>
        </w:rPr>
        <w:t>Eurostat’s public database</w:t>
      </w:r>
      <w:r w:rsidRPr="004517FF">
        <w:rPr>
          <w:rStyle w:val="FootnoteReference"/>
          <w:noProof/>
        </w:rPr>
        <w:footnoteReference w:id="7"/>
      </w:r>
      <w:r w:rsidRPr="00977B90">
        <w:rPr>
          <w:noProof/>
        </w:rPr>
        <w:t xml:space="preserve"> provides </w:t>
      </w:r>
      <w:r w:rsidR="000E6E81" w:rsidRPr="00977B90">
        <w:rPr>
          <w:noProof/>
        </w:rPr>
        <w:t xml:space="preserve">European statistics on </w:t>
      </w:r>
      <w:r w:rsidR="00530F2A" w:rsidRPr="00977B90">
        <w:rPr>
          <w:noProof/>
        </w:rPr>
        <w:t>farms</w:t>
      </w:r>
      <w:r w:rsidR="000E6E81" w:rsidRPr="00977B90">
        <w:rPr>
          <w:noProof/>
        </w:rPr>
        <w:t xml:space="preserve"> </w:t>
      </w:r>
      <w:r w:rsidR="00530F2A" w:rsidRPr="00977B90">
        <w:rPr>
          <w:noProof/>
        </w:rPr>
        <w:t xml:space="preserve">in more than 200 datasets. The main data tables are grouped under </w:t>
      </w:r>
      <w:hyperlink r:id="rId29" w:history="1">
        <w:r w:rsidR="00530F2A" w:rsidRPr="00977B90">
          <w:rPr>
            <w:rStyle w:val="Hyperlink"/>
            <w:noProof/>
          </w:rPr>
          <w:t>farm structure (ef)</w:t>
        </w:r>
      </w:hyperlink>
      <w:r w:rsidR="00530F2A" w:rsidRPr="00977B90">
        <w:rPr>
          <w:noProof/>
        </w:rPr>
        <w:t xml:space="preserve">. </w:t>
      </w:r>
      <w:r w:rsidR="00BF4D3C">
        <w:rPr>
          <w:noProof/>
        </w:rPr>
        <w:t>R</w:t>
      </w:r>
      <w:r w:rsidR="00530F2A" w:rsidRPr="00977B90">
        <w:rPr>
          <w:noProof/>
        </w:rPr>
        <w:t>evision of these datasets is ongoing, to better respond to user needs. Access to the tables is public and free of charge.</w:t>
      </w:r>
    </w:p>
    <w:p w14:paraId="3B954BBF" w14:textId="21DF8B9F" w:rsidR="000E6E81" w:rsidRPr="00977B90" w:rsidRDefault="000E6E81" w:rsidP="00530F2A">
      <w:pPr>
        <w:pStyle w:val="Heading3"/>
        <w:rPr>
          <w:noProof/>
        </w:rPr>
      </w:pPr>
      <w:bookmarkStart w:id="10" w:name="_Toc39845173"/>
      <w:r w:rsidRPr="00977B90">
        <w:rPr>
          <w:noProof/>
        </w:rPr>
        <w:t>Publications</w:t>
      </w:r>
      <w:bookmarkEnd w:id="10"/>
    </w:p>
    <w:p w14:paraId="6987AAE3" w14:textId="3CEC5295" w:rsidR="000E6E81" w:rsidRPr="00977B90" w:rsidRDefault="000E6E81" w:rsidP="00530F2A">
      <w:pPr>
        <w:rPr>
          <w:noProof/>
        </w:rPr>
      </w:pPr>
      <w:r w:rsidRPr="00977B90">
        <w:rPr>
          <w:noProof/>
        </w:rPr>
        <w:t>Eurostat publishe</w:t>
      </w:r>
      <w:r w:rsidR="00FD6FD8" w:rsidRPr="00977B90">
        <w:rPr>
          <w:noProof/>
        </w:rPr>
        <w:t>s</w:t>
      </w:r>
      <w:r w:rsidRPr="00977B90">
        <w:rPr>
          <w:noProof/>
        </w:rPr>
        <w:t xml:space="preserve"> data and articles on </w:t>
      </w:r>
      <w:r w:rsidR="000F2DAA" w:rsidRPr="00977B90">
        <w:rPr>
          <w:noProof/>
        </w:rPr>
        <w:t xml:space="preserve">farm structure </w:t>
      </w:r>
      <w:r w:rsidRPr="00977B90">
        <w:rPr>
          <w:noProof/>
        </w:rPr>
        <w:t xml:space="preserve">in its online </w:t>
      </w:r>
      <w:r w:rsidRPr="00977B90">
        <w:rPr>
          <w:i/>
          <w:noProof/>
        </w:rPr>
        <w:t>Statistics Explained</w:t>
      </w:r>
      <w:r w:rsidRPr="00977B90">
        <w:rPr>
          <w:noProof/>
        </w:rPr>
        <w:t xml:space="preserve"> collection and in statistical books.</w:t>
      </w:r>
      <w:r w:rsidR="00681E6C" w:rsidRPr="00977B90">
        <w:rPr>
          <w:noProof/>
        </w:rPr>
        <w:t xml:space="preserve"> </w:t>
      </w:r>
      <w:r w:rsidR="00BF4D3C">
        <w:rPr>
          <w:noProof/>
        </w:rPr>
        <w:t>F</w:t>
      </w:r>
      <w:r w:rsidR="00BF4D3C" w:rsidRPr="00977B90">
        <w:rPr>
          <w:noProof/>
        </w:rPr>
        <w:t xml:space="preserve">arm structure data </w:t>
      </w:r>
      <w:r w:rsidR="00BF4D3C">
        <w:rPr>
          <w:noProof/>
        </w:rPr>
        <w:t>are also used by o</w:t>
      </w:r>
      <w:r w:rsidR="00681E6C" w:rsidRPr="00977B90">
        <w:rPr>
          <w:noProof/>
        </w:rPr>
        <w:t xml:space="preserve">ther dissemination products such as the </w:t>
      </w:r>
      <w:hyperlink r:id="rId30" w:history="1">
        <w:r w:rsidR="00681E6C" w:rsidRPr="00977B90">
          <w:rPr>
            <w:rStyle w:val="Hyperlink"/>
            <w:noProof/>
          </w:rPr>
          <w:t>key figures</w:t>
        </w:r>
      </w:hyperlink>
      <w:r w:rsidR="00681E6C" w:rsidRPr="00977B90">
        <w:rPr>
          <w:noProof/>
        </w:rPr>
        <w:t xml:space="preserve"> publication</w:t>
      </w:r>
      <w:r w:rsidR="00EB6123" w:rsidRPr="00977B90">
        <w:rPr>
          <w:noProof/>
        </w:rPr>
        <w:t xml:space="preserve">, Eurostat’s regional yearbook and the </w:t>
      </w:r>
      <w:hyperlink r:id="rId31" w:history="1">
        <w:r w:rsidR="00EB6123" w:rsidRPr="00977B90">
          <w:rPr>
            <w:rStyle w:val="Hyperlink"/>
            <w:noProof/>
          </w:rPr>
          <w:t>statistical atlas</w:t>
        </w:r>
      </w:hyperlink>
      <w:r w:rsidR="00EB6123" w:rsidRPr="00977B90">
        <w:rPr>
          <w:noProof/>
        </w:rPr>
        <w:t>.</w:t>
      </w:r>
    </w:p>
    <w:p w14:paraId="4CB763E0" w14:textId="57D93BB8" w:rsidR="000E6E81" w:rsidRPr="00977B90" w:rsidRDefault="000E6E81" w:rsidP="00530F2A">
      <w:pPr>
        <w:pStyle w:val="Heading3"/>
        <w:rPr>
          <w:noProof/>
        </w:rPr>
      </w:pPr>
      <w:bookmarkStart w:id="11" w:name="_Toc39845174"/>
      <w:r w:rsidRPr="00977B90">
        <w:rPr>
          <w:noProof/>
        </w:rPr>
        <w:t>Metadata</w:t>
      </w:r>
      <w:bookmarkEnd w:id="11"/>
    </w:p>
    <w:p w14:paraId="327F60A4" w14:textId="55553D17" w:rsidR="000E6E81" w:rsidRPr="00977B90" w:rsidRDefault="000E6E81" w:rsidP="00530F2A">
      <w:pPr>
        <w:rPr>
          <w:noProof/>
        </w:rPr>
      </w:pPr>
      <w:r w:rsidRPr="00977B90">
        <w:rPr>
          <w:noProof/>
        </w:rPr>
        <w:t>Eurostat collect</w:t>
      </w:r>
      <w:r w:rsidR="00F17F23" w:rsidRPr="00977B90">
        <w:rPr>
          <w:noProof/>
        </w:rPr>
        <w:t>s</w:t>
      </w:r>
      <w:r w:rsidRPr="00977B90">
        <w:rPr>
          <w:noProof/>
        </w:rPr>
        <w:t xml:space="preserve"> </w:t>
      </w:r>
      <w:r w:rsidR="0094022A" w:rsidRPr="00977B90">
        <w:rPr>
          <w:noProof/>
        </w:rPr>
        <w:t xml:space="preserve">and publishes </w:t>
      </w:r>
      <w:hyperlink r:id="rId32" w:history="1">
        <w:r w:rsidRPr="00977B90">
          <w:rPr>
            <w:rStyle w:val="Hyperlink"/>
            <w:noProof/>
          </w:rPr>
          <w:t>national quality reports</w:t>
        </w:r>
      </w:hyperlink>
      <w:r w:rsidRPr="00977B90">
        <w:rPr>
          <w:noProof/>
        </w:rPr>
        <w:t xml:space="preserve"> </w:t>
      </w:r>
      <w:r w:rsidR="00530F2A" w:rsidRPr="00977B90">
        <w:rPr>
          <w:noProof/>
        </w:rPr>
        <w:t>with</w:t>
      </w:r>
      <w:r w:rsidRPr="00977B90">
        <w:rPr>
          <w:noProof/>
        </w:rPr>
        <w:t xml:space="preserve"> detailed information on the quality of the data and on the methods used </w:t>
      </w:r>
      <w:r w:rsidR="00F17F23" w:rsidRPr="00977B90">
        <w:rPr>
          <w:noProof/>
        </w:rPr>
        <w:t>to</w:t>
      </w:r>
      <w:r w:rsidR="00530F2A" w:rsidRPr="00977B90">
        <w:rPr>
          <w:noProof/>
        </w:rPr>
        <w:t xml:space="preserve"> collect them. The </w:t>
      </w:r>
      <w:hyperlink r:id="rId33" w:history="1">
        <w:r w:rsidR="00530F2A" w:rsidRPr="00977B90">
          <w:rPr>
            <w:rStyle w:val="Hyperlink"/>
            <w:noProof/>
          </w:rPr>
          <w:t>EU level quality report</w:t>
        </w:r>
      </w:hyperlink>
      <w:r w:rsidR="00530F2A" w:rsidRPr="00977B90">
        <w:rPr>
          <w:noProof/>
        </w:rPr>
        <w:t xml:space="preserve"> compiles the information given in the </w:t>
      </w:r>
      <w:r w:rsidR="00681E6C" w:rsidRPr="00977B90">
        <w:rPr>
          <w:noProof/>
        </w:rPr>
        <w:t xml:space="preserve">national </w:t>
      </w:r>
      <w:r w:rsidR="00530F2A" w:rsidRPr="00977B90">
        <w:rPr>
          <w:noProof/>
        </w:rPr>
        <w:t>quality reports</w:t>
      </w:r>
      <w:r w:rsidR="00977B90">
        <w:rPr>
          <w:noProof/>
        </w:rPr>
        <w:t>.</w:t>
      </w:r>
    </w:p>
    <w:p w14:paraId="620C3D1B" w14:textId="3D1290B4" w:rsidR="00625FEB" w:rsidRPr="00977B90" w:rsidRDefault="00625FEB" w:rsidP="00625FEB">
      <w:pPr>
        <w:pStyle w:val="Heading3"/>
        <w:rPr>
          <w:noProof/>
        </w:rPr>
      </w:pPr>
      <w:r w:rsidRPr="00977B90">
        <w:rPr>
          <w:noProof/>
        </w:rPr>
        <w:t>Microdata access</w:t>
      </w:r>
    </w:p>
    <w:p w14:paraId="0EE20C56" w14:textId="2F2548F1" w:rsidR="00625FEB" w:rsidRPr="00977B90" w:rsidRDefault="00625FEB" w:rsidP="00625FEB">
      <w:pPr>
        <w:rPr>
          <w:noProof/>
        </w:rPr>
      </w:pPr>
      <w:r w:rsidRPr="00977B90">
        <w:rPr>
          <w:noProof/>
        </w:rPr>
        <w:t xml:space="preserve">Eurostat only grants access to </w:t>
      </w:r>
      <w:hyperlink r:id="rId34" w:history="1">
        <w:r w:rsidRPr="00977B90">
          <w:rPr>
            <w:rStyle w:val="Hyperlink"/>
            <w:noProof/>
          </w:rPr>
          <w:t>farm structure microdata</w:t>
        </w:r>
      </w:hyperlink>
      <w:r w:rsidRPr="00977B90">
        <w:rPr>
          <w:noProof/>
        </w:rPr>
        <w:t xml:space="preserve"> for scientific purposes, in accordance with the above</w:t>
      </w:r>
      <w:r w:rsidR="00BF4D3C">
        <w:rPr>
          <w:noProof/>
        </w:rPr>
        <w:t>-</w:t>
      </w:r>
      <w:r w:rsidRPr="00977B90">
        <w:rPr>
          <w:noProof/>
        </w:rPr>
        <w:t xml:space="preserve">mentioned Commission Regulation </w:t>
      </w:r>
      <w:r w:rsidRPr="004517FF">
        <w:rPr>
          <w:noProof/>
        </w:rPr>
        <w:t>(EU) No 557/2013 as regards access to confidential data for scientific purposes</w:t>
      </w:r>
      <w:r w:rsidRPr="00977B90">
        <w:rPr>
          <w:noProof/>
        </w:rPr>
        <w:t xml:space="preserve">. Access to microdata is restricted to protect the anonymity of agricultural holdings. To access anonymised microdata (also known as </w:t>
      </w:r>
      <w:r w:rsidR="00BF4D3C">
        <w:rPr>
          <w:noProof/>
        </w:rPr>
        <w:t>s</w:t>
      </w:r>
      <w:r w:rsidRPr="00977B90">
        <w:rPr>
          <w:noProof/>
        </w:rPr>
        <w:t xml:space="preserve">cientific </w:t>
      </w:r>
      <w:r w:rsidR="00BF4D3C">
        <w:rPr>
          <w:noProof/>
        </w:rPr>
        <w:t>u</w:t>
      </w:r>
      <w:r w:rsidRPr="00977B90">
        <w:rPr>
          <w:noProof/>
        </w:rPr>
        <w:t xml:space="preserve">se </w:t>
      </w:r>
      <w:r w:rsidR="00BF4D3C">
        <w:rPr>
          <w:noProof/>
        </w:rPr>
        <w:t>f</w:t>
      </w:r>
      <w:r w:rsidRPr="00977B90">
        <w:rPr>
          <w:noProof/>
        </w:rPr>
        <w:t xml:space="preserve">iles), research organisations need to go through the </w:t>
      </w:r>
      <w:hyperlink r:id="rId35" w:history="1">
        <w:r w:rsidRPr="00977B90">
          <w:rPr>
            <w:rStyle w:val="Hyperlink"/>
            <w:noProof/>
          </w:rPr>
          <w:t>eligibility procedure</w:t>
        </w:r>
      </w:hyperlink>
      <w:r w:rsidRPr="00977B90">
        <w:rPr>
          <w:noProof/>
        </w:rPr>
        <w:t>. The organisations have to be recognised as research entities</w:t>
      </w:r>
      <w:r w:rsidR="00A15BB2">
        <w:rPr>
          <w:noProof/>
        </w:rPr>
        <w:t>.</w:t>
      </w:r>
      <w:r w:rsidRPr="00977B90">
        <w:rPr>
          <w:noProof/>
        </w:rPr>
        <w:t xml:space="preserve"> All research projects submitted by researchers are scrutinised by Eurostat and national statistical bodies. Eurostat applies several conditions </w:t>
      </w:r>
      <w:r w:rsidR="00BF4D3C">
        <w:rPr>
          <w:noProof/>
        </w:rPr>
        <w:t>for</w:t>
      </w:r>
      <w:r w:rsidRPr="00977B90">
        <w:rPr>
          <w:noProof/>
        </w:rPr>
        <w:t xml:space="preserve"> research proposals to be accepted, namely: scientific content of the proposal, comparative analysis of several countries, proper data security measures in place and publication of results. In addition, each research proposal has to be accepted by the national statistical bodies. If access is not allowed by a national body, the data of that country are removed from the set.</w:t>
      </w:r>
    </w:p>
    <w:p w14:paraId="087C02D8" w14:textId="77777777" w:rsidR="00625FEB" w:rsidRPr="00977B90" w:rsidRDefault="00625FEB" w:rsidP="00625FEB">
      <w:pPr>
        <w:pStyle w:val="Heading2"/>
        <w:rPr>
          <w:noProof/>
        </w:rPr>
      </w:pPr>
      <w:bookmarkStart w:id="12" w:name="_Toc39845176"/>
      <w:bookmarkStart w:id="13" w:name="_Ref147827907"/>
      <w:bookmarkStart w:id="14" w:name="_Toc39845166"/>
      <w:bookmarkStart w:id="15" w:name="_Toc39845167"/>
      <w:bookmarkStart w:id="16" w:name="_Toc39845177"/>
      <w:r w:rsidRPr="00977B90">
        <w:rPr>
          <w:noProof/>
        </w:rPr>
        <w:t>Cost and burden</w:t>
      </w:r>
      <w:bookmarkEnd w:id="12"/>
      <w:bookmarkEnd w:id="13"/>
    </w:p>
    <w:p w14:paraId="1885CFFE" w14:textId="67BE25DB" w:rsidR="00625FEB" w:rsidRPr="00977B90" w:rsidRDefault="00625FEB" w:rsidP="00625FEB">
      <w:pPr>
        <w:rPr>
          <w:noProof/>
        </w:rPr>
      </w:pPr>
      <w:r w:rsidRPr="00644F77">
        <w:rPr>
          <w:noProof/>
        </w:rPr>
        <w:t>Regulation (</w:t>
      </w:r>
      <w:r w:rsidRPr="00977B90">
        <w:rPr>
          <w:noProof/>
        </w:rPr>
        <w:t>EU) 2018/1091 further strengthened the use of administrative data sources and other methods or innovative approaches in addition to statistical surveys. The use of administrative data has increased</w:t>
      </w:r>
      <w:r w:rsidR="00644F77" w:rsidRPr="00644F77">
        <w:rPr>
          <w:noProof/>
        </w:rPr>
        <w:t xml:space="preserve"> </w:t>
      </w:r>
      <w:r w:rsidR="00644F77" w:rsidRPr="00977B90">
        <w:rPr>
          <w:noProof/>
        </w:rPr>
        <w:t>mark</w:t>
      </w:r>
      <w:r w:rsidR="00A15BB2">
        <w:rPr>
          <w:noProof/>
        </w:rPr>
        <w:t>ed</w:t>
      </w:r>
      <w:r w:rsidR="00644F77" w:rsidRPr="00977B90">
        <w:rPr>
          <w:noProof/>
        </w:rPr>
        <w:t>ly</w:t>
      </w:r>
      <w:r w:rsidRPr="00977B90">
        <w:rPr>
          <w:noProof/>
        </w:rPr>
        <w:t xml:space="preserve"> in </w:t>
      </w:r>
      <w:r w:rsidR="00644F77">
        <w:rPr>
          <w:noProof/>
        </w:rPr>
        <w:t xml:space="preserve">recent </w:t>
      </w:r>
      <w:r w:rsidRPr="00977B90">
        <w:rPr>
          <w:noProof/>
        </w:rPr>
        <w:t>years</w:t>
      </w:r>
      <w:r w:rsidR="00A15BB2">
        <w:rPr>
          <w:noProof/>
        </w:rPr>
        <w:t>, causing t</w:t>
      </w:r>
      <w:r w:rsidRPr="00977B90">
        <w:rPr>
          <w:noProof/>
        </w:rPr>
        <w:t>he number of variables directly collected from farmers</w:t>
      </w:r>
      <w:r w:rsidR="00A15BB2">
        <w:rPr>
          <w:noProof/>
        </w:rPr>
        <w:t xml:space="preserve"> to </w:t>
      </w:r>
      <w:r w:rsidRPr="00977B90">
        <w:rPr>
          <w:noProof/>
        </w:rPr>
        <w:t>decrease</w:t>
      </w:r>
      <w:r w:rsidR="00F228A2" w:rsidRPr="00977B90">
        <w:rPr>
          <w:noProof/>
        </w:rPr>
        <w:t xml:space="preserve"> by 10% between 2013 and 2020. </w:t>
      </w:r>
      <w:r w:rsidR="00AD78D4">
        <w:rPr>
          <w:noProof/>
        </w:rPr>
        <w:t>In contrast, t</w:t>
      </w:r>
      <w:r w:rsidR="00F228A2" w:rsidRPr="00977B90">
        <w:rPr>
          <w:noProof/>
        </w:rPr>
        <w:t xml:space="preserve">he </w:t>
      </w:r>
      <w:r w:rsidRPr="00977B90">
        <w:rPr>
          <w:noProof/>
        </w:rPr>
        <w:t xml:space="preserve">use of </w:t>
      </w:r>
      <w:r w:rsidR="00EB1F8D" w:rsidRPr="00977B90">
        <w:rPr>
          <w:noProof/>
        </w:rPr>
        <w:t xml:space="preserve">other </w:t>
      </w:r>
      <w:r w:rsidRPr="00977B90">
        <w:rPr>
          <w:noProof/>
        </w:rPr>
        <w:t>administrative sources</w:t>
      </w:r>
      <w:r w:rsidR="00EB1F8D" w:rsidRPr="00977B90">
        <w:rPr>
          <w:noProof/>
        </w:rPr>
        <w:t xml:space="preserve"> (such as th</w:t>
      </w:r>
      <w:r w:rsidR="00644F77">
        <w:rPr>
          <w:noProof/>
        </w:rPr>
        <w:t>ose</w:t>
      </w:r>
      <w:r w:rsidR="00EB1F8D" w:rsidRPr="00977B90">
        <w:rPr>
          <w:noProof/>
        </w:rPr>
        <w:t xml:space="preserve"> used for management of subsidies for CAP rural development measures, cadastral sources or other sources indicated by countries)</w:t>
      </w:r>
      <w:r w:rsidRPr="00977B90">
        <w:rPr>
          <w:noProof/>
        </w:rPr>
        <w:t xml:space="preserve"> increased from 2.1% in 2013 to 5.9% in 2020. </w:t>
      </w:r>
      <w:r w:rsidR="00644F77">
        <w:rPr>
          <w:noProof/>
        </w:rPr>
        <w:t>A</w:t>
      </w:r>
      <w:r w:rsidR="00644F77" w:rsidRPr="00977B90">
        <w:rPr>
          <w:noProof/>
        </w:rPr>
        <w:t xml:space="preserve">dministrative data sources </w:t>
      </w:r>
      <w:r w:rsidR="00644F77">
        <w:rPr>
          <w:noProof/>
        </w:rPr>
        <w:t>are</w:t>
      </w:r>
      <w:r w:rsidR="00644F77" w:rsidRPr="00977B90">
        <w:rPr>
          <w:noProof/>
        </w:rPr>
        <w:t xml:space="preserve"> </w:t>
      </w:r>
      <w:r w:rsidRPr="00977B90">
        <w:rPr>
          <w:noProof/>
        </w:rPr>
        <w:t>main</w:t>
      </w:r>
      <w:r w:rsidR="00644F77">
        <w:rPr>
          <w:noProof/>
        </w:rPr>
        <w:t>ly</w:t>
      </w:r>
      <w:r w:rsidRPr="00977B90">
        <w:rPr>
          <w:noProof/>
        </w:rPr>
        <w:t xml:space="preserve"> use</w:t>
      </w:r>
      <w:r w:rsidR="00644F77">
        <w:rPr>
          <w:noProof/>
        </w:rPr>
        <w:t>d to</w:t>
      </w:r>
      <w:r w:rsidRPr="00977B90">
        <w:rPr>
          <w:noProof/>
        </w:rPr>
        <w:t xml:space="preserve"> directly </w:t>
      </w:r>
      <w:r w:rsidR="00644F77" w:rsidRPr="00977B90">
        <w:rPr>
          <w:noProof/>
        </w:rPr>
        <w:t>replac</w:t>
      </w:r>
      <w:r w:rsidR="00644F77">
        <w:rPr>
          <w:noProof/>
        </w:rPr>
        <w:t>e</w:t>
      </w:r>
      <w:r w:rsidR="00644F77" w:rsidRPr="00977B90">
        <w:rPr>
          <w:noProof/>
        </w:rPr>
        <w:t xml:space="preserve"> </w:t>
      </w:r>
      <w:r w:rsidRPr="00977B90">
        <w:rPr>
          <w:noProof/>
        </w:rPr>
        <w:t xml:space="preserve">variables, </w:t>
      </w:r>
      <w:r w:rsidR="00644F77">
        <w:rPr>
          <w:noProof/>
        </w:rPr>
        <w:t xml:space="preserve">to </w:t>
      </w:r>
      <w:r w:rsidRPr="00977B90">
        <w:rPr>
          <w:noProof/>
        </w:rPr>
        <w:t>pre-fill questionnaires and in case</w:t>
      </w:r>
      <w:r w:rsidR="00A52C52">
        <w:rPr>
          <w:noProof/>
        </w:rPr>
        <w:t>s</w:t>
      </w:r>
      <w:r w:rsidRPr="00977B90">
        <w:rPr>
          <w:noProof/>
        </w:rPr>
        <w:t xml:space="preserve"> of non-response</w:t>
      </w:r>
      <w:r w:rsidR="00A15BB2">
        <w:rPr>
          <w:noProof/>
        </w:rPr>
        <w:t>, decreasing the burden on respondents by using existing data sources multiple times</w:t>
      </w:r>
      <w:r w:rsidRPr="00977B90">
        <w:rPr>
          <w:noProof/>
        </w:rPr>
        <w:t>.</w:t>
      </w:r>
    </w:p>
    <w:p w14:paraId="60890D9A" w14:textId="541CB235" w:rsidR="00625FEB" w:rsidRPr="00977B90" w:rsidRDefault="00625FEB" w:rsidP="00625FEB">
      <w:pPr>
        <w:rPr>
          <w:noProof/>
        </w:rPr>
      </w:pPr>
      <w:r w:rsidRPr="00977B90">
        <w:rPr>
          <w:noProof/>
        </w:rPr>
        <w:t>Eurostat assessed the costs and cost-effectiveness of the 2020 agricultural census data collection under Regulation (EU) 2018/1091 using the grant applications from the Member States.</w:t>
      </w:r>
    </w:p>
    <w:p w14:paraId="433263A3" w14:textId="0F1DDB0E" w:rsidR="00130571" w:rsidRPr="00977B90" w:rsidRDefault="00625FEB" w:rsidP="00625FEB">
      <w:pPr>
        <w:rPr>
          <w:bCs/>
          <w:noProof/>
        </w:rPr>
      </w:pPr>
      <w:r w:rsidRPr="00977B90">
        <w:rPr>
          <w:noProof/>
        </w:rPr>
        <w:t xml:space="preserve">The estimated total costs to carry out the 2020 agricultural census reported by the Member States in the grant applications </w:t>
      </w:r>
      <w:r w:rsidR="00644F77">
        <w:rPr>
          <w:noProof/>
        </w:rPr>
        <w:t>were</w:t>
      </w:r>
      <w:r w:rsidRPr="00977B90">
        <w:rPr>
          <w:noProof/>
        </w:rPr>
        <w:t xml:space="preserve"> </w:t>
      </w:r>
      <w:r w:rsidR="004A3038" w:rsidRPr="00977B90">
        <w:rPr>
          <w:bCs/>
          <w:noProof/>
        </w:rPr>
        <w:t>EUR </w:t>
      </w:r>
      <w:r w:rsidRPr="00977B90">
        <w:rPr>
          <w:bCs/>
          <w:noProof/>
        </w:rPr>
        <w:t>278</w:t>
      </w:r>
      <w:r w:rsidR="004A3038" w:rsidRPr="00977B90">
        <w:rPr>
          <w:bCs/>
          <w:noProof/>
        </w:rPr>
        <w:t> </w:t>
      </w:r>
      <w:r w:rsidRPr="00977B90">
        <w:rPr>
          <w:bCs/>
          <w:noProof/>
        </w:rPr>
        <w:t>128</w:t>
      </w:r>
      <w:r w:rsidR="004A3038" w:rsidRPr="00977B90">
        <w:rPr>
          <w:bCs/>
          <w:noProof/>
        </w:rPr>
        <w:t> </w:t>
      </w:r>
      <w:r w:rsidRPr="00977B90">
        <w:rPr>
          <w:bCs/>
          <w:noProof/>
        </w:rPr>
        <w:t xml:space="preserve">426.97, while the estimated total eligible costs </w:t>
      </w:r>
      <w:r w:rsidR="00644F77">
        <w:rPr>
          <w:bCs/>
          <w:noProof/>
        </w:rPr>
        <w:t>were</w:t>
      </w:r>
      <w:r w:rsidRPr="00977B90">
        <w:rPr>
          <w:bCs/>
          <w:noProof/>
        </w:rPr>
        <w:t xml:space="preserve"> </w:t>
      </w:r>
      <w:r w:rsidR="004A3038" w:rsidRPr="00977B90">
        <w:rPr>
          <w:bCs/>
          <w:noProof/>
        </w:rPr>
        <w:t>EUR </w:t>
      </w:r>
      <w:r w:rsidRPr="00977B90">
        <w:rPr>
          <w:bCs/>
          <w:noProof/>
        </w:rPr>
        <w:t>267</w:t>
      </w:r>
      <w:r w:rsidR="004A3038" w:rsidRPr="00977B90">
        <w:rPr>
          <w:bCs/>
          <w:noProof/>
        </w:rPr>
        <w:t> </w:t>
      </w:r>
      <w:r w:rsidRPr="00977B90">
        <w:rPr>
          <w:bCs/>
          <w:noProof/>
        </w:rPr>
        <w:t>872</w:t>
      </w:r>
      <w:r w:rsidR="004A3038" w:rsidRPr="00977B90">
        <w:rPr>
          <w:bCs/>
          <w:noProof/>
        </w:rPr>
        <w:t> </w:t>
      </w:r>
      <w:r w:rsidRPr="00977B90">
        <w:rPr>
          <w:bCs/>
          <w:noProof/>
        </w:rPr>
        <w:t>491.16</w:t>
      </w:r>
      <w:r w:rsidR="00130571" w:rsidRPr="00977B90">
        <w:rPr>
          <w:bCs/>
          <w:noProof/>
        </w:rPr>
        <w:t>.</w:t>
      </w:r>
    </w:p>
    <w:p w14:paraId="3C2A76B0" w14:textId="774EE1F3" w:rsidR="00130571" w:rsidRPr="00977B90" w:rsidRDefault="00710621" w:rsidP="00625FEB">
      <w:pPr>
        <w:rPr>
          <w:bCs/>
          <w:noProof/>
        </w:rPr>
      </w:pPr>
      <w:r w:rsidRPr="00977B90">
        <w:rPr>
          <w:bCs/>
          <w:noProof/>
        </w:rPr>
        <w:t xml:space="preserve">Eurostat does not know the real final costs for most of the Member States. </w:t>
      </w:r>
      <w:r w:rsidRPr="00977B90">
        <w:rPr>
          <w:noProof/>
        </w:rPr>
        <w:t>For 2020, the national bodies no longer need</w:t>
      </w:r>
      <w:r w:rsidR="00644F77">
        <w:rPr>
          <w:noProof/>
        </w:rPr>
        <w:t>ed</w:t>
      </w:r>
      <w:r w:rsidRPr="00977B90">
        <w:rPr>
          <w:noProof/>
        </w:rPr>
        <w:t xml:space="preserve"> to identify the actual eligible costs covered or to provide supporting documents, such as accounting statements, to prove the amount declared. </w:t>
      </w:r>
      <w:r w:rsidR="00625FEB" w:rsidRPr="00977B90">
        <w:rPr>
          <w:bCs/>
          <w:noProof/>
        </w:rPr>
        <w:t>Member States only had to report the final costs i</w:t>
      </w:r>
      <w:r w:rsidR="00644F77">
        <w:rPr>
          <w:bCs/>
          <w:noProof/>
        </w:rPr>
        <w:t>f</w:t>
      </w:r>
      <w:r w:rsidR="00625FEB" w:rsidRPr="00977B90">
        <w:rPr>
          <w:bCs/>
          <w:noProof/>
        </w:rPr>
        <w:t xml:space="preserve"> the final costs for at least one data collection component decreased by more than 20% compared to the estimated costs</w:t>
      </w:r>
      <w:r w:rsidR="00130571" w:rsidRPr="00977B90">
        <w:rPr>
          <w:bCs/>
          <w:noProof/>
        </w:rPr>
        <w:t>. Nevertheless</w:t>
      </w:r>
      <w:r w:rsidR="00977B90">
        <w:rPr>
          <w:bCs/>
          <w:noProof/>
        </w:rPr>
        <w:t>,</w:t>
      </w:r>
      <w:r w:rsidR="00130571" w:rsidRPr="00977B90">
        <w:rPr>
          <w:bCs/>
          <w:noProof/>
        </w:rPr>
        <w:t xml:space="preserve"> </w:t>
      </w:r>
      <w:r w:rsidR="00130571" w:rsidRPr="00977B90">
        <w:rPr>
          <w:noProof/>
        </w:rPr>
        <w:t xml:space="preserve">Eurostat aims </w:t>
      </w:r>
      <w:r w:rsidR="00977B90">
        <w:rPr>
          <w:noProof/>
        </w:rPr>
        <w:t>to</w:t>
      </w:r>
      <w:r w:rsidR="00977B90" w:rsidRPr="00977B90">
        <w:rPr>
          <w:noProof/>
        </w:rPr>
        <w:t xml:space="preserve"> hav</w:t>
      </w:r>
      <w:r w:rsidR="00977B90">
        <w:rPr>
          <w:noProof/>
        </w:rPr>
        <w:t>e</w:t>
      </w:r>
      <w:r w:rsidR="00977B90" w:rsidRPr="00977B90">
        <w:rPr>
          <w:noProof/>
        </w:rPr>
        <w:t xml:space="preserve"> </w:t>
      </w:r>
      <w:r w:rsidR="00130571" w:rsidRPr="00977B90">
        <w:rPr>
          <w:noProof/>
        </w:rPr>
        <w:t xml:space="preserve">a realistic picture of the entire costs of carrying out the data collection required </w:t>
      </w:r>
      <w:r w:rsidR="00644F77">
        <w:rPr>
          <w:noProof/>
        </w:rPr>
        <w:t>under</w:t>
      </w:r>
      <w:r w:rsidR="00130571" w:rsidRPr="00977B90">
        <w:rPr>
          <w:noProof/>
        </w:rPr>
        <w:t xml:space="preserve"> EU legislation</w:t>
      </w:r>
      <w:r w:rsidR="00644F77">
        <w:rPr>
          <w:noProof/>
        </w:rPr>
        <w:t>. To that end, it</w:t>
      </w:r>
      <w:r w:rsidR="00130571" w:rsidRPr="00977B90">
        <w:rPr>
          <w:noProof/>
        </w:rPr>
        <w:t xml:space="preserve"> encouraged the Member States to report the entire costs starting with the 2020 data collection</w:t>
      </w:r>
      <w:r w:rsidRPr="00977B90">
        <w:rPr>
          <w:rStyle w:val="FootnoteReference"/>
          <w:noProof/>
        </w:rPr>
        <w:footnoteReference w:id="8"/>
      </w:r>
      <w:r w:rsidRPr="00977B90">
        <w:rPr>
          <w:noProof/>
        </w:rPr>
        <w:t>.</w:t>
      </w:r>
    </w:p>
    <w:p w14:paraId="7AAE3246" w14:textId="5A320533" w:rsidR="00625FEB" w:rsidRPr="00977B90" w:rsidRDefault="00625FEB" w:rsidP="00625FEB">
      <w:pPr>
        <w:rPr>
          <w:noProof/>
        </w:rPr>
      </w:pPr>
      <w:r w:rsidRPr="00977B90">
        <w:rPr>
          <w:bCs/>
          <w:noProof/>
        </w:rPr>
        <w:t xml:space="preserve">The total EU contributions paid to the Member States </w:t>
      </w:r>
      <w:r w:rsidR="00644F77">
        <w:rPr>
          <w:bCs/>
          <w:noProof/>
        </w:rPr>
        <w:t>were</w:t>
      </w:r>
      <w:r w:rsidRPr="00977B90">
        <w:rPr>
          <w:bCs/>
          <w:noProof/>
        </w:rPr>
        <w:t xml:space="preserve"> </w:t>
      </w:r>
      <w:r w:rsidRPr="00977B90">
        <w:rPr>
          <w:noProof/>
        </w:rPr>
        <w:t>EUR 35 495 889.00</w:t>
      </w:r>
      <w:r w:rsidRPr="00977B90">
        <w:rPr>
          <w:bCs/>
          <w:noProof/>
        </w:rPr>
        <w:t xml:space="preserve">, </w:t>
      </w:r>
      <w:r w:rsidR="00A15BB2">
        <w:rPr>
          <w:bCs/>
          <w:noProof/>
        </w:rPr>
        <w:t xml:space="preserve">representing </w:t>
      </w:r>
      <w:r w:rsidRPr="00977B90">
        <w:rPr>
          <w:bCs/>
          <w:noProof/>
        </w:rPr>
        <w:t>a financing rate of 13.25% of the estimated total eligible costs.</w:t>
      </w:r>
    </w:p>
    <w:p w14:paraId="07CB9B33" w14:textId="028F37CF" w:rsidR="00625FEB" w:rsidRPr="00977B90" w:rsidRDefault="00625FEB" w:rsidP="00625FEB">
      <w:pPr>
        <w:rPr>
          <w:noProof/>
        </w:rPr>
      </w:pPr>
      <w:r w:rsidRPr="00977B90">
        <w:rPr>
          <w:noProof/>
        </w:rPr>
        <w:t>Cost-effectiveness was one of the criteria for evaluati</w:t>
      </w:r>
      <w:r w:rsidR="00644F77">
        <w:rPr>
          <w:noProof/>
        </w:rPr>
        <w:t>ng</w:t>
      </w:r>
      <w:r w:rsidRPr="00977B90">
        <w:rPr>
          <w:noProof/>
        </w:rPr>
        <w:t xml:space="preserve"> grant applications. For each country, cost-effectiveness was assessed by relating the estimated costs to the number of variables planned to be collected and to the number of agricultural holdings for which data were planned to be sent to Eurostat. This approach </w:t>
      </w:r>
      <w:r w:rsidR="00644F77">
        <w:rPr>
          <w:noProof/>
        </w:rPr>
        <w:t>made it possible</w:t>
      </w:r>
      <w:r w:rsidR="00644F77" w:rsidRPr="00977B90">
        <w:rPr>
          <w:noProof/>
        </w:rPr>
        <w:t xml:space="preserve"> </w:t>
      </w:r>
      <w:r w:rsidRPr="00977B90">
        <w:rPr>
          <w:noProof/>
        </w:rPr>
        <w:t>to compare cost-effectiveness across countries with very different number</w:t>
      </w:r>
      <w:r w:rsidR="00644F77">
        <w:rPr>
          <w:noProof/>
        </w:rPr>
        <w:t>s</w:t>
      </w:r>
      <w:r w:rsidRPr="00977B90">
        <w:rPr>
          <w:noProof/>
        </w:rPr>
        <w:t xml:space="preserve"> of agricultural holdings and collected variables. However</w:t>
      </w:r>
      <w:r w:rsidR="00977B90">
        <w:rPr>
          <w:noProof/>
        </w:rPr>
        <w:t>,</w:t>
      </w:r>
      <w:r w:rsidRPr="00977B90">
        <w:rPr>
          <w:noProof/>
        </w:rPr>
        <w:t xml:space="preserve"> the pertinence of this approach was weakened by some countries not report</w:t>
      </w:r>
      <w:r w:rsidR="00644F77">
        <w:rPr>
          <w:noProof/>
        </w:rPr>
        <w:t>ing</w:t>
      </w:r>
      <w:r w:rsidRPr="00977B90">
        <w:rPr>
          <w:noProof/>
        </w:rPr>
        <w:t xml:space="preserve"> the entire costs of data collection.</w:t>
      </w:r>
    </w:p>
    <w:p w14:paraId="290D9911" w14:textId="107E73E3" w:rsidR="00625FEB" w:rsidRPr="00977B90" w:rsidRDefault="00C33848" w:rsidP="00625FEB">
      <w:pPr>
        <w:rPr>
          <w:noProof/>
        </w:rPr>
      </w:pPr>
      <w:r>
        <w:rPr>
          <w:noProof/>
        </w:rPr>
        <w:t>Moreover, t</w:t>
      </w:r>
      <w:r w:rsidR="00625FEB" w:rsidRPr="00977B90">
        <w:rPr>
          <w:noProof/>
        </w:rPr>
        <w:t>he cost reduction between 2016 and 2020 cannot be quantified in a meaningful way, even if the 2020 costs are inflation adjusted. The form of financing changed between 2016 (reimbursement of the eligible costs of the action) and 2020 (single lump sum contribution</w:t>
      </w:r>
      <w:r w:rsidR="00977B90" w:rsidRPr="00977B90">
        <w:rPr>
          <w:noProof/>
        </w:rPr>
        <w:t>)</w:t>
      </w:r>
      <w:r w:rsidR="00625FEB" w:rsidRPr="00977B90">
        <w:rPr>
          <w:rStyle w:val="FootnoteReference"/>
          <w:noProof/>
        </w:rPr>
        <w:footnoteReference w:id="9"/>
      </w:r>
      <w:r w:rsidR="00625FEB" w:rsidRPr="00977B90">
        <w:rPr>
          <w:noProof/>
        </w:rPr>
        <w:t xml:space="preserve">. </w:t>
      </w:r>
      <w:r w:rsidR="00644F77">
        <w:rPr>
          <w:noProof/>
        </w:rPr>
        <w:t>F</w:t>
      </w:r>
      <w:r w:rsidR="00625FEB" w:rsidRPr="00977B90">
        <w:rPr>
          <w:noProof/>
        </w:rPr>
        <w:t>or 2020, countries were more inclined, since so encouraged, to report the entire costs of the data collection</w:t>
      </w:r>
      <w:r w:rsidR="00644F77">
        <w:rPr>
          <w:noProof/>
        </w:rPr>
        <w:t>. B</w:t>
      </w:r>
      <w:r w:rsidR="00625FEB" w:rsidRPr="00977B90">
        <w:rPr>
          <w:noProof/>
        </w:rPr>
        <w:t>efore 2020, countries tended to report only part of the costs</w:t>
      </w:r>
      <w:r w:rsidR="00644F77">
        <w:rPr>
          <w:noProof/>
        </w:rPr>
        <w:t>, namely</w:t>
      </w:r>
      <w:r w:rsidR="00625FEB" w:rsidRPr="00977B90">
        <w:rPr>
          <w:noProof/>
        </w:rPr>
        <w:t xml:space="preserve"> th</w:t>
      </w:r>
      <w:r w:rsidR="00644F77">
        <w:rPr>
          <w:noProof/>
        </w:rPr>
        <w:t>e</w:t>
      </w:r>
      <w:r w:rsidR="00625FEB" w:rsidRPr="00977B90">
        <w:rPr>
          <w:noProof/>
        </w:rPr>
        <w:t xml:space="preserve"> part </w:t>
      </w:r>
      <w:r w:rsidR="00644F77">
        <w:rPr>
          <w:noProof/>
        </w:rPr>
        <w:t>that</w:t>
      </w:r>
      <w:r w:rsidR="00644F77" w:rsidRPr="00977B90">
        <w:rPr>
          <w:noProof/>
        </w:rPr>
        <w:t xml:space="preserve"> </w:t>
      </w:r>
      <w:r w:rsidR="00625FEB" w:rsidRPr="00977B90">
        <w:rPr>
          <w:noProof/>
        </w:rPr>
        <w:t xml:space="preserve">was easily supported by accounting statements and sufficient to obtain the maximum EU contribution </w:t>
      </w:r>
      <w:r w:rsidR="00644F77">
        <w:rPr>
          <w:noProof/>
        </w:rPr>
        <w:t>laid down</w:t>
      </w:r>
      <w:r w:rsidR="00644F77" w:rsidRPr="00977B90">
        <w:rPr>
          <w:noProof/>
        </w:rPr>
        <w:t xml:space="preserve"> </w:t>
      </w:r>
      <w:r w:rsidR="00625FEB" w:rsidRPr="00977B90">
        <w:rPr>
          <w:noProof/>
        </w:rPr>
        <w:t>by the legislation).</w:t>
      </w:r>
    </w:p>
    <w:bookmarkEnd w:id="14"/>
    <w:bookmarkEnd w:id="15"/>
    <w:p w14:paraId="11B3BC45" w14:textId="63710851" w:rsidR="000E6E81" w:rsidRPr="00977B90" w:rsidRDefault="000E6E81" w:rsidP="00530F2A">
      <w:pPr>
        <w:pStyle w:val="Heading1"/>
        <w:rPr>
          <w:noProof/>
        </w:rPr>
      </w:pPr>
      <w:r w:rsidRPr="00977B90">
        <w:rPr>
          <w:noProof/>
        </w:rPr>
        <w:t>Conclusions</w:t>
      </w:r>
      <w:bookmarkEnd w:id="16"/>
    </w:p>
    <w:p w14:paraId="780B37B7" w14:textId="77777777" w:rsidR="00697B99" w:rsidRDefault="00697B99" w:rsidP="001C6FA6">
      <w:pPr>
        <w:rPr>
          <w:noProof/>
        </w:rPr>
      </w:pPr>
      <w:r>
        <w:rPr>
          <w:noProof/>
        </w:rPr>
        <w:t>Completeness of the d</w:t>
      </w:r>
      <w:r w:rsidR="00CE718D">
        <w:rPr>
          <w:noProof/>
        </w:rPr>
        <w:t xml:space="preserve">ata collections for </w:t>
      </w:r>
      <w:r w:rsidR="00A96F13" w:rsidRPr="00977B90">
        <w:rPr>
          <w:noProof/>
        </w:rPr>
        <w:t xml:space="preserve">integrated farm statistics and in particular </w:t>
      </w:r>
      <w:r w:rsidR="00CE718D">
        <w:rPr>
          <w:noProof/>
        </w:rPr>
        <w:t xml:space="preserve">for </w:t>
      </w:r>
      <w:r w:rsidR="00A96F13" w:rsidRPr="00977B90">
        <w:rPr>
          <w:noProof/>
        </w:rPr>
        <w:t xml:space="preserve">the 2020 agricultural census </w:t>
      </w:r>
      <w:r>
        <w:rPr>
          <w:noProof/>
        </w:rPr>
        <w:t xml:space="preserve">is guaranteed as automated procedures for validation are applied. User satisfaction surveys at national level indicate users are satisfied. </w:t>
      </w:r>
    </w:p>
    <w:p w14:paraId="1B4AF71C" w14:textId="32C653AE" w:rsidR="00697B99" w:rsidRDefault="00697B99" w:rsidP="001C6FA6">
      <w:pPr>
        <w:rPr>
          <w:noProof/>
        </w:rPr>
      </w:pPr>
      <w:r>
        <w:rPr>
          <w:noProof/>
        </w:rPr>
        <w:t>In terms of accuracy and reliability, t</w:t>
      </w:r>
      <w:r w:rsidRPr="00977B90">
        <w:rPr>
          <w:noProof/>
        </w:rPr>
        <w:t xml:space="preserve">he overall quality for the census is </w:t>
      </w:r>
      <w:r w:rsidR="00461D33">
        <w:rPr>
          <w:noProof/>
        </w:rPr>
        <w:t xml:space="preserve">considered </w:t>
      </w:r>
      <w:r w:rsidRPr="00977B90">
        <w:rPr>
          <w:noProof/>
        </w:rPr>
        <w:t>good.</w:t>
      </w:r>
    </w:p>
    <w:p w14:paraId="374A4AC7" w14:textId="7D0AB21C" w:rsidR="000E6E81" w:rsidRDefault="00697B99" w:rsidP="001C6FA6">
      <w:pPr>
        <w:rPr>
          <w:noProof/>
        </w:rPr>
      </w:pPr>
      <w:r>
        <w:rPr>
          <w:noProof/>
        </w:rPr>
        <w:t>The data collections were</w:t>
      </w:r>
      <w:r w:rsidR="00644F77" w:rsidRPr="00977B90">
        <w:rPr>
          <w:noProof/>
        </w:rPr>
        <w:t xml:space="preserve"> </w:t>
      </w:r>
      <w:r w:rsidR="00A96F13" w:rsidRPr="00977B90">
        <w:rPr>
          <w:noProof/>
        </w:rPr>
        <w:t xml:space="preserve">run </w:t>
      </w:r>
      <w:r w:rsidR="00A52C52">
        <w:rPr>
          <w:noProof/>
        </w:rPr>
        <w:t xml:space="preserve">in a </w:t>
      </w:r>
      <w:r w:rsidR="000E6E81" w:rsidRPr="00977B90">
        <w:rPr>
          <w:noProof/>
        </w:rPr>
        <w:t xml:space="preserve">timely </w:t>
      </w:r>
      <w:r w:rsidR="00A52C52">
        <w:rPr>
          <w:noProof/>
        </w:rPr>
        <w:t>way</w:t>
      </w:r>
      <w:r w:rsidR="000E6E81" w:rsidRPr="00977B90">
        <w:rPr>
          <w:noProof/>
        </w:rPr>
        <w:t>.</w:t>
      </w:r>
      <w:r w:rsidR="00461D33" w:rsidRPr="00461D33">
        <w:rPr>
          <w:noProof/>
        </w:rPr>
        <w:t xml:space="preserve"> </w:t>
      </w:r>
      <w:r w:rsidR="00461D33">
        <w:rPr>
          <w:noProof/>
        </w:rPr>
        <w:t>However, timeliness for agricultural census data dissemination at European level needs to be improved.</w:t>
      </w:r>
    </w:p>
    <w:p w14:paraId="0F262B69" w14:textId="7ACF870E" w:rsidR="00461D33" w:rsidRPr="00977B90" w:rsidRDefault="00461D33" w:rsidP="001C6FA6">
      <w:pPr>
        <w:rPr>
          <w:noProof/>
        </w:rPr>
      </w:pPr>
      <w:r>
        <w:rPr>
          <w:noProof/>
        </w:rPr>
        <w:t>T</w:t>
      </w:r>
      <w:r w:rsidRPr="00977B90">
        <w:rPr>
          <w:noProof/>
        </w:rPr>
        <w:t xml:space="preserve">he </w:t>
      </w:r>
      <w:r>
        <w:rPr>
          <w:noProof/>
        </w:rPr>
        <w:t xml:space="preserve">coherence and comparability of the data collection has been further improved by the new </w:t>
      </w:r>
      <w:r w:rsidRPr="00977B90">
        <w:rPr>
          <w:noProof/>
        </w:rPr>
        <w:t xml:space="preserve">Eurostat data collection guidelines, the introduction of automated validation procedures, </w:t>
      </w:r>
      <w:r>
        <w:rPr>
          <w:noProof/>
        </w:rPr>
        <w:t>and</w:t>
      </w:r>
      <w:r w:rsidRPr="00977B90">
        <w:rPr>
          <w:noProof/>
        </w:rPr>
        <w:t xml:space="preserve"> the use of administrative data sources and innovative methodologies.</w:t>
      </w:r>
    </w:p>
    <w:p w14:paraId="489D2E2D" w14:textId="1E8D8377" w:rsidR="000E6E81" w:rsidRDefault="00697B99" w:rsidP="001C6FA6">
      <w:pPr>
        <w:rPr>
          <w:noProof/>
        </w:rPr>
      </w:pPr>
      <w:r w:rsidRPr="00977B90">
        <w:rPr>
          <w:noProof/>
        </w:rPr>
        <w:t xml:space="preserve">Microdata collected under </w:t>
      </w:r>
      <w:r>
        <w:rPr>
          <w:noProof/>
        </w:rPr>
        <w:t>i</w:t>
      </w:r>
      <w:r w:rsidRPr="00977B90">
        <w:rPr>
          <w:noProof/>
        </w:rPr>
        <w:t xml:space="preserve">ntegrated </w:t>
      </w:r>
      <w:r>
        <w:rPr>
          <w:noProof/>
        </w:rPr>
        <w:t>f</w:t>
      </w:r>
      <w:r w:rsidRPr="00977B90">
        <w:rPr>
          <w:noProof/>
        </w:rPr>
        <w:t xml:space="preserve">arm </w:t>
      </w:r>
      <w:r>
        <w:rPr>
          <w:noProof/>
        </w:rPr>
        <w:t>s</w:t>
      </w:r>
      <w:r w:rsidRPr="00977B90">
        <w:rPr>
          <w:noProof/>
        </w:rPr>
        <w:t>tatistics are confidential</w:t>
      </w:r>
      <w:r>
        <w:rPr>
          <w:noProof/>
        </w:rPr>
        <w:t xml:space="preserve">, and confidentiality treatment is applied to the </w:t>
      </w:r>
      <w:r w:rsidRPr="00697B99">
        <w:rPr>
          <w:noProof/>
        </w:rPr>
        <w:t>compute</w:t>
      </w:r>
      <w:r>
        <w:rPr>
          <w:noProof/>
        </w:rPr>
        <w:t>d</w:t>
      </w:r>
      <w:r w:rsidRPr="00697B99">
        <w:rPr>
          <w:noProof/>
        </w:rPr>
        <w:t xml:space="preserve"> aggregates, which are disseminated in the form of statistical tables.</w:t>
      </w:r>
      <w:r>
        <w:rPr>
          <w:noProof/>
        </w:rPr>
        <w:t xml:space="preserve"> Eurostat is investigating further improvements on </w:t>
      </w:r>
      <w:r w:rsidR="00461D33">
        <w:rPr>
          <w:noProof/>
        </w:rPr>
        <w:t>confidentiality treatment.</w:t>
      </w:r>
    </w:p>
    <w:p w14:paraId="311FB5FB" w14:textId="5F0CCA8E" w:rsidR="00461D33" w:rsidRPr="00977B90" w:rsidRDefault="00461D33" w:rsidP="001C6FA6">
      <w:pPr>
        <w:rPr>
          <w:noProof/>
        </w:rPr>
      </w:pPr>
      <w:r w:rsidRPr="00977B90">
        <w:rPr>
          <w:noProof/>
        </w:rPr>
        <w:t xml:space="preserve">Access to the </w:t>
      </w:r>
      <w:r w:rsidR="00063FF2">
        <w:rPr>
          <w:noProof/>
        </w:rPr>
        <w:t>statistical</w:t>
      </w:r>
      <w:r>
        <w:rPr>
          <w:noProof/>
        </w:rPr>
        <w:t xml:space="preserve"> </w:t>
      </w:r>
      <w:r w:rsidRPr="00977B90">
        <w:rPr>
          <w:noProof/>
        </w:rPr>
        <w:t>tables is public and free of charge</w:t>
      </w:r>
      <w:r w:rsidR="00063FF2">
        <w:rPr>
          <w:noProof/>
        </w:rPr>
        <w:t xml:space="preserve"> and the</w:t>
      </w:r>
      <w:r>
        <w:rPr>
          <w:noProof/>
        </w:rPr>
        <w:t xml:space="preserve"> data feeds </w:t>
      </w:r>
      <w:r w:rsidR="00063FF2">
        <w:rPr>
          <w:noProof/>
        </w:rPr>
        <w:t xml:space="preserve">a range of </w:t>
      </w:r>
      <w:r>
        <w:rPr>
          <w:noProof/>
        </w:rPr>
        <w:t xml:space="preserve">different publications. An EU level quality report compiles the metadata provided by the data providers. </w:t>
      </w:r>
      <w:r w:rsidRPr="00977B90">
        <w:rPr>
          <w:noProof/>
        </w:rPr>
        <w:t>Access to microdata is restricted to protect the anonymity of agricultural holdings</w:t>
      </w:r>
      <w:r>
        <w:rPr>
          <w:noProof/>
        </w:rPr>
        <w:t>, but scientific use files are made available for researchers under certain conditions.</w:t>
      </w:r>
    </w:p>
    <w:p w14:paraId="6E043731" w14:textId="77777777" w:rsidR="00461D33" w:rsidRDefault="00644F77" w:rsidP="001C6FA6">
      <w:pPr>
        <w:rPr>
          <w:noProof/>
        </w:rPr>
      </w:pPr>
      <w:r>
        <w:rPr>
          <w:noProof/>
        </w:rPr>
        <w:t xml:space="preserve">There have been measurable effects on reducing </w:t>
      </w:r>
      <w:r w:rsidR="002F6FFD">
        <w:rPr>
          <w:noProof/>
        </w:rPr>
        <w:t>the</w:t>
      </w:r>
      <w:r>
        <w:rPr>
          <w:noProof/>
        </w:rPr>
        <w:t xml:space="preserve"> reporting burden, thanks to t</w:t>
      </w:r>
      <w:r w:rsidR="00EE4D63" w:rsidRPr="00977B90">
        <w:rPr>
          <w:noProof/>
        </w:rPr>
        <w:t xml:space="preserve">he introduction of a modular approach, </w:t>
      </w:r>
      <w:r w:rsidR="00C41CFF" w:rsidRPr="00977B90">
        <w:rPr>
          <w:noProof/>
        </w:rPr>
        <w:t xml:space="preserve">the </w:t>
      </w:r>
      <w:r w:rsidR="00EE4D63" w:rsidRPr="00977B90">
        <w:rPr>
          <w:noProof/>
        </w:rPr>
        <w:t xml:space="preserve">collection of core data on small farms from </w:t>
      </w:r>
      <w:r w:rsidR="00C41CFF" w:rsidRPr="00977B90">
        <w:rPr>
          <w:noProof/>
        </w:rPr>
        <w:t xml:space="preserve">a </w:t>
      </w:r>
      <w:r w:rsidR="00EE4D63" w:rsidRPr="00977B90">
        <w:rPr>
          <w:noProof/>
        </w:rPr>
        <w:t>sample in the census year 2020</w:t>
      </w:r>
      <w:r w:rsidR="00C41CFF" w:rsidRPr="00977B90">
        <w:rPr>
          <w:rStyle w:val="FootnoteReference"/>
          <w:noProof/>
        </w:rPr>
        <w:footnoteReference w:id="10"/>
      </w:r>
      <w:r w:rsidR="00C41CFF" w:rsidRPr="00977B90">
        <w:rPr>
          <w:noProof/>
        </w:rPr>
        <w:t xml:space="preserve"> and</w:t>
      </w:r>
      <w:r w:rsidR="00EE4D63" w:rsidRPr="00977B90">
        <w:rPr>
          <w:noProof/>
        </w:rPr>
        <w:t xml:space="preserve"> </w:t>
      </w:r>
      <w:r w:rsidR="00C41CFF" w:rsidRPr="00977B90">
        <w:rPr>
          <w:noProof/>
        </w:rPr>
        <w:t>the</w:t>
      </w:r>
      <w:r w:rsidR="00EE4D63" w:rsidRPr="00977B90">
        <w:rPr>
          <w:noProof/>
        </w:rPr>
        <w:t xml:space="preserve"> promotion of the use of already</w:t>
      </w:r>
      <w:r w:rsidR="00D06132">
        <w:rPr>
          <w:noProof/>
        </w:rPr>
        <w:t>-</w:t>
      </w:r>
      <w:r w:rsidR="00EE4D63" w:rsidRPr="00977B90">
        <w:rPr>
          <w:noProof/>
        </w:rPr>
        <w:t xml:space="preserve">existing administrative data sources (mostly registers). In </w:t>
      </w:r>
      <w:r w:rsidR="000E6E81" w:rsidRPr="00977B90">
        <w:rPr>
          <w:noProof/>
        </w:rPr>
        <w:t>some countries</w:t>
      </w:r>
      <w:r w:rsidR="008F4EB7" w:rsidRPr="00977B90">
        <w:rPr>
          <w:noProof/>
        </w:rPr>
        <w:t xml:space="preserve">, </w:t>
      </w:r>
      <w:r w:rsidR="00F13608" w:rsidRPr="00977B90">
        <w:rPr>
          <w:noProof/>
        </w:rPr>
        <w:t xml:space="preserve">qualitative </w:t>
      </w:r>
      <w:r w:rsidR="000E6E81" w:rsidRPr="00977B90">
        <w:rPr>
          <w:noProof/>
        </w:rPr>
        <w:t xml:space="preserve">efficiency gains were </w:t>
      </w:r>
      <w:r w:rsidRPr="00977B90">
        <w:rPr>
          <w:noProof/>
        </w:rPr>
        <w:t xml:space="preserve">also </w:t>
      </w:r>
      <w:r w:rsidR="000E6E81" w:rsidRPr="00977B90">
        <w:rPr>
          <w:noProof/>
        </w:rPr>
        <w:t>observed</w:t>
      </w:r>
      <w:r w:rsidR="00C40E46" w:rsidRPr="00977B90">
        <w:rPr>
          <w:noProof/>
        </w:rPr>
        <w:t>, as mentioned in the national quality reports</w:t>
      </w:r>
      <w:r w:rsidR="000E6E81" w:rsidRPr="00977B90">
        <w:rPr>
          <w:noProof/>
        </w:rPr>
        <w:t>.</w:t>
      </w:r>
      <w:r w:rsidR="00461D33">
        <w:rPr>
          <w:noProof/>
        </w:rPr>
        <w:t xml:space="preserve"> </w:t>
      </w:r>
      <w:r w:rsidR="001D44D2" w:rsidRPr="00977B90">
        <w:rPr>
          <w:noProof/>
        </w:rPr>
        <w:t xml:space="preserve">Regulation (EU) 2018/1091 </w:t>
      </w:r>
      <w:r>
        <w:rPr>
          <w:noProof/>
        </w:rPr>
        <w:t>enabled</w:t>
      </w:r>
      <w:r w:rsidRPr="00977B90">
        <w:rPr>
          <w:noProof/>
        </w:rPr>
        <w:t xml:space="preserve"> </w:t>
      </w:r>
      <w:r w:rsidR="001D44D2" w:rsidRPr="00977B90">
        <w:rPr>
          <w:noProof/>
        </w:rPr>
        <w:t>countries to reduce burden.</w:t>
      </w:r>
    </w:p>
    <w:p w14:paraId="0B7A91AD" w14:textId="35A3F53F" w:rsidR="00382907" w:rsidRDefault="004C6353" w:rsidP="001C6FA6">
      <w:pPr>
        <w:rPr>
          <w:noProof/>
        </w:rPr>
      </w:pPr>
      <w:r w:rsidRPr="00977B90">
        <w:rPr>
          <w:noProof/>
        </w:rPr>
        <w:t>However, a</w:t>
      </w:r>
      <w:r w:rsidR="00AF67BD" w:rsidRPr="00977B90">
        <w:rPr>
          <w:noProof/>
        </w:rPr>
        <w:t xml:space="preserve"> quantitative burden reduction</w:t>
      </w:r>
      <w:r w:rsidR="00C40E46" w:rsidRPr="00977B90">
        <w:rPr>
          <w:noProof/>
        </w:rPr>
        <w:t xml:space="preserve"> in terms of costs or number of holdings</w:t>
      </w:r>
      <w:r w:rsidR="00AF67BD" w:rsidRPr="00977B90">
        <w:rPr>
          <w:noProof/>
        </w:rPr>
        <w:t xml:space="preserve"> </w:t>
      </w:r>
      <w:r w:rsidR="00C40E46" w:rsidRPr="00977B90">
        <w:rPr>
          <w:noProof/>
        </w:rPr>
        <w:t>cannot b</w:t>
      </w:r>
      <w:r w:rsidR="00AF67BD" w:rsidRPr="00977B90">
        <w:rPr>
          <w:noProof/>
        </w:rPr>
        <w:t>e meaningfully computed</w:t>
      </w:r>
      <w:r w:rsidR="00C40E46" w:rsidRPr="00977B90">
        <w:rPr>
          <w:noProof/>
        </w:rPr>
        <w:t xml:space="preserve"> </w:t>
      </w:r>
      <w:r w:rsidR="00A52C52">
        <w:rPr>
          <w:noProof/>
        </w:rPr>
        <w:t xml:space="preserve">by </w:t>
      </w:r>
      <w:r w:rsidR="00C40E46" w:rsidRPr="00977B90">
        <w:rPr>
          <w:noProof/>
        </w:rPr>
        <w:t>comparing</w:t>
      </w:r>
      <w:r w:rsidR="00A82FF6">
        <w:rPr>
          <w:noProof/>
        </w:rPr>
        <w:t xml:space="preserve"> the</w:t>
      </w:r>
      <w:r w:rsidR="00C40E46" w:rsidRPr="00977B90">
        <w:rPr>
          <w:noProof/>
        </w:rPr>
        <w:t xml:space="preserve"> 2020</w:t>
      </w:r>
      <w:r w:rsidR="00A82FF6">
        <w:rPr>
          <w:noProof/>
        </w:rPr>
        <w:t xml:space="preserve"> data collection</w:t>
      </w:r>
      <w:r w:rsidR="00C40E46" w:rsidRPr="00977B90">
        <w:rPr>
          <w:noProof/>
        </w:rPr>
        <w:t xml:space="preserve"> with the previous data collections</w:t>
      </w:r>
      <w:r w:rsidR="00AF67BD" w:rsidRPr="00977B90">
        <w:rPr>
          <w:noProof/>
        </w:rPr>
        <w:t xml:space="preserve">. </w:t>
      </w:r>
      <w:r w:rsidR="00AD78D4">
        <w:rPr>
          <w:noProof/>
        </w:rPr>
        <w:t>For</w:t>
      </w:r>
      <w:r w:rsidR="00644F77">
        <w:rPr>
          <w:noProof/>
        </w:rPr>
        <w:t xml:space="preserve"> </w:t>
      </w:r>
      <w:r w:rsidR="00C40E46" w:rsidRPr="00977B90">
        <w:rPr>
          <w:noProof/>
        </w:rPr>
        <w:t xml:space="preserve">one </w:t>
      </w:r>
      <w:r w:rsidR="00AD78D4">
        <w:rPr>
          <w:noProof/>
        </w:rPr>
        <w:t>thing</w:t>
      </w:r>
      <w:r w:rsidR="00C40E46" w:rsidRPr="00977B90">
        <w:rPr>
          <w:noProof/>
        </w:rPr>
        <w:t>, t</w:t>
      </w:r>
      <w:r w:rsidR="00AF67BD" w:rsidRPr="00977B90">
        <w:rPr>
          <w:noProof/>
        </w:rPr>
        <w:t>he form of European financing changed</w:t>
      </w:r>
      <w:r w:rsidR="00C40E46" w:rsidRPr="00977B90">
        <w:rPr>
          <w:noProof/>
        </w:rPr>
        <w:t xml:space="preserve"> in 2020</w:t>
      </w:r>
      <w:r w:rsidR="00AF67BD" w:rsidRPr="00977B90">
        <w:rPr>
          <w:noProof/>
        </w:rPr>
        <w:t xml:space="preserve"> and countries </w:t>
      </w:r>
      <w:r w:rsidR="00C40E46" w:rsidRPr="00977B90">
        <w:rPr>
          <w:noProof/>
        </w:rPr>
        <w:t>were encouraged to report for 2020</w:t>
      </w:r>
      <w:r w:rsidR="00AF67BD" w:rsidRPr="00977B90">
        <w:rPr>
          <w:noProof/>
        </w:rPr>
        <w:t xml:space="preserve"> the </w:t>
      </w:r>
      <w:r w:rsidR="00A32929" w:rsidRPr="00977B90">
        <w:rPr>
          <w:noProof/>
        </w:rPr>
        <w:t>entire</w:t>
      </w:r>
      <w:r w:rsidR="00AF67BD" w:rsidRPr="00977B90">
        <w:rPr>
          <w:noProof/>
        </w:rPr>
        <w:t xml:space="preserve"> costs to Eurostat. </w:t>
      </w:r>
      <w:r w:rsidR="00AD78D4">
        <w:rPr>
          <w:noProof/>
        </w:rPr>
        <w:t>For</w:t>
      </w:r>
      <w:r w:rsidR="00C40E46" w:rsidRPr="00977B90">
        <w:rPr>
          <w:noProof/>
        </w:rPr>
        <w:t xml:space="preserve"> </w:t>
      </w:r>
      <w:r w:rsidR="00AD78D4">
        <w:rPr>
          <w:noProof/>
        </w:rPr>
        <w:t>an</w:t>
      </w:r>
      <w:r w:rsidR="00C40E46" w:rsidRPr="00977B90">
        <w:rPr>
          <w:noProof/>
        </w:rPr>
        <w:t>other, t</w:t>
      </w:r>
      <w:r w:rsidR="00AF67BD" w:rsidRPr="00977B90">
        <w:rPr>
          <w:noProof/>
        </w:rPr>
        <w:t>he number of holdings decreased over time</w:t>
      </w:r>
      <w:r w:rsidR="00644F77">
        <w:rPr>
          <w:noProof/>
        </w:rPr>
        <w:t>,</w:t>
      </w:r>
      <w:r w:rsidR="00AF67BD" w:rsidRPr="00977B90">
        <w:rPr>
          <w:noProof/>
        </w:rPr>
        <w:t xml:space="preserve"> </w:t>
      </w:r>
      <w:r w:rsidR="00C40E46" w:rsidRPr="00977B90">
        <w:rPr>
          <w:noProof/>
        </w:rPr>
        <w:t xml:space="preserve">not only </w:t>
      </w:r>
      <w:r w:rsidR="00644F77">
        <w:rPr>
          <w:noProof/>
        </w:rPr>
        <w:t>due to</w:t>
      </w:r>
      <w:r w:rsidR="00C40E46" w:rsidRPr="00977B90">
        <w:rPr>
          <w:noProof/>
        </w:rPr>
        <w:t xml:space="preserve"> burden reduction but </w:t>
      </w:r>
      <w:r w:rsidR="00AF67BD" w:rsidRPr="00977B90">
        <w:rPr>
          <w:noProof/>
        </w:rPr>
        <w:t xml:space="preserve">also </w:t>
      </w:r>
      <w:r w:rsidR="00644F77">
        <w:rPr>
          <w:noProof/>
        </w:rPr>
        <w:t>to the</w:t>
      </w:r>
      <w:r w:rsidR="00AF67BD" w:rsidRPr="00977B90">
        <w:rPr>
          <w:noProof/>
        </w:rPr>
        <w:t xml:space="preserve"> concentration of agricultural activities, </w:t>
      </w:r>
      <w:r w:rsidR="00C40E46" w:rsidRPr="00977B90">
        <w:rPr>
          <w:noProof/>
        </w:rPr>
        <w:t>and the effects of these two factors cannot be clearly dissociated.</w:t>
      </w:r>
    </w:p>
    <w:p w14:paraId="3B12CE3F" w14:textId="4A2C3A3F" w:rsidR="000E6E81" w:rsidRPr="00977B90" w:rsidRDefault="000E6E81" w:rsidP="00530F2A">
      <w:pPr>
        <w:pStyle w:val="Heading1"/>
        <w:rPr>
          <w:noProof/>
        </w:rPr>
      </w:pPr>
      <w:bookmarkStart w:id="17" w:name="_Toc39845178"/>
      <w:r w:rsidRPr="00977B90">
        <w:rPr>
          <w:noProof/>
        </w:rPr>
        <w:t>Recommendations</w:t>
      </w:r>
      <w:bookmarkEnd w:id="17"/>
    </w:p>
    <w:p w14:paraId="087B297E" w14:textId="24066DDA" w:rsidR="00FD099E" w:rsidRPr="00977B90" w:rsidRDefault="00FD099E" w:rsidP="00FD099E">
      <w:pPr>
        <w:rPr>
          <w:noProof/>
        </w:rPr>
      </w:pPr>
      <w:r w:rsidRPr="00977B90">
        <w:rPr>
          <w:noProof/>
        </w:rPr>
        <w:t xml:space="preserve">Eurostat strives to continuously improve the quality and availability of European </w:t>
      </w:r>
      <w:r w:rsidR="00225845" w:rsidRPr="00977B90">
        <w:rPr>
          <w:noProof/>
        </w:rPr>
        <w:t>statistics</w:t>
      </w:r>
      <w:r w:rsidR="00225845">
        <w:rPr>
          <w:noProof/>
        </w:rPr>
        <w:t xml:space="preserve"> and</w:t>
      </w:r>
      <w:r w:rsidRPr="00977B90">
        <w:rPr>
          <w:noProof/>
        </w:rPr>
        <w:t xml:space="preserve"> is committed to reducing the burden on Member States and respondents.</w:t>
      </w:r>
      <w:r w:rsidR="007D47C7" w:rsidRPr="00977B90">
        <w:rPr>
          <w:noProof/>
        </w:rPr>
        <w:t xml:space="preserve"> This effort is </w:t>
      </w:r>
      <w:r w:rsidR="00A763CA">
        <w:rPr>
          <w:noProof/>
        </w:rPr>
        <w:t>w</w:t>
      </w:r>
      <w:r w:rsidR="007D47C7" w:rsidRPr="00977B90">
        <w:rPr>
          <w:noProof/>
        </w:rPr>
        <w:t>elcome</w:t>
      </w:r>
      <w:r w:rsidR="00644F77">
        <w:rPr>
          <w:noProof/>
        </w:rPr>
        <w:t>d</w:t>
      </w:r>
      <w:r w:rsidR="007D47C7" w:rsidRPr="00977B90">
        <w:rPr>
          <w:noProof/>
        </w:rPr>
        <w:t xml:space="preserve"> by data providers and should be continued in the future campaigns for farm structure data collection.</w:t>
      </w:r>
    </w:p>
    <w:p w14:paraId="53A11EE1" w14:textId="6C901E9A" w:rsidR="00207B6F" w:rsidRPr="00977B90" w:rsidRDefault="007D47C7" w:rsidP="00FD099E">
      <w:pPr>
        <w:rPr>
          <w:noProof/>
        </w:rPr>
      </w:pPr>
      <w:r w:rsidRPr="00977B90">
        <w:rPr>
          <w:noProof/>
        </w:rPr>
        <w:t xml:space="preserve">The complexity associated </w:t>
      </w:r>
      <w:r w:rsidR="00644F77">
        <w:rPr>
          <w:noProof/>
        </w:rPr>
        <w:t>with</w:t>
      </w:r>
      <w:r w:rsidR="00A82FF6">
        <w:rPr>
          <w:noProof/>
        </w:rPr>
        <w:t xml:space="preserve"> the post-processing of the</w:t>
      </w:r>
      <w:r w:rsidR="00644F77" w:rsidRPr="00977B90">
        <w:rPr>
          <w:noProof/>
        </w:rPr>
        <w:t xml:space="preserve"> </w:t>
      </w:r>
      <w:r w:rsidRPr="00977B90">
        <w:rPr>
          <w:noProof/>
        </w:rPr>
        <w:t>data</w:t>
      </w:r>
      <w:r w:rsidR="00A82FF6">
        <w:rPr>
          <w:noProof/>
        </w:rPr>
        <w:t>sets</w:t>
      </w:r>
      <w:r w:rsidR="008B7F34" w:rsidRPr="00977B90">
        <w:rPr>
          <w:noProof/>
        </w:rPr>
        <w:t xml:space="preserve"> </w:t>
      </w:r>
      <w:r w:rsidR="00644F77">
        <w:rPr>
          <w:noProof/>
        </w:rPr>
        <w:t>affects</w:t>
      </w:r>
      <w:r w:rsidR="00644F77" w:rsidRPr="00977B90">
        <w:rPr>
          <w:noProof/>
        </w:rPr>
        <w:t xml:space="preserve"> </w:t>
      </w:r>
      <w:r w:rsidR="008B7F34" w:rsidRPr="00977B90">
        <w:rPr>
          <w:noProof/>
        </w:rPr>
        <w:t xml:space="preserve">the </w:t>
      </w:r>
      <w:r w:rsidRPr="00977B90">
        <w:rPr>
          <w:noProof/>
        </w:rPr>
        <w:t>timely</w:t>
      </w:r>
      <w:r w:rsidR="008B7F34" w:rsidRPr="00977B90">
        <w:rPr>
          <w:noProof/>
        </w:rPr>
        <w:t xml:space="preserve"> publication of all aggregated indicator tables in Eurostat’s public database</w:t>
      </w:r>
      <w:r w:rsidR="00FD099E" w:rsidRPr="00977B90">
        <w:rPr>
          <w:noProof/>
        </w:rPr>
        <w:t>.</w:t>
      </w:r>
      <w:r w:rsidR="008B7F34" w:rsidRPr="00977B90">
        <w:rPr>
          <w:noProof/>
        </w:rPr>
        <w:t xml:space="preserve"> </w:t>
      </w:r>
      <w:r w:rsidR="00710621" w:rsidRPr="00977B90">
        <w:rPr>
          <w:noProof/>
        </w:rPr>
        <w:t>Eurostat is seeking</w:t>
      </w:r>
      <w:r w:rsidR="008B7F34" w:rsidRPr="00977B90">
        <w:rPr>
          <w:noProof/>
        </w:rPr>
        <w:t xml:space="preserve"> further automation to improve the timeliness of the dissemination of results.</w:t>
      </w:r>
    </w:p>
    <w:p w14:paraId="5C307B9F" w14:textId="5C152E7C" w:rsidR="00203D81" w:rsidRPr="00977B90" w:rsidRDefault="007D47C7" w:rsidP="00FD099E">
      <w:pPr>
        <w:rPr>
          <w:noProof/>
        </w:rPr>
      </w:pPr>
      <w:r w:rsidRPr="00977B90">
        <w:rPr>
          <w:noProof/>
        </w:rPr>
        <w:t>Integrated</w:t>
      </w:r>
      <w:r w:rsidR="00A763CA">
        <w:rPr>
          <w:noProof/>
        </w:rPr>
        <w:t xml:space="preserve"> </w:t>
      </w:r>
      <w:r w:rsidR="00AD78D4">
        <w:rPr>
          <w:noProof/>
        </w:rPr>
        <w:t>f</w:t>
      </w:r>
      <w:r w:rsidRPr="00977B90">
        <w:rPr>
          <w:noProof/>
        </w:rPr>
        <w:t xml:space="preserve">arm </w:t>
      </w:r>
      <w:r w:rsidR="00AD78D4">
        <w:rPr>
          <w:noProof/>
        </w:rPr>
        <w:t>s</w:t>
      </w:r>
      <w:r w:rsidRPr="00977B90">
        <w:rPr>
          <w:noProof/>
        </w:rPr>
        <w:t xml:space="preserve">tatistics data are widely used by </w:t>
      </w:r>
      <w:r w:rsidR="00A763CA" w:rsidRPr="00977B90">
        <w:rPr>
          <w:noProof/>
        </w:rPr>
        <w:t>policy</w:t>
      </w:r>
      <w:r w:rsidR="00A763CA">
        <w:rPr>
          <w:noProof/>
        </w:rPr>
        <w:t>makers</w:t>
      </w:r>
      <w:r w:rsidRPr="00977B90">
        <w:rPr>
          <w:noProof/>
        </w:rPr>
        <w:t xml:space="preserve"> </w:t>
      </w:r>
      <w:r w:rsidR="00644F77">
        <w:rPr>
          <w:noProof/>
        </w:rPr>
        <w:t>to</w:t>
      </w:r>
      <w:r w:rsidR="00644F77" w:rsidRPr="00977B90">
        <w:rPr>
          <w:noProof/>
        </w:rPr>
        <w:t xml:space="preserve"> </w:t>
      </w:r>
      <w:r w:rsidRPr="00977B90">
        <w:rPr>
          <w:noProof/>
        </w:rPr>
        <w:t xml:space="preserve">monitor the implementation of European policies such as the CAP. </w:t>
      </w:r>
      <w:r w:rsidR="000B62C6" w:rsidRPr="00977B90">
        <w:rPr>
          <w:noProof/>
        </w:rPr>
        <w:t xml:space="preserve">It is recommended that farm structure data collections </w:t>
      </w:r>
      <w:r w:rsidR="00225845">
        <w:rPr>
          <w:noProof/>
        </w:rPr>
        <w:t>are</w:t>
      </w:r>
      <w:r w:rsidR="00F7170B" w:rsidRPr="00977B90">
        <w:rPr>
          <w:noProof/>
        </w:rPr>
        <w:t xml:space="preserve"> kept</w:t>
      </w:r>
      <w:r w:rsidR="00A82FF6">
        <w:rPr>
          <w:noProof/>
        </w:rPr>
        <w:t xml:space="preserve"> for the upcoming campaign, covering years 2030-2040</w:t>
      </w:r>
      <w:r w:rsidR="00F7170B" w:rsidRPr="00977B90">
        <w:rPr>
          <w:noProof/>
        </w:rPr>
        <w:t>.</w:t>
      </w:r>
    </w:p>
    <w:p w14:paraId="71BE7C3D" w14:textId="6BEE4EF3" w:rsidR="007D47C7" w:rsidRPr="00977B90" w:rsidRDefault="000B62C6" w:rsidP="00FD099E">
      <w:pPr>
        <w:rPr>
          <w:noProof/>
        </w:rPr>
      </w:pPr>
      <w:r w:rsidRPr="00977B90">
        <w:rPr>
          <w:noProof/>
        </w:rPr>
        <w:t xml:space="preserve">The total EU contributions paid to the Member States represent a financing rate of 13.25% of the estimated total eligible costs. It is recommended that the EU support </w:t>
      </w:r>
      <w:r w:rsidR="00F61299" w:rsidRPr="00977B90">
        <w:rPr>
          <w:noProof/>
        </w:rPr>
        <w:t>be</w:t>
      </w:r>
      <w:r w:rsidRPr="00977B90">
        <w:rPr>
          <w:noProof/>
        </w:rPr>
        <w:t xml:space="preserve"> </w:t>
      </w:r>
      <w:r w:rsidR="00644F77">
        <w:rPr>
          <w:noProof/>
        </w:rPr>
        <w:t>maintained</w:t>
      </w:r>
      <w:r w:rsidR="00644F77" w:rsidRPr="00977B90">
        <w:rPr>
          <w:noProof/>
        </w:rPr>
        <w:t xml:space="preserve"> </w:t>
      </w:r>
      <w:r w:rsidRPr="00977B90">
        <w:rPr>
          <w:noProof/>
        </w:rPr>
        <w:t>in upcoming data collection campaigns.</w:t>
      </w:r>
    </w:p>
    <w:sectPr w:rsidR="007D47C7" w:rsidRPr="00977B90" w:rsidSect="00E02FDD">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C7045" w14:textId="77777777" w:rsidR="004517FF" w:rsidRPr="00977B90" w:rsidRDefault="004517FF" w:rsidP="00530F2A">
      <w:r w:rsidRPr="00977B90">
        <w:separator/>
      </w:r>
    </w:p>
    <w:p w14:paraId="3D3BCA6D" w14:textId="77777777" w:rsidR="004517FF" w:rsidRPr="00977B90" w:rsidRDefault="004517FF" w:rsidP="00530F2A"/>
  </w:endnote>
  <w:endnote w:type="continuationSeparator" w:id="0">
    <w:p w14:paraId="397753D5" w14:textId="77777777" w:rsidR="004517FF" w:rsidRPr="00977B90" w:rsidRDefault="004517FF" w:rsidP="00530F2A">
      <w:r w:rsidRPr="00977B90">
        <w:continuationSeparator/>
      </w:r>
    </w:p>
    <w:p w14:paraId="31D7E34D" w14:textId="77777777" w:rsidR="004517FF" w:rsidRPr="00977B90" w:rsidRDefault="004517FF" w:rsidP="00530F2A"/>
  </w:endnote>
  <w:endnote w:type="continuationNotice" w:id="1">
    <w:p w14:paraId="74CF23DA" w14:textId="77777777" w:rsidR="004517FF" w:rsidRDefault="004517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E1B48" w14:textId="2E9F2E30" w:rsidR="009558C7" w:rsidRPr="009558C7" w:rsidRDefault="009558C7" w:rsidP="009558C7">
    <w:pPr>
      <w:pStyle w:val="FooterCoverPage"/>
      <w:rPr>
        <w:rFonts w:ascii="Arial" w:hAnsi="Arial" w:cs="Arial"/>
        <w:b/>
        <w:sz w:val="48"/>
      </w:rPr>
    </w:pPr>
    <w:r w:rsidRPr="009558C7">
      <w:rPr>
        <w:rFonts w:ascii="Arial" w:hAnsi="Arial" w:cs="Arial"/>
        <w:b/>
        <w:sz w:val="48"/>
      </w:rPr>
      <w:t>EN</w:t>
    </w:r>
    <w:r w:rsidRPr="009558C7">
      <w:rPr>
        <w:rFonts w:ascii="Arial" w:hAnsi="Arial" w:cs="Arial"/>
        <w:b/>
        <w:sz w:val="48"/>
      </w:rPr>
      <w:tab/>
    </w:r>
    <w:r w:rsidRPr="009558C7">
      <w:rPr>
        <w:rFonts w:ascii="Arial" w:hAnsi="Arial" w:cs="Arial"/>
        <w:b/>
        <w:sz w:val="48"/>
      </w:rPr>
      <w:tab/>
    </w:r>
    <w:r w:rsidRPr="009558C7">
      <w:tab/>
    </w:r>
    <w:r w:rsidRPr="009558C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CC8D" w14:textId="7A54FE3B" w:rsidR="009558C7" w:rsidRPr="009558C7" w:rsidRDefault="009558C7" w:rsidP="009558C7">
    <w:pPr>
      <w:pStyle w:val="FooterCoverPage"/>
      <w:rPr>
        <w:rFonts w:ascii="Arial" w:hAnsi="Arial" w:cs="Arial"/>
        <w:b/>
        <w:sz w:val="48"/>
      </w:rPr>
    </w:pPr>
    <w:r w:rsidRPr="009558C7">
      <w:rPr>
        <w:rFonts w:ascii="Arial" w:hAnsi="Arial" w:cs="Arial"/>
        <w:b/>
        <w:sz w:val="48"/>
      </w:rPr>
      <w:t>EN</w:t>
    </w:r>
    <w:r w:rsidRPr="009558C7">
      <w:rPr>
        <w:rFonts w:ascii="Arial" w:hAnsi="Arial" w:cs="Arial"/>
        <w:b/>
        <w:sz w:val="48"/>
      </w:rPr>
      <w:tab/>
    </w:r>
    <w:r w:rsidRPr="009558C7">
      <w:rPr>
        <w:rFonts w:ascii="Arial" w:hAnsi="Arial" w:cs="Arial"/>
        <w:b/>
        <w:sz w:val="48"/>
      </w:rPr>
      <w:tab/>
    </w:r>
    <w:r w:rsidRPr="009558C7">
      <w:tab/>
    </w:r>
    <w:r w:rsidRPr="009558C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3B20F" w14:textId="77777777" w:rsidR="009558C7" w:rsidRPr="009558C7" w:rsidRDefault="009558C7" w:rsidP="009558C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3EBC9" w14:textId="77777777" w:rsidR="00E02FDD" w:rsidRPr="00977B90" w:rsidRDefault="00E02FDD" w:rsidP="00530F2A">
    <w:pPr>
      <w:pStyle w:val="Footer"/>
    </w:pPr>
  </w:p>
  <w:p w14:paraId="232F1E94" w14:textId="77777777" w:rsidR="002C5810" w:rsidRPr="00977B90" w:rsidRDefault="002C5810" w:rsidP="00530F2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324377"/>
      <w:docPartObj>
        <w:docPartGallery w:val="Page Numbers (Bottom of Page)"/>
        <w:docPartUnique/>
      </w:docPartObj>
    </w:sdtPr>
    <w:sdtEndPr>
      <w:rPr>
        <w:noProof/>
      </w:rPr>
    </w:sdtEndPr>
    <w:sdtContent>
      <w:p w14:paraId="23D5EB15" w14:textId="041F42C5" w:rsidR="004E5E48" w:rsidRDefault="004E5E48">
        <w:pPr>
          <w:pStyle w:val="Footer"/>
          <w:jc w:val="center"/>
        </w:pPr>
        <w:r>
          <w:fldChar w:fldCharType="begin"/>
        </w:r>
        <w:r>
          <w:instrText xml:space="preserve"> PAGE   \* MERGEFORMAT </w:instrText>
        </w:r>
        <w:r>
          <w:fldChar w:fldCharType="separate"/>
        </w:r>
        <w:r w:rsidR="009558C7">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D72BD" w14:textId="77777777" w:rsidR="00E02FDD" w:rsidRPr="00977B90" w:rsidRDefault="00E02FDD" w:rsidP="00530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3D276" w14:textId="77777777" w:rsidR="004517FF" w:rsidRPr="00977B90" w:rsidRDefault="004517FF" w:rsidP="00530F2A">
      <w:r w:rsidRPr="00977B90">
        <w:separator/>
      </w:r>
    </w:p>
    <w:p w14:paraId="635DDA1F" w14:textId="77777777" w:rsidR="004517FF" w:rsidRPr="00977B90" w:rsidRDefault="004517FF" w:rsidP="00530F2A"/>
  </w:footnote>
  <w:footnote w:type="continuationSeparator" w:id="0">
    <w:p w14:paraId="0254912B" w14:textId="77777777" w:rsidR="004517FF" w:rsidRPr="00977B90" w:rsidRDefault="004517FF" w:rsidP="00530F2A">
      <w:r w:rsidRPr="00977B90">
        <w:continuationSeparator/>
      </w:r>
    </w:p>
    <w:p w14:paraId="0151C537" w14:textId="77777777" w:rsidR="004517FF" w:rsidRPr="00977B90" w:rsidRDefault="004517FF" w:rsidP="00530F2A"/>
  </w:footnote>
  <w:footnote w:type="continuationNotice" w:id="1">
    <w:p w14:paraId="6D86E94E" w14:textId="77777777" w:rsidR="004517FF" w:rsidRDefault="004517FF">
      <w:pPr>
        <w:spacing w:after="0"/>
      </w:pPr>
    </w:p>
  </w:footnote>
  <w:footnote w:id="2">
    <w:p w14:paraId="467301DA" w14:textId="22C96D67" w:rsidR="00D202A6" w:rsidRPr="000A2BC7" w:rsidRDefault="000E6E81" w:rsidP="00530F2A">
      <w:pPr>
        <w:pStyle w:val="FootnoteText"/>
      </w:pPr>
      <w:r w:rsidRPr="000A2BC7">
        <w:rPr>
          <w:rStyle w:val="FootnoteReference"/>
        </w:rPr>
        <w:footnoteRef/>
      </w:r>
      <w:r w:rsidRPr="000A2BC7">
        <w:t xml:space="preserve"> </w:t>
      </w:r>
      <w:hyperlink r:id="rId1" w:history="1">
        <w:r w:rsidR="00010601" w:rsidRPr="000A2BC7">
          <w:rPr>
            <w:rStyle w:val="Hyperlink"/>
          </w:rPr>
          <w:t>Regulation (EU) 2018/1091 of the European Parliament and of the Council of 18 July 2018 on integrated farm statistics and repealing Regulations (EC) No 1166/2008 and (EU) No 1337/2011 (Text with EEA relevance)</w:t>
        </w:r>
        <w:r w:rsidR="00E14595" w:rsidRPr="000A2BC7">
          <w:rPr>
            <w:rStyle w:val="Hyperlink"/>
          </w:rPr>
          <w:t xml:space="preserve">, </w:t>
        </w:r>
        <w:r w:rsidR="00010601" w:rsidRPr="000A2BC7">
          <w:rPr>
            <w:rStyle w:val="Hyperlink"/>
          </w:rPr>
          <w:t>OJ L 200, 7.8.2018, p. 1–29</w:t>
        </w:r>
      </w:hyperlink>
      <w:r w:rsidR="006539F9" w:rsidRPr="000A2BC7">
        <w:rPr>
          <w:rStyle w:val="Hyperlink"/>
        </w:rPr>
        <w:t>..</w:t>
      </w:r>
    </w:p>
  </w:footnote>
  <w:footnote w:id="3">
    <w:p w14:paraId="67E28F0E" w14:textId="07770AB9" w:rsidR="002D6E88" w:rsidRPr="000A2BC7" w:rsidRDefault="002D6E88">
      <w:pPr>
        <w:pStyle w:val="FootnoteText"/>
      </w:pPr>
      <w:r w:rsidRPr="000A2BC7">
        <w:rPr>
          <w:rStyle w:val="FootnoteReference"/>
        </w:rPr>
        <w:footnoteRef/>
      </w:r>
      <w:r w:rsidRPr="000A2BC7">
        <w:t xml:space="preserve"> </w:t>
      </w:r>
      <w:r w:rsidR="00193760" w:rsidRPr="000A2BC7">
        <w:t>For Portugal, t</w:t>
      </w:r>
      <w:r w:rsidRPr="000A2BC7">
        <w:t xml:space="preserve">he reference period for the </w:t>
      </w:r>
      <w:r w:rsidR="00C54E4A" w:rsidRPr="000A2BC7">
        <w:t>a</w:t>
      </w:r>
      <w:r w:rsidRPr="000A2BC7">
        <w:t xml:space="preserve">gricultural </w:t>
      </w:r>
      <w:r w:rsidR="00C54E4A" w:rsidRPr="000A2BC7">
        <w:t>c</w:t>
      </w:r>
      <w:r w:rsidRPr="000A2BC7">
        <w:t>ensus is 2019 (derogation requested and accepted under Article</w:t>
      </w:r>
      <w:r w:rsidR="00977B90" w:rsidRPr="000A2BC7">
        <w:t> </w:t>
      </w:r>
      <w:r w:rsidRPr="000A2BC7">
        <w:t>19 of Regulation (EU) 2018/1091)</w:t>
      </w:r>
      <w:r w:rsidR="00193760" w:rsidRPr="000A2BC7">
        <w:t>;</w:t>
      </w:r>
      <w:r w:rsidRPr="000A2BC7">
        <w:t xml:space="preserve"> </w:t>
      </w:r>
      <w:r w:rsidR="00193760" w:rsidRPr="000A2BC7">
        <w:t>for all the other reporting countries, the reference period is</w:t>
      </w:r>
      <w:r w:rsidRPr="000A2BC7">
        <w:t xml:space="preserve"> 2020.</w:t>
      </w:r>
    </w:p>
  </w:footnote>
  <w:footnote w:id="4">
    <w:p w14:paraId="11189C36" w14:textId="5C3C13BA" w:rsidR="00E14595" w:rsidRPr="000A2BC7" w:rsidRDefault="00E14595" w:rsidP="00A763CA">
      <w:pPr>
        <w:pStyle w:val="FootnoteText"/>
        <w:widowControl w:val="0"/>
      </w:pPr>
      <w:r w:rsidRPr="000A2BC7">
        <w:rPr>
          <w:rStyle w:val="FootnoteReference"/>
        </w:rPr>
        <w:footnoteRef/>
      </w:r>
      <w:r w:rsidRPr="000A2BC7">
        <w:t xml:space="preserve"> Commission Regulation (EU) No 557/2013 of 17 June 2013 implementing Regulation (EC) No 223/2009 of the European Parliament and of the Council on European Statistics as regards access to confidential data for scientific purposes and repealing Commission Regulation (EC) No 831/2002 (Text with EEA relevance), OJ L 164, 18.6.2013, p.</w:t>
      </w:r>
      <w:r w:rsidR="00977B90" w:rsidRPr="000A2BC7">
        <w:rPr>
          <w:iCs/>
        </w:rPr>
        <w:t> </w:t>
      </w:r>
      <w:r w:rsidRPr="000A2BC7">
        <w:t>16.</w:t>
      </w:r>
    </w:p>
  </w:footnote>
  <w:footnote w:id="5">
    <w:p w14:paraId="67A81BBF" w14:textId="77777777" w:rsidR="00A82FF6" w:rsidRPr="000A2BC7" w:rsidRDefault="00A82FF6" w:rsidP="00A82FF6">
      <w:pPr>
        <w:pStyle w:val="FootnoteText"/>
      </w:pPr>
      <w:r w:rsidRPr="000A2BC7">
        <w:rPr>
          <w:rStyle w:val="FootnoteReference"/>
        </w:rPr>
        <w:footnoteRef/>
      </w:r>
      <w:r w:rsidRPr="000A2BC7">
        <w:t xml:space="preserve"> For details on the use of administrative data sources by countries for each collected variable, metadata is available on Eurostat website under </w:t>
      </w:r>
      <w:hyperlink r:id="rId2" w:history="1">
        <w:r w:rsidRPr="000A2BC7">
          <w:rPr>
            <w:rStyle w:val="Hyperlink"/>
          </w:rPr>
          <w:t>https://ec.europa.eu/eurostat/web/agriculture/data/ancillary-data</w:t>
        </w:r>
      </w:hyperlink>
      <w:r w:rsidRPr="000A2BC7">
        <w:t xml:space="preserve"> (use of administrative data sources)</w:t>
      </w:r>
    </w:p>
  </w:footnote>
  <w:footnote w:id="6">
    <w:p w14:paraId="2EF3CAF0" w14:textId="103085D1" w:rsidR="00477928" w:rsidRPr="000A2BC7" w:rsidRDefault="00477928">
      <w:pPr>
        <w:pStyle w:val="FootnoteText"/>
      </w:pPr>
      <w:r w:rsidRPr="000A2BC7">
        <w:rPr>
          <w:rStyle w:val="FootnoteReference"/>
        </w:rPr>
        <w:footnoteRef/>
      </w:r>
      <w:r w:rsidRPr="000A2BC7">
        <w:t xml:space="preserve"> </w:t>
      </w:r>
      <w:hyperlink r:id="rId3" w:history="1">
        <w:r w:rsidRPr="000A2BC7">
          <w:rPr>
            <w:rStyle w:val="Hyperlink"/>
          </w:rPr>
          <w:t>https://www.iweps.be/wp-content/uploads/2023/03/2023March_NTTS-New-Techniques-and-Technologies-for-Statistics-Eurostat-book_of_abstracts.pdf</w:t>
        </w:r>
      </w:hyperlink>
      <w:r w:rsidRPr="000A2BC7">
        <w:t xml:space="preserve"> (Lampach, N. (2023) Strategy to Modernise Agricultural Statistics: New Pathways for the Future (abstract), p. 484-487)</w:t>
      </w:r>
    </w:p>
  </w:footnote>
  <w:footnote w:id="7">
    <w:p w14:paraId="72371160" w14:textId="372FF3EC" w:rsidR="00FD6FD8" w:rsidRPr="000A2BC7" w:rsidRDefault="00FD6FD8" w:rsidP="00530F2A">
      <w:pPr>
        <w:pStyle w:val="FootnoteText"/>
      </w:pPr>
      <w:r w:rsidRPr="000A2BC7">
        <w:rPr>
          <w:rStyle w:val="FootnoteReference"/>
        </w:rPr>
        <w:footnoteRef/>
      </w:r>
      <w:r w:rsidRPr="000A2BC7">
        <w:t xml:space="preserve"> </w:t>
      </w:r>
      <w:hyperlink r:id="rId4" w:history="1">
        <w:r w:rsidRPr="000A2BC7">
          <w:rPr>
            <w:rStyle w:val="Hyperlink"/>
          </w:rPr>
          <w:t>http://ec.europa.eu/eurostat/data/database</w:t>
        </w:r>
      </w:hyperlink>
    </w:p>
  </w:footnote>
  <w:footnote w:id="8">
    <w:p w14:paraId="5E791783" w14:textId="5C4F1521" w:rsidR="00710621" w:rsidRPr="000A2BC7" w:rsidRDefault="00710621" w:rsidP="00710621">
      <w:pPr>
        <w:pStyle w:val="FootnoteText"/>
      </w:pPr>
      <w:r w:rsidRPr="000A2BC7">
        <w:rPr>
          <w:rStyle w:val="FootnoteReference"/>
        </w:rPr>
        <w:footnoteRef/>
      </w:r>
      <w:r w:rsidRPr="000A2BC7">
        <w:t xml:space="preserve"> Even if the 2020 grant application </w:t>
      </w:r>
      <w:r w:rsidR="00A52C52" w:rsidRPr="000A2BC7">
        <w:t xml:space="preserve">provided </w:t>
      </w:r>
      <w:r w:rsidRPr="000A2BC7">
        <w:t xml:space="preserve">a good opportunity to report the entire costs, some national bodies did not do </w:t>
      </w:r>
      <w:r w:rsidR="00644F77" w:rsidRPr="000A2BC7">
        <w:t>so</w:t>
      </w:r>
      <w:r w:rsidRPr="000A2BC7">
        <w:t>.</w:t>
      </w:r>
    </w:p>
  </w:footnote>
  <w:footnote w:id="9">
    <w:p w14:paraId="256E79FF" w14:textId="20BC6BCF" w:rsidR="00625FEB" w:rsidRPr="000A2BC7" w:rsidRDefault="00625FEB" w:rsidP="00625FEB">
      <w:pPr>
        <w:pStyle w:val="FootnoteText"/>
      </w:pPr>
      <w:r w:rsidRPr="000A2BC7">
        <w:rPr>
          <w:rStyle w:val="FootnoteReference"/>
        </w:rPr>
        <w:footnoteRef/>
      </w:r>
      <w:r w:rsidRPr="000A2BC7">
        <w:t xml:space="preserve"> European Commission, Eurostat</w:t>
      </w:r>
      <w:r w:rsidR="00A52C52" w:rsidRPr="000A2BC7">
        <w:t>,</w:t>
      </w:r>
      <w:r w:rsidRPr="000A2BC7">
        <w:t xml:space="preserve"> </w:t>
      </w:r>
      <w:r w:rsidR="00977B90" w:rsidRPr="000A2BC7">
        <w:t>‘</w:t>
      </w:r>
      <w:r w:rsidRPr="000A2BC7">
        <w:t>Decision authorising the use of a single lump sum contribution for the core structural data, frame extension and module data collections under the Integrated Farm Statistics</w:t>
      </w:r>
    </w:p>
    <w:p w14:paraId="1A4B00E8" w14:textId="5AAF0667" w:rsidR="00625FEB" w:rsidRPr="000A2BC7" w:rsidRDefault="00625FEB" w:rsidP="00625FEB">
      <w:pPr>
        <w:pStyle w:val="FootnoteText"/>
      </w:pPr>
      <w:r w:rsidRPr="000A2BC7">
        <w:t>Programme</w:t>
      </w:r>
      <w:r w:rsidR="00977B90" w:rsidRPr="000A2BC7">
        <w:t>’</w:t>
      </w:r>
      <w:r w:rsidRPr="000A2BC7">
        <w:t>.</w:t>
      </w:r>
    </w:p>
  </w:footnote>
  <w:footnote w:id="10">
    <w:p w14:paraId="71AC8AAA" w14:textId="1AB4AF79" w:rsidR="00C41CFF" w:rsidRPr="000A2BC7" w:rsidRDefault="00C41CFF">
      <w:pPr>
        <w:pStyle w:val="FootnoteText"/>
      </w:pPr>
      <w:r w:rsidRPr="000A2BC7">
        <w:rPr>
          <w:rStyle w:val="FootnoteReference"/>
        </w:rPr>
        <w:footnoteRef/>
      </w:r>
      <w:r w:rsidRPr="000A2BC7">
        <w:t xml:space="preserve"> In </w:t>
      </w:r>
      <w:r w:rsidR="00644F77" w:rsidRPr="000A2BC7">
        <w:t xml:space="preserve">the 2023 and 2026 </w:t>
      </w:r>
      <w:r w:rsidRPr="000A2BC7">
        <w:t>sample years</w:t>
      </w:r>
      <w:r w:rsidR="000A2BC7" w:rsidRPr="000A2BC7">
        <w:t>,</w:t>
      </w:r>
      <w:r w:rsidRPr="000A2BC7">
        <w:t xml:space="preserve"> module data on small farms </w:t>
      </w:r>
      <w:r w:rsidR="00A52C52" w:rsidRPr="000A2BC7">
        <w:t xml:space="preserve">are </w:t>
      </w:r>
      <w:r w:rsidRPr="000A2BC7">
        <w:t>not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A1E5" w14:textId="77777777" w:rsidR="009558C7" w:rsidRPr="009558C7" w:rsidRDefault="009558C7" w:rsidP="009558C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B7D94" w14:textId="77777777" w:rsidR="009558C7" w:rsidRPr="009558C7" w:rsidRDefault="009558C7" w:rsidP="009558C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6545C" w14:textId="77777777" w:rsidR="009558C7" w:rsidRPr="009558C7" w:rsidRDefault="009558C7" w:rsidP="009558C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1365C" w14:textId="77777777" w:rsidR="00E02FDD" w:rsidRPr="00977B90" w:rsidRDefault="00E02FDD" w:rsidP="00530F2A">
    <w:pPr>
      <w:pStyle w:val="Header"/>
    </w:pPr>
  </w:p>
  <w:p w14:paraId="3177593D" w14:textId="77777777" w:rsidR="002C5810" w:rsidRPr="00977B90" w:rsidRDefault="002C5810" w:rsidP="00530F2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9933" w14:textId="77777777" w:rsidR="00E02FDD" w:rsidRPr="00977B90" w:rsidRDefault="00E02FDD" w:rsidP="00530F2A">
    <w:pPr>
      <w:pStyle w:val="Header"/>
    </w:pPr>
  </w:p>
  <w:p w14:paraId="474E27C3" w14:textId="77777777" w:rsidR="002C5810" w:rsidRPr="00977B90" w:rsidRDefault="002C5810" w:rsidP="00530F2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F7A08" w14:textId="77777777" w:rsidR="00E02FDD" w:rsidRPr="00977B90" w:rsidRDefault="00E02FDD" w:rsidP="00530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73D3"/>
    <w:multiLevelType w:val="hybridMultilevel"/>
    <w:tmpl w:val="65A2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B7E73"/>
    <w:multiLevelType w:val="hybridMultilevel"/>
    <w:tmpl w:val="8C004C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CFE7AE9"/>
    <w:multiLevelType w:val="hybridMultilevel"/>
    <w:tmpl w:val="361E7A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02270"/>
    <w:multiLevelType w:val="hybridMultilevel"/>
    <w:tmpl w:val="C108E310"/>
    <w:lvl w:ilvl="0" w:tplc="62CE0DB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F32EF"/>
    <w:multiLevelType w:val="hybridMultilevel"/>
    <w:tmpl w:val="5490A2BE"/>
    <w:lvl w:ilvl="0" w:tplc="D52A561C">
      <w:start w:val="1"/>
      <w:numFmt w:val="decimal"/>
      <w:lvlText w:val="%1."/>
      <w:lvlJc w:val="left"/>
      <w:pPr>
        <w:ind w:left="1440" w:hanging="360"/>
      </w:pPr>
    </w:lvl>
    <w:lvl w:ilvl="1" w:tplc="CE482BE4">
      <w:start w:val="1"/>
      <w:numFmt w:val="decimal"/>
      <w:lvlText w:val="%2."/>
      <w:lvlJc w:val="left"/>
      <w:pPr>
        <w:ind w:left="1440" w:hanging="360"/>
      </w:pPr>
    </w:lvl>
    <w:lvl w:ilvl="2" w:tplc="124C7568">
      <w:start w:val="1"/>
      <w:numFmt w:val="decimal"/>
      <w:lvlText w:val="%3."/>
      <w:lvlJc w:val="left"/>
      <w:pPr>
        <w:ind w:left="1440" w:hanging="360"/>
      </w:pPr>
    </w:lvl>
    <w:lvl w:ilvl="3" w:tplc="A01E3576">
      <w:start w:val="1"/>
      <w:numFmt w:val="decimal"/>
      <w:lvlText w:val="%4."/>
      <w:lvlJc w:val="left"/>
      <w:pPr>
        <w:ind w:left="1440" w:hanging="360"/>
      </w:pPr>
    </w:lvl>
    <w:lvl w:ilvl="4" w:tplc="513842F4">
      <w:start w:val="1"/>
      <w:numFmt w:val="decimal"/>
      <w:lvlText w:val="%5."/>
      <w:lvlJc w:val="left"/>
      <w:pPr>
        <w:ind w:left="1440" w:hanging="360"/>
      </w:pPr>
    </w:lvl>
    <w:lvl w:ilvl="5" w:tplc="FD46F084">
      <w:start w:val="1"/>
      <w:numFmt w:val="decimal"/>
      <w:lvlText w:val="%6."/>
      <w:lvlJc w:val="left"/>
      <w:pPr>
        <w:ind w:left="1440" w:hanging="360"/>
      </w:pPr>
    </w:lvl>
    <w:lvl w:ilvl="6" w:tplc="816ECB80">
      <w:start w:val="1"/>
      <w:numFmt w:val="decimal"/>
      <w:lvlText w:val="%7."/>
      <w:lvlJc w:val="left"/>
      <w:pPr>
        <w:ind w:left="1440" w:hanging="360"/>
      </w:pPr>
    </w:lvl>
    <w:lvl w:ilvl="7" w:tplc="916A2C9E">
      <w:start w:val="1"/>
      <w:numFmt w:val="decimal"/>
      <w:lvlText w:val="%8."/>
      <w:lvlJc w:val="left"/>
      <w:pPr>
        <w:ind w:left="1440" w:hanging="360"/>
      </w:pPr>
    </w:lvl>
    <w:lvl w:ilvl="8" w:tplc="1F369EA2">
      <w:start w:val="1"/>
      <w:numFmt w:val="decimal"/>
      <w:lvlText w:val="%9."/>
      <w:lvlJc w:val="left"/>
      <w:pPr>
        <w:ind w:left="1440" w:hanging="360"/>
      </w:pPr>
    </w:lvl>
  </w:abstractNum>
  <w:abstractNum w:abstractNumId="5" w15:restartNumberingAfterBreak="0">
    <w:nsid w:val="261D68E4"/>
    <w:multiLevelType w:val="hybridMultilevel"/>
    <w:tmpl w:val="8B5CD5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EA82239"/>
    <w:multiLevelType w:val="multilevel"/>
    <w:tmpl w:val="081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EF80363"/>
    <w:multiLevelType w:val="hybridMultilevel"/>
    <w:tmpl w:val="716A930C"/>
    <w:lvl w:ilvl="0" w:tplc="782004B8">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41C55808"/>
    <w:multiLevelType w:val="hybridMultilevel"/>
    <w:tmpl w:val="3604C22E"/>
    <w:lvl w:ilvl="0" w:tplc="80104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1233AF"/>
    <w:multiLevelType w:val="hybridMultilevel"/>
    <w:tmpl w:val="18748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31538"/>
    <w:multiLevelType w:val="hybridMultilevel"/>
    <w:tmpl w:val="5C64E316"/>
    <w:lvl w:ilvl="0" w:tplc="4F8AF6D8">
      <w:start w:val="1"/>
      <w:numFmt w:val="decimal"/>
      <w:lvlText w:val="%1."/>
      <w:lvlJc w:val="left"/>
      <w:pPr>
        <w:ind w:left="1440" w:hanging="360"/>
      </w:pPr>
    </w:lvl>
    <w:lvl w:ilvl="1" w:tplc="44FA7646">
      <w:start w:val="1"/>
      <w:numFmt w:val="decimal"/>
      <w:lvlText w:val="%2."/>
      <w:lvlJc w:val="left"/>
      <w:pPr>
        <w:ind w:left="1440" w:hanging="360"/>
      </w:pPr>
    </w:lvl>
    <w:lvl w:ilvl="2" w:tplc="EE4446CA">
      <w:start w:val="1"/>
      <w:numFmt w:val="decimal"/>
      <w:lvlText w:val="%3."/>
      <w:lvlJc w:val="left"/>
      <w:pPr>
        <w:ind w:left="1440" w:hanging="360"/>
      </w:pPr>
    </w:lvl>
    <w:lvl w:ilvl="3" w:tplc="FFACED2E">
      <w:start w:val="1"/>
      <w:numFmt w:val="decimal"/>
      <w:lvlText w:val="%4."/>
      <w:lvlJc w:val="left"/>
      <w:pPr>
        <w:ind w:left="1440" w:hanging="360"/>
      </w:pPr>
    </w:lvl>
    <w:lvl w:ilvl="4" w:tplc="96D2602E">
      <w:start w:val="1"/>
      <w:numFmt w:val="decimal"/>
      <w:lvlText w:val="%5."/>
      <w:lvlJc w:val="left"/>
      <w:pPr>
        <w:ind w:left="1440" w:hanging="360"/>
      </w:pPr>
    </w:lvl>
    <w:lvl w:ilvl="5" w:tplc="4094EA7A">
      <w:start w:val="1"/>
      <w:numFmt w:val="decimal"/>
      <w:lvlText w:val="%6."/>
      <w:lvlJc w:val="left"/>
      <w:pPr>
        <w:ind w:left="1440" w:hanging="360"/>
      </w:pPr>
    </w:lvl>
    <w:lvl w:ilvl="6" w:tplc="CDFE37FC">
      <w:start w:val="1"/>
      <w:numFmt w:val="decimal"/>
      <w:lvlText w:val="%7."/>
      <w:lvlJc w:val="left"/>
      <w:pPr>
        <w:ind w:left="1440" w:hanging="360"/>
      </w:pPr>
    </w:lvl>
    <w:lvl w:ilvl="7" w:tplc="10D08340">
      <w:start w:val="1"/>
      <w:numFmt w:val="decimal"/>
      <w:lvlText w:val="%8."/>
      <w:lvlJc w:val="left"/>
      <w:pPr>
        <w:ind w:left="1440" w:hanging="360"/>
      </w:pPr>
    </w:lvl>
    <w:lvl w:ilvl="8" w:tplc="BF96992E">
      <w:start w:val="1"/>
      <w:numFmt w:val="decimal"/>
      <w:lvlText w:val="%9."/>
      <w:lvlJc w:val="left"/>
      <w:pPr>
        <w:ind w:left="1440" w:hanging="360"/>
      </w:pPr>
    </w:lvl>
  </w:abstractNum>
  <w:abstractNum w:abstractNumId="11" w15:restartNumberingAfterBreak="0">
    <w:nsid w:val="545B6648"/>
    <w:multiLevelType w:val="hybridMultilevel"/>
    <w:tmpl w:val="2EFA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A253F"/>
    <w:multiLevelType w:val="hybridMultilevel"/>
    <w:tmpl w:val="2B06EC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DEC77C9"/>
    <w:multiLevelType w:val="hybridMultilevel"/>
    <w:tmpl w:val="15E2C90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CC68F1"/>
    <w:multiLevelType w:val="hybridMultilevel"/>
    <w:tmpl w:val="4836C99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7A572F28"/>
    <w:multiLevelType w:val="hybridMultilevel"/>
    <w:tmpl w:val="B3EE5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BC7085"/>
    <w:multiLevelType w:val="hybridMultilevel"/>
    <w:tmpl w:val="E252F380"/>
    <w:lvl w:ilvl="0" w:tplc="CDCEE8DC">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2"/>
  </w:num>
  <w:num w:numId="5">
    <w:abstractNumId w:val="3"/>
  </w:num>
  <w:num w:numId="6">
    <w:abstractNumId w:val="11"/>
  </w:num>
  <w:num w:numId="7">
    <w:abstractNumId w:val="0"/>
  </w:num>
  <w:num w:numId="8">
    <w:abstractNumId w:val="1"/>
  </w:num>
  <w:num w:numId="9">
    <w:abstractNumId w:val="12"/>
  </w:num>
  <w:num w:numId="10">
    <w:abstractNumId w:val="7"/>
  </w:num>
  <w:num w:numId="11">
    <w:abstractNumId w:val="14"/>
  </w:num>
  <w:num w:numId="12">
    <w:abstractNumId w:val="16"/>
  </w:num>
  <w:num w:numId="13">
    <w:abstractNumId w:val="6"/>
  </w:num>
  <w:num w:numId="14">
    <w:abstractNumId w:val="15"/>
  </w:num>
  <w:num w:numId="15">
    <w:abstractNumId w:val="13"/>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62847511-E294-40A7-ACB0-A252C4AB3EBC"/>
    <w:docVar w:name="LW_COVERPAGE_TYPE" w:val="1"/>
    <w:docVar w:name="LW_CROSSREFERENCE" w:val="&lt;UNUSED&gt;"/>
    <w:docVar w:name="LW_DocType" w:val="NORMAL"/>
    <w:docVar w:name="LW_EMISSION" w:val="9.4.2024"/>
    <w:docVar w:name="LW_EMISSION_ISODATE" w:val="2024-04-09"/>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15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Regulation (EU) 2018/1091 of the European Parliament and of the Council on integrated farm statistics and repealing Regulations (EC) No 1166/2008 and (EU) No 1337/2011"/>
    <w:docVar w:name="LW_TYPE.DOC.CP" w:val="REPORT FROM THE COMMISSION TO THE EUROPEAN PARLIAMENT AND THE COUNCIL"/>
    <w:docVar w:name="LwApiVersions" w:val="LW4CoDe 1.24.5.0; LW 9.0, Build 20240221"/>
    <w:docVar w:name="Stamp" w:val="\\dossiers.dgt.cec.eu.int\dossiers\ESTAT\ESTAT-2023-00225\ESTAT-2023-00225-00-00-EN-EDT-00.202308210921504875817.DOCX"/>
  </w:docVars>
  <w:rsids>
    <w:rsidRoot w:val="00E02FDD"/>
    <w:rsid w:val="00005DFA"/>
    <w:rsid w:val="00010601"/>
    <w:rsid w:val="000148E8"/>
    <w:rsid w:val="00025EB7"/>
    <w:rsid w:val="00034F8E"/>
    <w:rsid w:val="0003720D"/>
    <w:rsid w:val="00040EB0"/>
    <w:rsid w:val="00042E89"/>
    <w:rsid w:val="000432A2"/>
    <w:rsid w:val="000455C3"/>
    <w:rsid w:val="00063FF2"/>
    <w:rsid w:val="00070E82"/>
    <w:rsid w:val="00074FBD"/>
    <w:rsid w:val="00075546"/>
    <w:rsid w:val="0007658A"/>
    <w:rsid w:val="00081938"/>
    <w:rsid w:val="000831C4"/>
    <w:rsid w:val="000911D9"/>
    <w:rsid w:val="000A1ED0"/>
    <w:rsid w:val="000A1FFA"/>
    <w:rsid w:val="000A2BC7"/>
    <w:rsid w:val="000A79B2"/>
    <w:rsid w:val="000B5365"/>
    <w:rsid w:val="000B62C6"/>
    <w:rsid w:val="000D4726"/>
    <w:rsid w:val="000D65A4"/>
    <w:rsid w:val="000D687D"/>
    <w:rsid w:val="000E6E81"/>
    <w:rsid w:val="000F2BB2"/>
    <w:rsid w:val="000F2DAA"/>
    <w:rsid w:val="000F5540"/>
    <w:rsid w:val="000F7ED7"/>
    <w:rsid w:val="001064CC"/>
    <w:rsid w:val="00107766"/>
    <w:rsid w:val="001169F6"/>
    <w:rsid w:val="00122E5C"/>
    <w:rsid w:val="00125E6E"/>
    <w:rsid w:val="0012608E"/>
    <w:rsid w:val="00130571"/>
    <w:rsid w:val="0013221F"/>
    <w:rsid w:val="001326E9"/>
    <w:rsid w:val="00134C70"/>
    <w:rsid w:val="00157834"/>
    <w:rsid w:val="001655EA"/>
    <w:rsid w:val="00167AB8"/>
    <w:rsid w:val="00174275"/>
    <w:rsid w:val="00174F32"/>
    <w:rsid w:val="00181A85"/>
    <w:rsid w:val="00193760"/>
    <w:rsid w:val="001A1664"/>
    <w:rsid w:val="001A3228"/>
    <w:rsid w:val="001A54C1"/>
    <w:rsid w:val="001B41F3"/>
    <w:rsid w:val="001C199D"/>
    <w:rsid w:val="001C6FA6"/>
    <w:rsid w:val="001D44D2"/>
    <w:rsid w:val="001F5DF4"/>
    <w:rsid w:val="00202A2C"/>
    <w:rsid w:val="00202AAD"/>
    <w:rsid w:val="00203D81"/>
    <w:rsid w:val="002079D2"/>
    <w:rsid w:val="00207B6F"/>
    <w:rsid w:val="0021735A"/>
    <w:rsid w:val="00225845"/>
    <w:rsid w:val="0022612A"/>
    <w:rsid w:val="002462BD"/>
    <w:rsid w:val="00254CE6"/>
    <w:rsid w:val="00263360"/>
    <w:rsid w:val="00277EBC"/>
    <w:rsid w:val="0028424A"/>
    <w:rsid w:val="00287372"/>
    <w:rsid w:val="002B4ECB"/>
    <w:rsid w:val="002C5810"/>
    <w:rsid w:val="002D13AF"/>
    <w:rsid w:val="002D678B"/>
    <w:rsid w:val="002D6E88"/>
    <w:rsid w:val="002E0C11"/>
    <w:rsid w:val="002E30F9"/>
    <w:rsid w:val="002F2185"/>
    <w:rsid w:val="002F29EC"/>
    <w:rsid w:val="002F4C3E"/>
    <w:rsid w:val="002F6FFD"/>
    <w:rsid w:val="0030269C"/>
    <w:rsid w:val="003144FF"/>
    <w:rsid w:val="003317EE"/>
    <w:rsid w:val="0033262B"/>
    <w:rsid w:val="00345FE1"/>
    <w:rsid w:val="00346516"/>
    <w:rsid w:val="00347414"/>
    <w:rsid w:val="003504E3"/>
    <w:rsid w:val="00356AF7"/>
    <w:rsid w:val="003579C4"/>
    <w:rsid w:val="0036659F"/>
    <w:rsid w:val="003735F1"/>
    <w:rsid w:val="00382907"/>
    <w:rsid w:val="003941B8"/>
    <w:rsid w:val="0039460C"/>
    <w:rsid w:val="003A1224"/>
    <w:rsid w:val="003A1AFF"/>
    <w:rsid w:val="003A1D73"/>
    <w:rsid w:val="003B399D"/>
    <w:rsid w:val="003B5ED6"/>
    <w:rsid w:val="003C0BA0"/>
    <w:rsid w:val="003C505B"/>
    <w:rsid w:val="003D4861"/>
    <w:rsid w:val="003D6757"/>
    <w:rsid w:val="003E7A68"/>
    <w:rsid w:val="003F18BB"/>
    <w:rsid w:val="003F3834"/>
    <w:rsid w:val="004025EF"/>
    <w:rsid w:val="004036D8"/>
    <w:rsid w:val="00413FEE"/>
    <w:rsid w:val="0043079E"/>
    <w:rsid w:val="004419C3"/>
    <w:rsid w:val="0044522C"/>
    <w:rsid w:val="004517FF"/>
    <w:rsid w:val="00461D33"/>
    <w:rsid w:val="004637BC"/>
    <w:rsid w:val="00463B10"/>
    <w:rsid w:val="00466DD4"/>
    <w:rsid w:val="004750D8"/>
    <w:rsid w:val="00477928"/>
    <w:rsid w:val="0048009C"/>
    <w:rsid w:val="00484BAE"/>
    <w:rsid w:val="0049358C"/>
    <w:rsid w:val="004A296F"/>
    <w:rsid w:val="004A3038"/>
    <w:rsid w:val="004B2701"/>
    <w:rsid w:val="004C5189"/>
    <w:rsid w:val="004C6353"/>
    <w:rsid w:val="004D001A"/>
    <w:rsid w:val="004E3212"/>
    <w:rsid w:val="004E5E48"/>
    <w:rsid w:val="004F3A5F"/>
    <w:rsid w:val="0050174B"/>
    <w:rsid w:val="00503B55"/>
    <w:rsid w:val="00515693"/>
    <w:rsid w:val="00517E08"/>
    <w:rsid w:val="005230F0"/>
    <w:rsid w:val="00526F3E"/>
    <w:rsid w:val="00530F2A"/>
    <w:rsid w:val="00552041"/>
    <w:rsid w:val="00554D3C"/>
    <w:rsid w:val="00555B07"/>
    <w:rsid w:val="00560A9D"/>
    <w:rsid w:val="0056170D"/>
    <w:rsid w:val="00570FE3"/>
    <w:rsid w:val="005726A8"/>
    <w:rsid w:val="00587991"/>
    <w:rsid w:val="00590ADC"/>
    <w:rsid w:val="0059269D"/>
    <w:rsid w:val="005A3CD5"/>
    <w:rsid w:val="005A7F84"/>
    <w:rsid w:val="005B024C"/>
    <w:rsid w:val="005B31BF"/>
    <w:rsid w:val="005B7D7E"/>
    <w:rsid w:val="005C1318"/>
    <w:rsid w:val="005C2FC1"/>
    <w:rsid w:val="005D4466"/>
    <w:rsid w:val="005D7A53"/>
    <w:rsid w:val="005D7C76"/>
    <w:rsid w:val="0060020A"/>
    <w:rsid w:val="00600C3F"/>
    <w:rsid w:val="006147A6"/>
    <w:rsid w:val="00625FEB"/>
    <w:rsid w:val="0062625B"/>
    <w:rsid w:val="00627C9A"/>
    <w:rsid w:val="006362D7"/>
    <w:rsid w:val="00644F77"/>
    <w:rsid w:val="00650869"/>
    <w:rsid w:val="006539F9"/>
    <w:rsid w:val="0067055F"/>
    <w:rsid w:val="00681E6C"/>
    <w:rsid w:val="00692030"/>
    <w:rsid w:val="00697B99"/>
    <w:rsid w:val="006A1153"/>
    <w:rsid w:val="006B0E59"/>
    <w:rsid w:val="006B304D"/>
    <w:rsid w:val="006B70F0"/>
    <w:rsid w:val="006C12AF"/>
    <w:rsid w:val="006D523F"/>
    <w:rsid w:val="006D793B"/>
    <w:rsid w:val="006E7943"/>
    <w:rsid w:val="006F6693"/>
    <w:rsid w:val="006F7ED1"/>
    <w:rsid w:val="00701D22"/>
    <w:rsid w:val="00707BEC"/>
    <w:rsid w:val="00710621"/>
    <w:rsid w:val="00713A3E"/>
    <w:rsid w:val="00714EDF"/>
    <w:rsid w:val="00715E31"/>
    <w:rsid w:val="00721BBD"/>
    <w:rsid w:val="0072383F"/>
    <w:rsid w:val="007246F3"/>
    <w:rsid w:val="00727A4F"/>
    <w:rsid w:val="00732D28"/>
    <w:rsid w:val="007339D4"/>
    <w:rsid w:val="0074185A"/>
    <w:rsid w:val="007468C6"/>
    <w:rsid w:val="00747D8C"/>
    <w:rsid w:val="007547C6"/>
    <w:rsid w:val="00771435"/>
    <w:rsid w:val="00773A3A"/>
    <w:rsid w:val="00774923"/>
    <w:rsid w:val="00774CE8"/>
    <w:rsid w:val="00780ECE"/>
    <w:rsid w:val="007855AA"/>
    <w:rsid w:val="0078606C"/>
    <w:rsid w:val="00791A90"/>
    <w:rsid w:val="007A1355"/>
    <w:rsid w:val="007A204B"/>
    <w:rsid w:val="007A2416"/>
    <w:rsid w:val="007B127F"/>
    <w:rsid w:val="007B12F0"/>
    <w:rsid w:val="007B363C"/>
    <w:rsid w:val="007B4A3A"/>
    <w:rsid w:val="007C6ABF"/>
    <w:rsid w:val="007D1581"/>
    <w:rsid w:val="007D1EEA"/>
    <w:rsid w:val="007D4293"/>
    <w:rsid w:val="007D47C7"/>
    <w:rsid w:val="007E73C7"/>
    <w:rsid w:val="007F57B9"/>
    <w:rsid w:val="007F5F28"/>
    <w:rsid w:val="007F6F27"/>
    <w:rsid w:val="00801DC4"/>
    <w:rsid w:val="0080669C"/>
    <w:rsid w:val="00814A55"/>
    <w:rsid w:val="00817C6C"/>
    <w:rsid w:val="00830EF0"/>
    <w:rsid w:val="008424E0"/>
    <w:rsid w:val="00847750"/>
    <w:rsid w:val="00864085"/>
    <w:rsid w:val="0087122A"/>
    <w:rsid w:val="00872E9C"/>
    <w:rsid w:val="00874E92"/>
    <w:rsid w:val="008805E6"/>
    <w:rsid w:val="0089192A"/>
    <w:rsid w:val="0089274B"/>
    <w:rsid w:val="008A293C"/>
    <w:rsid w:val="008A401C"/>
    <w:rsid w:val="008B5462"/>
    <w:rsid w:val="008B7F34"/>
    <w:rsid w:val="008C3291"/>
    <w:rsid w:val="008E1784"/>
    <w:rsid w:val="008E24D7"/>
    <w:rsid w:val="008E65C8"/>
    <w:rsid w:val="008E7D25"/>
    <w:rsid w:val="008F4EB7"/>
    <w:rsid w:val="008F6358"/>
    <w:rsid w:val="00900B80"/>
    <w:rsid w:val="00903CCD"/>
    <w:rsid w:val="00915B3A"/>
    <w:rsid w:val="0091700E"/>
    <w:rsid w:val="00926E3F"/>
    <w:rsid w:val="00930425"/>
    <w:rsid w:val="0094022A"/>
    <w:rsid w:val="009509EA"/>
    <w:rsid w:val="009537B1"/>
    <w:rsid w:val="009558C7"/>
    <w:rsid w:val="00956773"/>
    <w:rsid w:val="00956989"/>
    <w:rsid w:val="00960D0F"/>
    <w:rsid w:val="00964C28"/>
    <w:rsid w:val="00964EB6"/>
    <w:rsid w:val="00973EDC"/>
    <w:rsid w:val="00977B90"/>
    <w:rsid w:val="00982A56"/>
    <w:rsid w:val="00986619"/>
    <w:rsid w:val="00993DDE"/>
    <w:rsid w:val="00994AC2"/>
    <w:rsid w:val="00997769"/>
    <w:rsid w:val="009A08ED"/>
    <w:rsid w:val="009A1732"/>
    <w:rsid w:val="009A4BA8"/>
    <w:rsid w:val="009C5949"/>
    <w:rsid w:val="009E5907"/>
    <w:rsid w:val="009E5E1A"/>
    <w:rsid w:val="009F5968"/>
    <w:rsid w:val="009F6579"/>
    <w:rsid w:val="00A00978"/>
    <w:rsid w:val="00A00CB9"/>
    <w:rsid w:val="00A049B1"/>
    <w:rsid w:val="00A06EE7"/>
    <w:rsid w:val="00A11F11"/>
    <w:rsid w:val="00A15BB2"/>
    <w:rsid w:val="00A20490"/>
    <w:rsid w:val="00A25859"/>
    <w:rsid w:val="00A27745"/>
    <w:rsid w:val="00A30509"/>
    <w:rsid w:val="00A32929"/>
    <w:rsid w:val="00A4418E"/>
    <w:rsid w:val="00A50EFD"/>
    <w:rsid w:val="00A51675"/>
    <w:rsid w:val="00A52C52"/>
    <w:rsid w:val="00A618DE"/>
    <w:rsid w:val="00A672B2"/>
    <w:rsid w:val="00A67810"/>
    <w:rsid w:val="00A7045B"/>
    <w:rsid w:val="00A738BA"/>
    <w:rsid w:val="00A755CF"/>
    <w:rsid w:val="00A763CA"/>
    <w:rsid w:val="00A821D0"/>
    <w:rsid w:val="00A82FF6"/>
    <w:rsid w:val="00A84CD4"/>
    <w:rsid w:val="00A87510"/>
    <w:rsid w:val="00A87872"/>
    <w:rsid w:val="00A9333B"/>
    <w:rsid w:val="00A93761"/>
    <w:rsid w:val="00A96F13"/>
    <w:rsid w:val="00AA071F"/>
    <w:rsid w:val="00AA2C4D"/>
    <w:rsid w:val="00AA2E2F"/>
    <w:rsid w:val="00AA35C0"/>
    <w:rsid w:val="00AA419E"/>
    <w:rsid w:val="00AA75D4"/>
    <w:rsid w:val="00AA77B0"/>
    <w:rsid w:val="00AB2928"/>
    <w:rsid w:val="00AC293D"/>
    <w:rsid w:val="00AD161B"/>
    <w:rsid w:val="00AD490C"/>
    <w:rsid w:val="00AD78D4"/>
    <w:rsid w:val="00AE2105"/>
    <w:rsid w:val="00AF5D1F"/>
    <w:rsid w:val="00AF66EA"/>
    <w:rsid w:val="00AF67BD"/>
    <w:rsid w:val="00B1294B"/>
    <w:rsid w:val="00B143DE"/>
    <w:rsid w:val="00B31364"/>
    <w:rsid w:val="00B4445B"/>
    <w:rsid w:val="00B50FED"/>
    <w:rsid w:val="00B52CE9"/>
    <w:rsid w:val="00B624CB"/>
    <w:rsid w:val="00B67D28"/>
    <w:rsid w:val="00B73B23"/>
    <w:rsid w:val="00B75D47"/>
    <w:rsid w:val="00B8514D"/>
    <w:rsid w:val="00B905A7"/>
    <w:rsid w:val="00B90F9E"/>
    <w:rsid w:val="00B946B6"/>
    <w:rsid w:val="00B95C7D"/>
    <w:rsid w:val="00BA7929"/>
    <w:rsid w:val="00BB3FBD"/>
    <w:rsid w:val="00BB4BE7"/>
    <w:rsid w:val="00BC1CE5"/>
    <w:rsid w:val="00BD604F"/>
    <w:rsid w:val="00BF4D3C"/>
    <w:rsid w:val="00C05A83"/>
    <w:rsid w:val="00C15C3F"/>
    <w:rsid w:val="00C22022"/>
    <w:rsid w:val="00C22413"/>
    <w:rsid w:val="00C22D4A"/>
    <w:rsid w:val="00C2627D"/>
    <w:rsid w:val="00C33800"/>
    <w:rsid w:val="00C33848"/>
    <w:rsid w:val="00C34421"/>
    <w:rsid w:val="00C34468"/>
    <w:rsid w:val="00C40E46"/>
    <w:rsid w:val="00C41CFF"/>
    <w:rsid w:val="00C50EA4"/>
    <w:rsid w:val="00C52789"/>
    <w:rsid w:val="00C52B59"/>
    <w:rsid w:val="00C5417E"/>
    <w:rsid w:val="00C54E4A"/>
    <w:rsid w:val="00C65BDC"/>
    <w:rsid w:val="00C70AB6"/>
    <w:rsid w:val="00C70F12"/>
    <w:rsid w:val="00C714E2"/>
    <w:rsid w:val="00C763A7"/>
    <w:rsid w:val="00C7750A"/>
    <w:rsid w:val="00C77AF6"/>
    <w:rsid w:val="00C808CA"/>
    <w:rsid w:val="00C816E0"/>
    <w:rsid w:val="00C86EC3"/>
    <w:rsid w:val="00C911F3"/>
    <w:rsid w:val="00C94B96"/>
    <w:rsid w:val="00C95B22"/>
    <w:rsid w:val="00C95BEA"/>
    <w:rsid w:val="00C96F71"/>
    <w:rsid w:val="00C97E68"/>
    <w:rsid w:val="00CA5C07"/>
    <w:rsid w:val="00CA6966"/>
    <w:rsid w:val="00CC06C9"/>
    <w:rsid w:val="00CD2E67"/>
    <w:rsid w:val="00CD48C7"/>
    <w:rsid w:val="00CE718D"/>
    <w:rsid w:val="00CF1F2F"/>
    <w:rsid w:val="00CF6CDF"/>
    <w:rsid w:val="00D06132"/>
    <w:rsid w:val="00D06E03"/>
    <w:rsid w:val="00D106D6"/>
    <w:rsid w:val="00D112A5"/>
    <w:rsid w:val="00D125FE"/>
    <w:rsid w:val="00D12EC2"/>
    <w:rsid w:val="00D2022A"/>
    <w:rsid w:val="00D202A6"/>
    <w:rsid w:val="00D2069A"/>
    <w:rsid w:val="00D20D1D"/>
    <w:rsid w:val="00D23ED1"/>
    <w:rsid w:val="00D36868"/>
    <w:rsid w:val="00D402C8"/>
    <w:rsid w:val="00D52F7A"/>
    <w:rsid w:val="00D55A84"/>
    <w:rsid w:val="00D576D3"/>
    <w:rsid w:val="00D64A88"/>
    <w:rsid w:val="00D65DB8"/>
    <w:rsid w:val="00D901DC"/>
    <w:rsid w:val="00DA020E"/>
    <w:rsid w:val="00DA3194"/>
    <w:rsid w:val="00DA3BEB"/>
    <w:rsid w:val="00DC4674"/>
    <w:rsid w:val="00DC51FD"/>
    <w:rsid w:val="00DD0AAA"/>
    <w:rsid w:val="00DD3CFD"/>
    <w:rsid w:val="00DD4580"/>
    <w:rsid w:val="00DD605C"/>
    <w:rsid w:val="00DE3F30"/>
    <w:rsid w:val="00DF4FE7"/>
    <w:rsid w:val="00E025BA"/>
    <w:rsid w:val="00E02FDD"/>
    <w:rsid w:val="00E07807"/>
    <w:rsid w:val="00E104F7"/>
    <w:rsid w:val="00E14595"/>
    <w:rsid w:val="00E24E5F"/>
    <w:rsid w:val="00E258EE"/>
    <w:rsid w:val="00E42871"/>
    <w:rsid w:val="00E44116"/>
    <w:rsid w:val="00E47B95"/>
    <w:rsid w:val="00E52C8E"/>
    <w:rsid w:val="00E55D43"/>
    <w:rsid w:val="00E55D8C"/>
    <w:rsid w:val="00E617A1"/>
    <w:rsid w:val="00E7584F"/>
    <w:rsid w:val="00E77022"/>
    <w:rsid w:val="00E861DA"/>
    <w:rsid w:val="00EA24EF"/>
    <w:rsid w:val="00EB1F8D"/>
    <w:rsid w:val="00EB6123"/>
    <w:rsid w:val="00EC0DE7"/>
    <w:rsid w:val="00EC6D18"/>
    <w:rsid w:val="00ED1074"/>
    <w:rsid w:val="00ED6A3B"/>
    <w:rsid w:val="00EE21EF"/>
    <w:rsid w:val="00EE4D63"/>
    <w:rsid w:val="00EF527D"/>
    <w:rsid w:val="00EF62D4"/>
    <w:rsid w:val="00F13608"/>
    <w:rsid w:val="00F171BA"/>
    <w:rsid w:val="00F1758D"/>
    <w:rsid w:val="00F17F23"/>
    <w:rsid w:val="00F21A20"/>
    <w:rsid w:val="00F228A2"/>
    <w:rsid w:val="00F25DDF"/>
    <w:rsid w:val="00F2733B"/>
    <w:rsid w:val="00F31AED"/>
    <w:rsid w:val="00F346CD"/>
    <w:rsid w:val="00F469EF"/>
    <w:rsid w:val="00F55D15"/>
    <w:rsid w:val="00F61299"/>
    <w:rsid w:val="00F65846"/>
    <w:rsid w:val="00F66F1B"/>
    <w:rsid w:val="00F7170B"/>
    <w:rsid w:val="00F9741D"/>
    <w:rsid w:val="00F97749"/>
    <w:rsid w:val="00FA539D"/>
    <w:rsid w:val="00FA63D5"/>
    <w:rsid w:val="00FB00F7"/>
    <w:rsid w:val="00FB06E4"/>
    <w:rsid w:val="00FB0A98"/>
    <w:rsid w:val="00FB48A9"/>
    <w:rsid w:val="00FB6EC8"/>
    <w:rsid w:val="00FD099E"/>
    <w:rsid w:val="00FD6FD8"/>
    <w:rsid w:val="00FE1CD4"/>
    <w:rsid w:val="00FE59EE"/>
    <w:rsid w:val="00FE5CBE"/>
    <w:rsid w:val="00FE6AE1"/>
    <w:rsid w:val="00FF12D1"/>
    <w:rsid w:val="00FF47CF"/>
    <w:rsid w:val="00FF6B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86680F"/>
  <w15:docId w15:val="{48B69F9A-133C-43AD-B06B-75E81AFC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F2A"/>
    <w:pPr>
      <w:spacing w:after="240" w:line="240" w:lineRule="auto"/>
      <w:jc w:val="both"/>
    </w:pPr>
    <w:rPr>
      <w:rFonts w:ascii="Times New Roman" w:eastAsia="Times New Roman" w:hAnsi="Times New Roman" w:cs="Times New Roman"/>
      <w:sz w:val="23"/>
      <w:szCs w:val="23"/>
      <w:lang w:val="en-GB" w:eastAsia="fr-BE"/>
    </w:rPr>
  </w:style>
  <w:style w:type="paragraph" w:styleId="Heading1">
    <w:name w:val="heading 1"/>
    <w:basedOn w:val="ListParagraph"/>
    <w:next w:val="Normal"/>
    <w:link w:val="Heading1Char"/>
    <w:uiPriority w:val="9"/>
    <w:qFormat/>
    <w:rsid w:val="008A401C"/>
    <w:pPr>
      <w:keepNext/>
      <w:numPr>
        <w:numId w:val="13"/>
      </w:numPr>
      <w:spacing w:before="240"/>
      <w:outlineLvl w:val="0"/>
    </w:pPr>
    <w:rPr>
      <w:b/>
      <w:smallCaps/>
      <w:sz w:val="24"/>
      <w:szCs w:val="20"/>
    </w:rPr>
  </w:style>
  <w:style w:type="paragraph" w:styleId="Heading2">
    <w:name w:val="heading 2"/>
    <w:basedOn w:val="Heading1"/>
    <w:next w:val="Normal"/>
    <w:link w:val="Heading2Char"/>
    <w:uiPriority w:val="9"/>
    <w:unhideWhenUsed/>
    <w:qFormat/>
    <w:rsid w:val="008A401C"/>
    <w:pPr>
      <w:numPr>
        <w:ilvl w:val="1"/>
      </w:numPr>
      <w:outlineLvl w:val="1"/>
    </w:pPr>
  </w:style>
  <w:style w:type="paragraph" w:styleId="Heading3">
    <w:name w:val="heading 3"/>
    <w:basedOn w:val="Normal"/>
    <w:next w:val="Normal"/>
    <w:link w:val="Heading3Char"/>
    <w:uiPriority w:val="9"/>
    <w:unhideWhenUsed/>
    <w:qFormat/>
    <w:rsid w:val="008A401C"/>
    <w:pPr>
      <w:keepNext/>
      <w:numPr>
        <w:ilvl w:val="2"/>
        <w:numId w:val="13"/>
      </w:numPr>
      <w:outlineLvl w:val="2"/>
    </w:pPr>
    <w:rPr>
      <w:i/>
      <w:sz w:val="24"/>
      <w:szCs w:val="20"/>
    </w:rPr>
  </w:style>
  <w:style w:type="paragraph" w:styleId="Heading4">
    <w:name w:val="heading 4"/>
    <w:basedOn w:val="Normal"/>
    <w:next w:val="Normal"/>
    <w:link w:val="Heading4Char"/>
    <w:uiPriority w:val="9"/>
    <w:semiHidden/>
    <w:unhideWhenUsed/>
    <w:qFormat/>
    <w:rsid w:val="00E47B95"/>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7B95"/>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47B95"/>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47B95"/>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47B95"/>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7B95"/>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E02FDD"/>
    <w:rPr>
      <w:color w:val="0000FF"/>
      <w:shd w:val="clear" w:color="auto" w:fill="auto"/>
    </w:rPr>
  </w:style>
  <w:style w:type="paragraph" w:customStyle="1" w:styleId="Pagedecouverture">
    <w:name w:val="Page de couverture"/>
    <w:basedOn w:val="Normal"/>
    <w:next w:val="Normal"/>
    <w:rsid w:val="00E02FDD"/>
    <w:pPr>
      <w:spacing w:after="0"/>
    </w:pPr>
    <w:rPr>
      <w:sz w:val="24"/>
    </w:rPr>
  </w:style>
  <w:style w:type="paragraph" w:styleId="Header">
    <w:name w:val="header"/>
    <w:basedOn w:val="Normal"/>
    <w:link w:val="HeaderChar"/>
    <w:uiPriority w:val="99"/>
    <w:unhideWhenUsed/>
    <w:rsid w:val="00E02FDD"/>
    <w:pPr>
      <w:tabs>
        <w:tab w:val="center" w:pos="4513"/>
        <w:tab w:val="right" w:pos="9026"/>
      </w:tabs>
      <w:spacing w:after="0"/>
    </w:pPr>
  </w:style>
  <w:style w:type="character" w:customStyle="1" w:styleId="HeaderChar">
    <w:name w:val="Header Char"/>
    <w:basedOn w:val="DefaultParagraphFont"/>
    <w:link w:val="Header"/>
    <w:uiPriority w:val="99"/>
    <w:rsid w:val="00E02FDD"/>
  </w:style>
  <w:style w:type="paragraph" w:styleId="Footer">
    <w:name w:val="footer"/>
    <w:basedOn w:val="Normal"/>
    <w:link w:val="FooterChar"/>
    <w:uiPriority w:val="99"/>
    <w:unhideWhenUsed/>
    <w:rsid w:val="00E02FDD"/>
    <w:pPr>
      <w:tabs>
        <w:tab w:val="center" w:pos="4513"/>
        <w:tab w:val="right" w:pos="9026"/>
      </w:tabs>
      <w:spacing w:after="0"/>
    </w:pPr>
  </w:style>
  <w:style w:type="character" w:customStyle="1" w:styleId="FooterChar">
    <w:name w:val="Footer Char"/>
    <w:basedOn w:val="DefaultParagraphFont"/>
    <w:link w:val="Footer"/>
    <w:uiPriority w:val="99"/>
    <w:rsid w:val="00E02FDD"/>
  </w:style>
  <w:style w:type="paragraph" w:customStyle="1" w:styleId="FooterCoverPage">
    <w:name w:val="Footer Cover Page"/>
    <w:basedOn w:val="Normal"/>
    <w:link w:val="FooterCoverPageChar"/>
    <w:rsid w:val="00E02FDD"/>
    <w:pPr>
      <w:tabs>
        <w:tab w:val="center" w:pos="4535"/>
        <w:tab w:val="right" w:pos="9071"/>
        <w:tab w:val="right" w:pos="9921"/>
      </w:tabs>
      <w:spacing w:before="360" w:after="0"/>
      <w:ind w:left="-850" w:right="-850"/>
      <w:jc w:val="left"/>
    </w:pPr>
    <w:rPr>
      <w:sz w:val="24"/>
    </w:rPr>
  </w:style>
  <w:style w:type="character" w:customStyle="1" w:styleId="FooterCoverPageChar">
    <w:name w:val="Footer Cover Page Char"/>
    <w:basedOn w:val="DefaultParagraphFont"/>
    <w:link w:val="FooterCoverPage"/>
    <w:rsid w:val="00E02FDD"/>
    <w:rPr>
      <w:rFonts w:ascii="Times New Roman" w:eastAsia="Times New Roman" w:hAnsi="Times New Roman" w:cs="Times New Roman"/>
      <w:sz w:val="24"/>
      <w:szCs w:val="23"/>
      <w:lang w:val="en-GB" w:eastAsia="fr-BE"/>
    </w:rPr>
  </w:style>
  <w:style w:type="paragraph" w:customStyle="1" w:styleId="FooterSensitivity">
    <w:name w:val="Footer Sensitivity"/>
    <w:basedOn w:val="Normal"/>
    <w:link w:val="FooterSensitivityChar"/>
    <w:rsid w:val="00E02FD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E02FDD"/>
    <w:rPr>
      <w:rFonts w:ascii="Times New Roman" w:eastAsia="Times New Roman" w:hAnsi="Times New Roman" w:cs="Times New Roman"/>
      <w:b/>
      <w:sz w:val="32"/>
      <w:szCs w:val="23"/>
      <w:lang w:val="en-GB" w:eastAsia="fr-BE"/>
    </w:rPr>
  </w:style>
  <w:style w:type="paragraph" w:customStyle="1" w:styleId="HeaderCoverPage">
    <w:name w:val="Header Cover Page"/>
    <w:basedOn w:val="Normal"/>
    <w:link w:val="HeaderCoverPageChar"/>
    <w:rsid w:val="00E02FDD"/>
    <w:pPr>
      <w:tabs>
        <w:tab w:val="center" w:pos="4535"/>
        <w:tab w:val="right" w:pos="9071"/>
      </w:tabs>
      <w:spacing w:after="120"/>
    </w:pPr>
    <w:rPr>
      <w:sz w:val="24"/>
    </w:rPr>
  </w:style>
  <w:style w:type="character" w:customStyle="1" w:styleId="HeaderCoverPageChar">
    <w:name w:val="Header Cover Page Char"/>
    <w:basedOn w:val="DefaultParagraphFont"/>
    <w:link w:val="HeaderCoverPage"/>
    <w:rsid w:val="00E02FDD"/>
    <w:rPr>
      <w:rFonts w:ascii="Times New Roman" w:eastAsia="Times New Roman" w:hAnsi="Times New Roman" w:cs="Times New Roman"/>
      <w:sz w:val="24"/>
      <w:szCs w:val="23"/>
      <w:lang w:val="en-GB" w:eastAsia="fr-BE"/>
    </w:rPr>
  </w:style>
  <w:style w:type="paragraph" w:customStyle="1" w:styleId="HeaderSensitivity">
    <w:name w:val="Header Sensitivity"/>
    <w:basedOn w:val="Normal"/>
    <w:link w:val="HeaderSensitivityChar"/>
    <w:rsid w:val="00E02FDD"/>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E02FDD"/>
    <w:rPr>
      <w:rFonts w:ascii="Times New Roman" w:eastAsia="Times New Roman" w:hAnsi="Times New Roman" w:cs="Times New Roman"/>
      <w:b/>
      <w:sz w:val="32"/>
      <w:szCs w:val="23"/>
      <w:lang w:val="en-GB" w:eastAsia="fr-BE"/>
    </w:rPr>
  </w:style>
  <w:style w:type="paragraph" w:customStyle="1" w:styleId="HeaderSensitivityRight">
    <w:name w:val="Header Sensitivity Right"/>
    <w:basedOn w:val="Normal"/>
    <w:link w:val="HeaderSensitivityRightChar"/>
    <w:rsid w:val="001064CC"/>
    <w:pPr>
      <w:spacing w:after="120"/>
      <w:jc w:val="right"/>
    </w:pPr>
    <w:rPr>
      <w:sz w:val="28"/>
    </w:rPr>
  </w:style>
  <w:style w:type="character" w:customStyle="1" w:styleId="HeaderSensitivityRightChar">
    <w:name w:val="Header Sensitivity Right Char"/>
    <w:basedOn w:val="DefaultParagraphFont"/>
    <w:link w:val="HeaderSensitivityRight"/>
    <w:rsid w:val="00E02FDD"/>
    <w:rPr>
      <w:rFonts w:ascii="Times New Roman" w:eastAsia="Times New Roman" w:hAnsi="Times New Roman" w:cs="Times New Roman"/>
      <w:sz w:val="28"/>
      <w:szCs w:val="23"/>
      <w:lang w:val="en-GB" w:eastAsia="fr-BE"/>
    </w:rPr>
  </w:style>
  <w:style w:type="paragraph" w:styleId="FootnoteText">
    <w:name w:val="footnote text"/>
    <w:aliases w:val="Fußnote"/>
    <w:basedOn w:val="Normal"/>
    <w:uiPriority w:val="99"/>
    <w:unhideWhenUsed/>
    <w:rsid w:val="000E6E81"/>
    <w:pPr>
      <w:spacing w:after="0"/>
    </w:pPr>
    <w:rPr>
      <w:sz w:val="20"/>
      <w:szCs w:val="20"/>
    </w:rPr>
  </w:style>
  <w:style w:type="character" w:customStyle="1" w:styleId="FootnoteTextChar">
    <w:name w:val="Footnote Text Char"/>
    <w:aliases w:val="Fußnote Char"/>
    <w:basedOn w:val="DefaultParagraphFont"/>
    <w:uiPriority w:val="99"/>
    <w:rsid w:val="000E6E81"/>
    <w:rPr>
      <w:sz w:val="20"/>
      <w:szCs w:val="20"/>
    </w:rPr>
  </w:style>
  <w:style w:type="character" w:styleId="Hyperlink">
    <w:name w:val="Hyperlink"/>
    <w:uiPriority w:val="99"/>
    <w:rsid w:val="000E6E81"/>
    <w:rPr>
      <w:rFonts w:cs="Times New Roman"/>
      <w:color w:val="0000FF"/>
      <w:u w:val="single"/>
      <w:shd w:val="clear" w:color="auto" w:fill="auto"/>
    </w:rPr>
  </w:style>
  <w:style w:type="character" w:styleId="FootnoteReference">
    <w:name w:val="footnote reference"/>
    <w:aliases w:val="BVI fnr,(Footnote Reference), BVI fnr,Footnote Reference Superscript,Footnote symbol,SUPERS,Footnote,Voetnootverwijzing,Times 10 Point,Exposant 3 Point,Footnote reference number,note TESI,Appel note de bas de p,Footnote call"/>
    <w:uiPriority w:val="99"/>
    <w:unhideWhenUsed/>
    <w:qFormat/>
    <w:rsid w:val="000E6E81"/>
    <w:rPr>
      <w:shd w:val="clear" w:color="auto" w:fill="auto"/>
      <w:vertAlign w:val="superscript"/>
    </w:rPr>
  </w:style>
  <w:style w:type="paragraph" w:styleId="NormalWeb">
    <w:name w:val="Normal (Web)"/>
    <w:basedOn w:val="Normal"/>
    <w:uiPriority w:val="99"/>
    <w:unhideWhenUsed/>
    <w:rsid w:val="000E6E81"/>
    <w:rPr>
      <w:sz w:val="24"/>
      <w:szCs w:val="24"/>
    </w:rPr>
  </w:style>
  <w:style w:type="character" w:styleId="Emphasis">
    <w:name w:val="Emphasis"/>
    <w:basedOn w:val="DefaultParagraphFont"/>
    <w:uiPriority w:val="20"/>
    <w:qFormat/>
    <w:rsid w:val="000E6E81"/>
    <w:rPr>
      <w:i/>
      <w:iCs/>
    </w:rPr>
  </w:style>
  <w:style w:type="paragraph" w:styleId="ListParagraph">
    <w:name w:val="List Paragraph"/>
    <w:basedOn w:val="Normal"/>
    <w:uiPriority w:val="34"/>
    <w:qFormat/>
    <w:rsid w:val="00D55A84"/>
    <w:pPr>
      <w:ind w:left="720"/>
      <w:contextualSpacing/>
    </w:pPr>
  </w:style>
  <w:style w:type="paragraph" w:customStyle="1" w:styleId="SecurityMarking">
    <w:name w:val="SecurityMarking"/>
    <w:basedOn w:val="Normal"/>
    <w:rsid w:val="001064CC"/>
    <w:pPr>
      <w:spacing w:after="0" w:line="276" w:lineRule="auto"/>
      <w:ind w:left="5103"/>
    </w:pPr>
    <w:rPr>
      <w:sz w:val="28"/>
    </w:rPr>
  </w:style>
  <w:style w:type="paragraph" w:customStyle="1" w:styleId="DateMarking">
    <w:name w:val="DateMarking"/>
    <w:basedOn w:val="Normal"/>
    <w:rsid w:val="001064CC"/>
    <w:pPr>
      <w:spacing w:after="0" w:line="276" w:lineRule="auto"/>
      <w:ind w:left="5103"/>
    </w:pPr>
    <w:rPr>
      <w:i/>
      <w:sz w:val="28"/>
    </w:rPr>
  </w:style>
  <w:style w:type="paragraph" w:customStyle="1" w:styleId="ReleasableTo">
    <w:name w:val="ReleasableTo"/>
    <w:basedOn w:val="Normal"/>
    <w:rsid w:val="001064CC"/>
    <w:pPr>
      <w:spacing w:after="0" w:line="276" w:lineRule="auto"/>
      <w:ind w:left="5103"/>
    </w:pPr>
    <w:rPr>
      <w:i/>
      <w:sz w:val="28"/>
    </w:rPr>
  </w:style>
  <w:style w:type="paragraph" w:styleId="BalloonText">
    <w:name w:val="Balloon Text"/>
    <w:basedOn w:val="Normal"/>
    <w:link w:val="BalloonTextChar"/>
    <w:uiPriority w:val="99"/>
    <w:semiHidden/>
    <w:unhideWhenUsed/>
    <w:rsid w:val="00B129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94B"/>
    <w:rPr>
      <w:rFonts w:ascii="Segoe UI" w:hAnsi="Segoe UI" w:cs="Segoe UI"/>
      <w:sz w:val="18"/>
      <w:szCs w:val="18"/>
    </w:rPr>
  </w:style>
  <w:style w:type="character" w:styleId="CommentReference">
    <w:name w:val="annotation reference"/>
    <w:basedOn w:val="DefaultParagraphFont"/>
    <w:uiPriority w:val="99"/>
    <w:semiHidden/>
    <w:unhideWhenUsed/>
    <w:rsid w:val="004025EF"/>
    <w:rPr>
      <w:sz w:val="16"/>
      <w:szCs w:val="16"/>
    </w:rPr>
  </w:style>
  <w:style w:type="paragraph" w:styleId="CommentText">
    <w:name w:val="annotation text"/>
    <w:basedOn w:val="Normal"/>
    <w:link w:val="CommentTextChar"/>
    <w:uiPriority w:val="99"/>
    <w:unhideWhenUsed/>
    <w:rsid w:val="004025EF"/>
    <w:rPr>
      <w:sz w:val="20"/>
      <w:szCs w:val="20"/>
    </w:rPr>
  </w:style>
  <w:style w:type="character" w:customStyle="1" w:styleId="CommentTextChar">
    <w:name w:val="Comment Text Char"/>
    <w:basedOn w:val="DefaultParagraphFont"/>
    <w:link w:val="CommentText"/>
    <w:uiPriority w:val="99"/>
    <w:rsid w:val="004025EF"/>
    <w:rPr>
      <w:sz w:val="20"/>
      <w:szCs w:val="20"/>
    </w:rPr>
  </w:style>
  <w:style w:type="paragraph" w:styleId="CommentSubject">
    <w:name w:val="annotation subject"/>
    <w:basedOn w:val="CommentText"/>
    <w:next w:val="CommentText"/>
    <w:link w:val="CommentSubjectChar"/>
    <w:uiPriority w:val="99"/>
    <w:semiHidden/>
    <w:unhideWhenUsed/>
    <w:rsid w:val="004025EF"/>
    <w:rPr>
      <w:b/>
      <w:bCs/>
    </w:rPr>
  </w:style>
  <w:style w:type="character" w:customStyle="1" w:styleId="CommentSubjectChar">
    <w:name w:val="Comment Subject Char"/>
    <w:basedOn w:val="CommentTextChar"/>
    <w:link w:val="CommentSubject"/>
    <w:uiPriority w:val="99"/>
    <w:semiHidden/>
    <w:rsid w:val="004025EF"/>
    <w:rPr>
      <w:b/>
      <w:bCs/>
      <w:sz w:val="20"/>
      <w:szCs w:val="20"/>
    </w:rPr>
  </w:style>
  <w:style w:type="character" w:styleId="FollowedHyperlink">
    <w:name w:val="FollowedHyperlink"/>
    <w:basedOn w:val="DefaultParagraphFont"/>
    <w:uiPriority w:val="99"/>
    <w:semiHidden/>
    <w:unhideWhenUsed/>
    <w:rsid w:val="00C70F12"/>
    <w:rPr>
      <w:color w:val="954F72" w:themeColor="followedHyperlink"/>
      <w:u w:val="single"/>
    </w:rPr>
  </w:style>
  <w:style w:type="paragraph" w:styleId="Revision">
    <w:name w:val="Revision"/>
    <w:hidden/>
    <w:uiPriority w:val="99"/>
    <w:semiHidden/>
    <w:rsid w:val="00042E89"/>
    <w:pPr>
      <w:spacing w:after="0" w:line="240" w:lineRule="auto"/>
    </w:pPr>
  </w:style>
  <w:style w:type="paragraph" w:styleId="BodyText">
    <w:name w:val="Body Text"/>
    <w:basedOn w:val="Normal"/>
    <w:link w:val="BodyTextChar"/>
    <w:rsid w:val="001C199D"/>
    <w:pPr>
      <w:spacing w:after="120"/>
    </w:pPr>
    <w:rPr>
      <w:sz w:val="24"/>
      <w:szCs w:val="20"/>
    </w:rPr>
  </w:style>
  <w:style w:type="character" w:customStyle="1" w:styleId="BodyTextChar">
    <w:name w:val="Body Text Char"/>
    <w:basedOn w:val="DefaultParagraphFont"/>
    <w:link w:val="BodyText"/>
    <w:rsid w:val="001C199D"/>
    <w:rPr>
      <w:rFonts w:ascii="Times New Roman" w:eastAsia="Times New Roman" w:hAnsi="Times New Roman" w:cs="Times New Roman"/>
      <w:sz w:val="24"/>
      <w:szCs w:val="20"/>
      <w:lang w:val="en-GB"/>
    </w:rPr>
  </w:style>
  <w:style w:type="paragraph" w:customStyle="1" w:styleId="Text1">
    <w:name w:val="Text 1"/>
    <w:basedOn w:val="Normal"/>
    <w:link w:val="Text1Char"/>
    <w:qFormat/>
    <w:rsid w:val="001C199D"/>
    <w:pPr>
      <w:ind w:left="482"/>
    </w:pPr>
    <w:rPr>
      <w:sz w:val="24"/>
      <w:szCs w:val="20"/>
    </w:rPr>
  </w:style>
  <w:style w:type="paragraph" w:styleId="BodyTextIndent">
    <w:name w:val="Body Text Indent"/>
    <w:basedOn w:val="Normal"/>
    <w:link w:val="BodyTextIndentChar"/>
    <w:uiPriority w:val="99"/>
    <w:semiHidden/>
    <w:unhideWhenUsed/>
    <w:rsid w:val="001C199D"/>
    <w:pPr>
      <w:spacing w:after="120"/>
      <w:ind w:left="283"/>
    </w:pPr>
  </w:style>
  <w:style w:type="character" w:customStyle="1" w:styleId="BodyTextIndentChar">
    <w:name w:val="Body Text Indent Char"/>
    <w:basedOn w:val="DefaultParagraphFont"/>
    <w:link w:val="BodyTextIndent"/>
    <w:uiPriority w:val="99"/>
    <w:semiHidden/>
    <w:rsid w:val="001C199D"/>
  </w:style>
  <w:style w:type="paragraph" w:styleId="BodyTextFirstIndent2">
    <w:name w:val="Body Text First Indent 2"/>
    <w:basedOn w:val="BodyTextIndent"/>
    <w:link w:val="BodyTextFirstIndent2Char"/>
    <w:uiPriority w:val="99"/>
    <w:semiHidden/>
    <w:unhideWhenUsed/>
    <w:rsid w:val="001C199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C199D"/>
  </w:style>
  <w:style w:type="character" w:customStyle="1" w:styleId="Heading1Char">
    <w:name w:val="Heading 1 Char"/>
    <w:basedOn w:val="DefaultParagraphFont"/>
    <w:link w:val="Heading1"/>
    <w:uiPriority w:val="9"/>
    <w:rsid w:val="008A401C"/>
    <w:rPr>
      <w:rFonts w:ascii="Times New Roman" w:eastAsia="Times New Roman" w:hAnsi="Times New Roman" w:cs="Times New Roman"/>
      <w:b/>
      <w:smallCaps/>
      <w:sz w:val="24"/>
      <w:szCs w:val="20"/>
      <w:lang w:val="en-GB" w:eastAsia="fr-BE"/>
    </w:rPr>
  </w:style>
  <w:style w:type="character" w:customStyle="1" w:styleId="Heading2Char">
    <w:name w:val="Heading 2 Char"/>
    <w:basedOn w:val="DefaultParagraphFont"/>
    <w:link w:val="Heading2"/>
    <w:uiPriority w:val="9"/>
    <w:rsid w:val="008A401C"/>
    <w:rPr>
      <w:rFonts w:ascii="Times New Roman" w:eastAsia="Times New Roman" w:hAnsi="Times New Roman" w:cs="Times New Roman"/>
      <w:b/>
      <w:smallCaps/>
      <w:sz w:val="24"/>
      <w:szCs w:val="20"/>
      <w:lang w:val="en-GB" w:eastAsia="fr-BE"/>
    </w:rPr>
  </w:style>
  <w:style w:type="character" w:customStyle="1" w:styleId="Heading3Char">
    <w:name w:val="Heading 3 Char"/>
    <w:basedOn w:val="DefaultParagraphFont"/>
    <w:link w:val="Heading3"/>
    <w:uiPriority w:val="9"/>
    <w:rsid w:val="008A401C"/>
    <w:rPr>
      <w:rFonts w:ascii="Times New Roman" w:eastAsia="Times New Roman" w:hAnsi="Times New Roman" w:cs="Times New Roman"/>
      <w:i/>
      <w:sz w:val="24"/>
      <w:szCs w:val="20"/>
      <w:lang w:val="en-GB" w:eastAsia="fr-BE"/>
    </w:rPr>
  </w:style>
  <w:style w:type="character" w:customStyle="1" w:styleId="Text1Char">
    <w:name w:val="Text 1 Char"/>
    <w:link w:val="Text1"/>
    <w:rsid w:val="00A821D0"/>
    <w:rPr>
      <w:rFonts w:ascii="Times New Roman" w:eastAsia="Times New Roman" w:hAnsi="Times New Roman" w:cs="Times New Roman"/>
      <w:sz w:val="24"/>
      <w:szCs w:val="20"/>
      <w:lang w:val="en-GB" w:eastAsia="fr-BE"/>
    </w:rPr>
  </w:style>
  <w:style w:type="character" w:customStyle="1" w:styleId="Heading4Char">
    <w:name w:val="Heading 4 Char"/>
    <w:basedOn w:val="DefaultParagraphFont"/>
    <w:link w:val="Heading4"/>
    <w:uiPriority w:val="9"/>
    <w:semiHidden/>
    <w:rsid w:val="00E47B95"/>
    <w:rPr>
      <w:rFonts w:asciiTheme="majorHAnsi" w:eastAsiaTheme="majorEastAsia" w:hAnsiTheme="majorHAnsi" w:cstheme="majorBidi"/>
      <w:i/>
      <w:iCs/>
      <w:color w:val="2E74B5" w:themeColor="accent1" w:themeShade="BF"/>
      <w:sz w:val="23"/>
      <w:szCs w:val="23"/>
      <w:lang w:val="en-GB" w:eastAsia="fr-BE"/>
    </w:rPr>
  </w:style>
  <w:style w:type="character" w:customStyle="1" w:styleId="Heading5Char">
    <w:name w:val="Heading 5 Char"/>
    <w:basedOn w:val="DefaultParagraphFont"/>
    <w:link w:val="Heading5"/>
    <w:uiPriority w:val="9"/>
    <w:semiHidden/>
    <w:rsid w:val="00E47B95"/>
    <w:rPr>
      <w:rFonts w:asciiTheme="majorHAnsi" w:eastAsiaTheme="majorEastAsia" w:hAnsiTheme="majorHAnsi" w:cstheme="majorBidi"/>
      <w:color w:val="2E74B5" w:themeColor="accent1" w:themeShade="BF"/>
      <w:sz w:val="23"/>
      <w:szCs w:val="23"/>
      <w:lang w:val="en-GB" w:eastAsia="fr-BE"/>
    </w:rPr>
  </w:style>
  <w:style w:type="character" w:customStyle="1" w:styleId="Heading6Char">
    <w:name w:val="Heading 6 Char"/>
    <w:basedOn w:val="DefaultParagraphFont"/>
    <w:link w:val="Heading6"/>
    <w:uiPriority w:val="9"/>
    <w:semiHidden/>
    <w:rsid w:val="00E47B95"/>
    <w:rPr>
      <w:rFonts w:asciiTheme="majorHAnsi" w:eastAsiaTheme="majorEastAsia" w:hAnsiTheme="majorHAnsi" w:cstheme="majorBidi"/>
      <w:color w:val="1F4D78" w:themeColor="accent1" w:themeShade="7F"/>
      <w:sz w:val="23"/>
      <w:szCs w:val="23"/>
      <w:lang w:val="en-GB" w:eastAsia="fr-BE"/>
    </w:rPr>
  </w:style>
  <w:style w:type="character" w:customStyle="1" w:styleId="Heading7Char">
    <w:name w:val="Heading 7 Char"/>
    <w:basedOn w:val="DefaultParagraphFont"/>
    <w:link w:val="Heading7"/>
    <w:uiPriority w:val="9"/>
    <w:semiHidden/>
    <w:rsid w:val="00E47B95"/>
    <w:rPr>
      <w:rFonts w:asciiTheme="majorHAnsi" w:eastAsiaTheme="majorEastAsia" w:hAnsiTheme="majorHAnsi" w:cstheme="majorBidi"/>
      <w:i/>
      <w:iCs/>
      <w:color w:val="1F4D78" w:themeColor="accent1" w:themeShade="7F"/>
      <w:sz w:val="23"/>
      <w:szCs w:val="23"/>
      <w:lang w:val="en-GB" w:eastAsia="fr-BE"/>
    </w:rPr>
  </w:style>
  <w:style w:type="character" w:customStyle="1" w:styleId="Heading8Char">
    <w:name w:val="Heading 8 Char"/>
    <w:basedOn w:val="DefaultParagraphFont"/>
    <w:link w:val="Heading8"/>
    <w:uiPriority w:val="9"/>
    <w:semiHidden/>
    <w:rsid w:val="00E47B95"/>
    <w:rPr>
      <w:rFonts w:asciiTheme="majorHAnsi" w:eastAsiaTheme="majorEastAsia" w:hAnsiTheme="majorHAnsi" w:cstheme="majorBidi"/>
      <w:color w:val="272727" w:themeColor="text1" w:themeTint="D8"/>
      <w:sz w:val="21"/>
      <w:szCs w:val="21"/>
      <w:lang w:val="en-GB" w:eastAsia="fr-BE"/>
    </w:rPr>
  </w:style>
  <w:style w:type="character" w:customStyle="1" w:styleId="Heading9Char">
    <w:name w:val="Heading 9 Char"/>
    <w:basedOn w:val="DefaultParagraphFont"/>
    <w:link w:val="Heading9"/>
    <w:uiPriority w:val="9"/>
    <w:semiHidden/>
    <w:rsid w:val="00E47B95"/>
    <w:rPr>
      <w:rFonts w:asciiTheme="majorHAnsi" w:eastAsiaTheme="majorEastAsia" w:hAnsiTheme="majorHAnsi" w:cstheme="majorBidi"/>
      <w:i/>
      <w:iCs/>
      <w:color w:val="272727" w:themeColor="text1" w:themeTint="D8"/>
      <w:sz w:val="21"/>
      <w:szCs w:val="21"/>
      <w:lang w:val="en-GB" w:eastAsia="fr-BE"/>
    </w:rPr>
  </w:style>
  <w:style w:type="character" w:customStyle="1" w:styleId="UnresolvedMention">
    <w:name w:val="Unresolved Mention"/>
    <w:basedOn w:val="DefaultParagraphFont"/>
    <w:uiPriority w:val="99"/>
    <w:semiHidden/>
    <w:unhideWhenUsed/>
    <w:rsid w:val="00977B90"/>
    <w:rPr>
      <w:color w:val="605E5C"/>
      <w:shd w:val="clear" w:color="auto" w:fill="E1DFDD"/>
    </w:rPr>
  </w:style>
  <w:style w:type="character" w:customStyle="1" w:styleId="cf01">
    <w:name w:val="cf01"/>
    <w:basedOn w:val="DefaultParagraphFont"/>
    <w:rsid w:val="003144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7073">
      <w:bodyDiv w:val="1"/>
      <w:marLeft w:val="0"/>
      <w:marRight w:val="0"/>
      <w:marTop w:val="0"/>
      <w:marBottom w:val="0"/>
      <w:divBdr>
        <w:top w:val="none" w:sz="0" w:space="0" w:color="auto"/>
        <w:left w:val="none" w:sz="0" w:space="0" w:color="auto"/>
        <w:bottom w:val="none" w:sz="0" w:space="0" w:color="auto"/>
        <w:right w:val="none" w:sz="0" w:space="0" w:color="auto"/>
      </w:divBdr>
    </w:div>
    <w:div w:id="306477168">
      <w:bodyDiv w:val="1"/>
      <w:marLeft w:val="0"/>
      <w:marRight w:val="0"/>
      <w:marTop w:val="0"/>
      <w:marBottom w:val="0"/>
      <w:divBdr>
        <w:top w:val="none" w:sz="0" w:space="0" w:color="auto"/>
        <w:left w:val="none" w:sz="0" w:space="0" w:color="auto"/>
        <w:bottom w:val="none" w:sz="0" w:space="0" w:color="auto"/>
        <w:right w:val="none" w:sz="0" w:space="0" w:color="auto"/>
      </w:divBdr>
    </w:div>
    <w:div w:id="307177222">
      <w:bodyDiv w:val="1"/>
      <w:marLeft w:val="0"/>
      <w:marRight w:val="0"/>
      <w:marTop w:val="0"/>
      <w:marBottom w:val="0"/>
      <w:divBdr>
        <w:top w:val="none" w:sz="0" w:space="0" w:color="auto"/>
        <w:left w:val="none" w:sz="0" w:space="0" w:color="auto"/>
        <w:bottom w:val="none" w:sz="0" w:space="0" w:color="auto"/>
        <w:right w:val="none" w:sz="0" w:space="0" w:color="auto"/>
      </w:divBdr>
    </w:div>
    <w:div w:id="702437283">
      <w:bodyDiv w:val="1"/>
      <w:marLeft w:val="0"/>
      <w:marRight w:val="0"/>
      <w:marTop w:val="0"/>
      <w:marBottom w:val="0"/>
      <w:divBdr>
        <w:top w:val="none" w:sz="0" w:space="0" w:color="auto"/>
        <w:left w:val="none" w:sz="0" w:space="0" w:color="auto"/>
        <w:bottom w:val="none" w:sz="0" w:space="0" w:color="auto"/>
        <w:right w:val="none" w:sz="0" w:space="0" w:color="auto"/>
      </w:divBdr>
    </w:div>
    <w:div w:id="765423994">
      <w:bodyDiv w:val="1"/>
      <w:marLeft w:val="0"/>
      <w:marRight w:val="0"/>
      <w:marTop w:val="0"/>
      <w:marBottom w:val="0"/>
      <w:divBdr>
        <w:top w:val="none" w:sz="0" w:space="0" w:color="auto"/>
        <w:left w:val="none" w:sz="0" w:space="0" w:color="auto"/>
        <w:bottom w:val="none" w:sz="0" w:space="0" w:color="auto"/>
        <w:right w:val="none" w:sz="0" w:space="0" w:color="auto"/>
      </w:divBdr>
    </w:div>
    <w:div w:id="837962923">
      <w:bodyDiv w:val="1"/>
      <w:marLeft w:val="0"/>
      <w:marRight w:val="0"/>
      <w:marTop w:val="0"/>
      <w:marBottom w:val="0"/>
      <w:divBdr>
        <w:top w:val="none" w:sz="0" w:space="0" w:color="auto"/>
        <w:left w:val="none" w:sz="0" w:space="0" w:color="auto"/>
        <w:bottom w:val="none" w:sz="0" w:space="0" w:color="auto"/>
        <w:right w:val="none" w:sz="0" w:space="0" w:color="auto"/>
      </w:divBdr>
    </w:div>
    <w:div w:id="969365629">
      <w:bodyDiv w:val="1"/>
      <w:marLeft w:val="0"/>
      <w:marRight w:val="0"/>
      <w:marTop w:val="0"/>
      <w:marBottom w:val="0"/>
      <w:divBdr>
        <w:top w:val="none" w:sz="0" w:space="0" w:color="auto"/>
        <w:left w:val="none" w:sz="0" w:space="0" w:color="auto"/>
        <w:bottom w:val="none" w:sz="0" w:space="0" w:color="auto"/>
        <w:right w:val="none" w:sz="0" w:space="0" w:color="auto"/>
      </w:divBdr>
    </w:div>
    <w:div w:id="134247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fta.int/media/documents/legal-texts/eea/the-eea-agreement/Annexes%20to%20the%20Agreement/annex21a.pdf" TargetMode="External"/><Relationship Id="rId26" Type="http://schemas.openxmlformats.org/officeDocument/2006/relationships/hyperlink" Target="https://ec.europa.eu/eurostat/web/products-manuals-and-guidelines/-/ks-gq-20-009"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ec.europa.eu/eurostat/web/products-key-figures/w/ks-fk-22-001" TargetMode="External"/><Relationship Id="rId34" Type="http://schemas.openxmlformats.org/officeDocument/2006/relationships/hyperlink" Target="https://ec.europa.eu/eurostat/web/microdata/farm-structure-survey"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c.europa.eu/eurostat/cache/metadata/en/ef_sims.htm" TargetMode="External"/><Relationship Id="rId33" Type="http://schemas.openxmlformats.org/officeDocument/2006/relationships/hyperlink" Target="https://ec.europa.eu/eurostat/cache/metadata/EN/ef_sims.htm"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europa.eu/eurostat/web/agriculture/publications" TargetMode="External"/><Relationship Id="rId29" Type="http://schemas.openxmlformats.org/officeDocument/2006/relationships/hyperlink" Target="https://ec.europa.eu/eurostat/web/agriculture/data/database"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r-lex.europa.eu/legal-content/EN/TXT/?uri=uriserv:OJ.L_.2020.080.01.0003.01.ENG" TargetMode="External"/><Relationship Id="rId32" Type="http://schemas.openxmlformats.org/officeDocument/2006/relationships/hyperlink" Target="https://ec.europa.eu/eurostat/web/agriculture/methodology"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c.europa.eu/eurostat/documents/10186/10693286/Agricultural-census-minimising+the+impact+of+COVID-19+on+data+quality.pdf/f81876f6-2d49-4f3d-d616-9fd6609702b1?t=1626339482658" TargetMode="External"/><Relationship Id="rId28" Type="http://schemas.openxmlformats.org/officeDocument/2006/relationships/hyperlink" Target="https://www.fao.org/world-census-agriculture/wcarounds/wca2020/en/"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ec.europa.eu/eurostat/web/agriculture/data/database" TargetMode="External"/><Relationship Id="rId31" Type="http://schemas.openxmlformats.org/officeDocument/2006/relationships/hyperlink" Target="https://ec.europa.eu/statistical-atlas/viewer/?mids=BKGCNT,C13M01,CNTOVL&amp;o=1,1,0.7&amp;center=49.97812,19.97593,3&amp;ch=ENV,C13&amp;lcis=C13M01&am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ur-lex.europa.eu/eli/reg/2013/557/oj" TargetMode="External"/><Relationship Id="rId27" Type="http://schemas.openxmlformats.org/officeDocument/2006/relationships/hyperlink" Target="https://ec.europa.eu/eurostat/cache/metadata/en/ef_sims.htm" TargetMode="External"/><Relationship Id="rId30" Type="http://schemas.openxmlformats.org/officeDocument/2006/relationships/hyperlink" Target="https://ec.europa.eu/eurostat/web/products-key-figures/w/key-figures-on-the-european-food-chain-2022-edition-2" TargetMode="External"/><Relationship Id="rId35" Type="http://schemas.openxmlformats.org/officeDocument/2006/relationships/hyperlink" Target="https://ec.europa.eu/eurostat/documents/203647/771732/How_to_apply_for_microdata_access.pdf"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weps.be/wp-content/uploads/2023/03/2023March_NTTS-New-Techniques-and-Technologies-for-Statistics-Eurostat-book_of_abstracts.pdf" TargetMode="External"/><Relationship Id="rId2" Type="http://schemas.openxmlformats.org/officeDocument/2006/relationships/hyperlink" Target="https://ec.europa.eu/eurostat/web/agriculture/data/ancillary-data" TargetMode="External"/><Relationship Id="rId1" Type="http://schemas.openxmlformats.org/officeDocument/2006/relationships/hyperlink" Target="https://eur-lex.europa.eu/eli/reg/2018/1091/oj" TargetMode="External"/><Relationship Id="rId4" Type="http://schemas.openxmlformats.org/officeDocument/2006/relationships/hyperlink" Target="http://ec.europa.eu/eurostat/data/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licystage xmlns="dd2bd6db-d22a-4909-bda6-7740b4056914" xsi:nil="true"/>
    <Status xmlns="dd2bd6db-d22a-4909-bda6-7740b4056914">Reviewed</Status>
    <Year xmlns="dd2bd6db-d22a-4909-bda6-7740b4056914" xsi:nil="true"/>
    <Comment xmlns="dd2bd6db-d22a-4909-bda6-7740b40569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C7C941575C2545AF116990E854B5C4" ma:contentTypeVersion="9" ma:contentTypeDescription="Create a new document." ma:contentTypeScope="" ma:versionID="afe06dda956809937e6647cddf5bd21b">
  <xsd:schema xmlns:xsd="http://www.w3.org/2001/XMLSchema" xmlns:xs="http://www.w3.org/2001/XMLSchema" xmlns:p="http://schemas.microsoft.com/office/2006/metadata/properties" xmlns:ns2="dd2bd6db-d22a-4909-bda6-7740b4056914" xmlns:ns3="9bc74308-a4e2-4ca5-8c11-2fd9f3a3f294" targetNamespace="http://schemas.microsoft.com/office/2006/metadata/properties" ma:root="true" ma:fieldsID="f28ba7f9dc1d5a1de27e353cc6cff98b" ns2:_="" ns3:_="">
    <xsd:import namespace="dd2bd6db-d22a-4909-bda6-7740b4056914"/>
    <xsd:import namespace="9bc74308-a4e2-4ca5-8c11-2fd9f3a3f2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Policystage" minOccurs="0"/>
                <xsd:element ref="ns2:Year" minOccurs="0"/>
                <xsd:element ref="ns2:Statu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d6db-d22a-4909-bda6-7740b4056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Policystage" ma:index="11" nillable="true" ma:displayName="Policy stage" ma:format="Dropdown" ma:internalName="Policystage">
      <xsd:simpleType>
        <xsd:restriction base="dms:Choice">
          <xsd:enumeration value="Early guidance"/>
          <xsd:enumeration value="ISG"/>
          <xsd:enumeration value="ISC"/>
          <xsd:enumeration value="Negotiation"/>
          <xsd:enumeration value="Policy implementation"/>
          <xsd:enumeration value="Other"/>
        </xsd:restriction>
      </xsd:simpleType>
    </xsd:element>
    <xsd:element name="Year" ma:index="12" nillable="true" ma:displayName="Year" ma:format="Dropdown" ma:internalName="Year">
      <xsd:simpleType>
        <xsd:restriction base="dms:Choice">
          <xsd:enumeration value="2022"/>
          <xsd:enumeration value="2023"/>
          <xsd:enumeration value="2024"/>
        </xsd:restriction>
      </xsd:simpleType>
    </xsd:element>
    <xsd:element name="Status" ma:index="13" nillable="true" ma:displayName="Status" ma:default="For review" ma:format="Dropdown" ma:internalName="Status">
      <xsd:simpleType>
        <xsd:restriction base="dms:Choice">
          <xsd:enumeration value="For information"/>
          <xsd:enumeration value="For review"/>
          <xsd:enumeration value="Reviewed"/>
          <xsd:enumeration value="Final"/>
        </xsd:restriction>
      </xsd:simpleType>
    </xsd:element>
    <xsd:element name="Comment" ma:index="16"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c74308-a4e2-4ca5-8c11-2fd9f3a3f2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E788E-B8A5-49F9-983D-377627030558}">
  <ds:schemaRefs>
    <ds:schemaRef ds:uri="http://schemas.microsoft.com/office/2006/metadata/properties"/>
    <ds:schemaRef ds:uri="http://schemas.microsoft.com/office/infopath/2007/PartnerControls"/>
    <ds:schemaRef ds:uri="dd2bd6db-d22a-4909-bda6-7740b4056914"/>
  </ds:schemaRefs>
</ds:datastoreItem>
</file>

<file path=customXml/itemProps2.xml><?xml version="1.0" encoding="utf-8"?>
<ds:datastoreItem xmlns:ds="http://schemas.openxmlformats.org/officeDocument/2006/customXml" ds:itemID="{5FEA651F-B607-40B2-A484-5A866C575ECD}">
  <ds:schemaRefs>
    <ds:schemaRef ds:uri="http://schemas.microsoft.com/sharepoint/v3/contenttype/forms"/>
  </ds:schemaRefs>
</ds:datastoreItem>
</file>

<file path=customXml/itemProps3.xml><?xml version="1.0" encoding="utf-8"?>
<ds:datastoreItem xmlns:ds="http://schemas.openxmlformats.org/officeDocument/2006/customXml" ds:itemID="{246A7062-7F41-4216-97CA-69E31AF5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d6db-d22a-4909-bda6-7740b4056914"/>
    <ds:schemaRef ds:uri="9bc74308-a4e2-4ca5-8c11-2fd9f3a3f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7D500-CE48-4695-94BF-3F59808D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3900</Words>
  <Characters>22235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cp:revision>
  <dcterms:created xsi:type="dcterms:W3CDTF">2024-03-21T11:05:00Z</dcterms:created>
  <dcterms:modified xsi:type="dcterms:W3CDTF">2024-04-08T13:18:00Z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7.0, Build 20190717</vt:lpwstr>
  </property>
  <property fmtid="{D5CDD505-2E9C-101B-9397-08002B2CF9AE}" pid="9" name="MSIP_Label_6bd9ddd1-4d20-43f6-abfa-fc3c07406f94_Enabled">
    <vt:lpwstr>true</vt:lpwstr>
  </property>
  <property fmtid="{D5CDD505-2E9C-101B-9397-08002B2CF9AE}" pid="10" name="MSIP_Label_6bd9ddd1-4d20-43f6-abfa-fc3c07406f94_SetDate">
    <vt:lpwstr>2023-04-06T14:01:52Z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a1ed8a00-b2f0-4b07-af68-d98565906eeb</vt:lpwstr>
  </property>
  <property fmtid="{D5CDD505-2E9C-101B-9397-08002B2CF9AE}" pid="15" name="MSIP_Label_6bd9ddd1-4d20-43f6-abfa-fc3c07406f94_ContentBits">
    <vt:lpwstr>0</vt:lpwstr>
  </property>
  <property fmtid="{D5CDD505-2E9C-101B-9397-08002B2CF9AE}" pid="16" name="ContentTypeId">
    <vt:lpwstr>0x01010063C7C941575C2545AF116990E854B5C4</vt:lpwstr>
  </property>
</Properties>
</file>