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FEA3" w14:textId="21D95A8E" w:rsidR="00BA5C47" w:rsidRPr="00C22482" w:rsidRDefault="00AC4939" w:rsidP="00AC4939">
      <w:pPr>
        <w:pStyle w:val="Pagedecouverture"/>
        <w:rPr>
          <w:noProof/>
        </w:rPr>
      </w:pPr>
      <w:bookmarkStart w:id="0" w:name="_Hlk152925692"/>
      <w:bookmarkStart w:id="1" w:name="LW_BM_COVERPAGE"/>
      <w:r>
        <w:rPr>
          <w:noProof/>
        </w:rPr>
        <w:pict w14:anchorId="764C4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E29B22E-0598-4E29-BDEB-611400CFB4A0" style="width:455.25pt;height:310.5pt">
            <v:imagedata r:id="rId11" o:title=""/>
          </v:shape>
        </w:pict>
      </w:r>
    </w:p>
    <w:bookmarkEnd w:id="1"/>
    <w:p w14:paraId="2EDC5AF3" w14:textId="77777777" w:rsidR="00BA5C47" w:rsidRPr="00C22482" w:rsidRDefault="00BA5C47" w:rsidP="00BA5C47">
      <w:pPr>
        <w:rPr>
          <w:noProof/>
        </w:rPr>
        <w:sectPr w:rsidR="00BA5C47" w:rsidRPr="00C22482" w:rsidSect="00AC493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C3188BD" w14:textId="15BAC533" w:rsidR="00BA5C47" w:rsidRPr="00FC48CF" w:rsidRDefault="00BA5C47" w:rsidP="00FC0E22">
      <w:pPr>
        <w:pStyle w:val="Heading1"/>
        <w:rPr>
          <w:noProof/>
          <w:color w:val="auto"/>
          <w:lang w:val="en-IE"/>
        </w:rPr>
      </w:pPr>
      <w:bookmarkStart w:id="2" w:name="_Toc152772478"/>
      <w:bookmarkStart w:id="3" w:name="_Toc151122102"/>
      <w:bookmarkStart w:id="4" w:name="_Toc156461223"/>
      <w:bookmarkStart w:id="5" w:name="_GoBack"/>
      <w:bookmarkEnd w:id="5"/>
      <w:r w:rsidRPr="00FC48CF">
        <w:rPr>
          <w:noProof/>
          <w:color w:val="auto"/>
          <w:lang w:val="en-IE"/>
        </w:rPr>
        <w:lastRenderedPageBreak/>
        <w:t>Introduction</w:t>
      </w:r>
      <w:bookmarkEnd w:id="2"/>
      <w:bookmarkEnd w:id="3"/>
      <w:bookmarkEnd w:id="4"/>
    </w:p>
    <w:p w14:paraId="452570C5" w14:textId="2D169B10" w:rsidR="00FC0E22" w:rsidRPr="00FC48CF" w:rsidRDefault="1DAFE6B2" w:rsidP="00FC0E22">
      <w:pPr>
        <w:pStyle w:val="Heading2"/>
        <w:rPr>
          <w:noProof/>
          <w:color w:val="auto"/>
          <w:lang w:val="en-IE"/>
        </w:rPr>
      </w:pPr>
      <w:bookmarkStart w:id="6" w:name="_Toc152772479"/>
      <w:bookmarkStart w:id="7" w:name="_Toc151122103"/>
      <w:bookmarkStart w:id="8" w:name="_Toc156461224"/>
      <w:r w:rsidRPr="00FC48CF">
        <w:rPr>
          <w:noProof/>
          <w:color w:val="auto"/>
          <w:lang w:val="en-IE"/>
        </w:rPr>
        <w:t>The Radio Equipment Directive</w:t>
      </w:r>
      <w:bookmarkEnd w:id="6"/>
      <w:bookmarkEnd w:id="7"/>
      <w:bookmarkEnd w:id="8"/>
    </w:p>
    <w:p w14:paraId="4C2258BF" w14:textId="2FE089E2" w:rsidR="003F2B76" w:rsidRPr="00FC48CF" w:rsidRDefault="1DAFE6B2" w:rsidP="00C42D1F">
      <w:pPr>
        <w:rPr>
          <w:noProof/>
          <w:lang w:val="en-IE"/>
        </w:rPr>
      </w:pPr>
      <w:r w:rsidRPr="00FC48CF">
        <w:rPr>
          <w:noProof/>
          <w:lang w:val="en-IE"/>
        </w:rPr>
        <w:t xml:space="preserve">The </w:t>
      </w:r>
      <w:r w:rsidR="4E9F4701" w:rsidRPr="00FC48CF">
        <w:rPr>
          <w:noProof/>
          <w:lang w:val="en-IE"/>
        </w:rPr>
        <w:t>Radio Equipment Directive</w:t>
      </w:r>
      <w:r w:rsidR="0077133E" w:rsidRPr="002F0513">
        <w:rPr>
          <w:noProof/>
          <w:lang w:val="en-IE"/>
        </w:rPr>
        <w:t> </w:t>
      </w:r>
      <w:r w:rsidR="006037AB" w:rsidRPr="00FC48CF">
        <w:rPr>
          <w:rStyle w:val="FootnoteReference"/>
          <w:noProof/>
          <w:lang w:val="en-IE"/>
        </w:rPr>
        <w:footnoteReference w:id="2"/>
      </w:r>
      <w:r w:rsidRPr="00FC48CF">
        <w:rPr>
          <w:noProof/>
          <w:lang w:val="en-IE"/>
        </w:rPr>
        <w:t xml:space="preserve"> </w:t>
      </w:r>
      <w:r w:rsidR="0BDE3EB4" w:rsidRPr="00FC48CF">
        <w:rPr>
          <w:noProof/>
          <w:lang w:val="en-IE"/>
        </w:rPr>
        <w:t xml:space="preserve">(RED) </w:t>
      </w:r>
      <w:r w:rsidR="003F2B76" w:rsidRPr="00FC48CF">
        <w:rPr>
          <w:noProof/>
          <w:lang w:val="en-IE"/>
        </w:rPr>
        <w:t>ensures a single market</w:t>
      </w:r>
      <w:r w:rsidR="00505859">
        <w:rPr>
          <w:noProof/>
          <w:lang w:val="en-IE"/>
        </w:rPr>
        <w:t xml:space="preserve"> </w:t>
      </w:r>
      <w:r w:rsidR="00FD1D2B">
        <w:rPr>
          <w:rStyle w:val="FootnoteReference"/>
          <w:noProof/>
          <w:lang w:val="en-IE"/>
        </w:rPr>
        <w:footnoteReference w:id="3"/>
      </w:r>
      <w:r w:rsidR="003F2B76" w:rsidRPr="00FC48CF">
        <w:rPr>
          <w:noProof/>
          <w:lang w:val="en-IE"/>
        </w:rPr>
        <w:t xml:space="preserve"> for radio equipment by setting essential requirements for safety</w:t>
      </w:r>
      <w:r w:rsidR="008343C6">
        <w:rPr>
          <w:noProof/>
          <w:lang w:val="en-IE"/>
        </w:rPr>
        <w:t>,</w:t>
      </w:r>
      <w:r w:rsidR="008343C6" w:rsidRPr="00FC48CF">
        <w:rPr>
          <w:noProof/>
          <w:lang w:val="en-IE"/>
        </w:rPr>
        <w:t xml:space="preserve"> </w:t>
      </w:r>
      <w:r w:rsidR="003F2B76" w:rsidRPr="00FC48CF">
        <w:rPr>
          <w:noProof/>
          <w:lang w:val="en-IE"/>
        </w:rPr>
        <w:t>health, electromagnetic compatibility and the efficient use of the radio spectrum. It also provides the basis for further regulation governing some additional aspects</w:t>
      </w:r>
      <w:r w:rsidR="00EB1758">
        <w:rPr>
          <w:noProof/>
          <w:lang w:val="en-IE"/>
        </w:rPr>
        <w:t>.</w:t>
      </w:r>
    </w:p>
    <w:p w14:paraId="062F47AC" w14:textId="4514E508" w:rsidR="00F21DE0" w:rsidRPr="00FC48CF" w:rsidRDefault="00F21DE0" w:rsidP="00F21DE0">
      <w:pPr>
        <w:rPr>
          <w:noProof/>
          <w:lang w:val="en-IE"/>
        </w:rPr>
      </w:pPr>
      <w:r w:rsidRPr="00FC48CF">
        <w:rPr>
          <w:noProof/>
          <w:lang w:val="en-IE"/>
        </w:rPr>
        <w:t>Article</w:t>
      </w:r>
      <w:r w:rsidR="006E04A8">
        <w:rPr>
          <w:noProof/>
          <w:lang w:val="en-IE"/>
        </w:rPr>
        <w:t> </w:t>
      </w:r>
      <w:r w:rsidRPr="00FC48CF">
        <w:rPr>
          <w:noProof/>
          <w:lang w:val="en-IE"/>
        </w:rPr>
        <w:t>47</w:t>
      </w:r>
      <w:r w:rsidR="0077133E" w:rsidRPr="002F0513">
        <w:rPr>
          <w:noProof/>
          <w:lang w:val="en-IE"/>
        </w:rPr>
        <w:t>(</w:t>
      </w:r>
      <w:r w:rsidR="003F2B76" w:rsidRPr="00FC48CF">
        <w:rPr>
          <w:noProof/>
          <w:lang w:val="en-IE"/>
        </w:rPr>
        <w:t>2</w:t>
      </w:r>
      <w:r w:rsidR="005E10EC" w:rsidRPr="00FC48CF">
        <w:rPr>
          <w:noProof/>
        </w:rPr>
        <w:t>)</w:t>
      </w:r>
      <w:r w:rsidR="00C42D1F" w:rsidRPr="00FC48CF">
        <w:rPr>
          <w:noProof/>
          <w:lang w:val="en-IE"/>
        </w:rPr>
        <w:t xml:space="preserve"> of the RED</w:t>
      </w:r>
      <w:r w:rsidR="00980849" w:rsidRPr="002F0513">
        <w:rPr>
          <w:noProof/>
          <w:lang w:val="en-IE"/>
        </w:rPr>
        <w:t xml:space="preserve"> requires</w:t>
      </w:r>
      <w:r w:rsidRPr="00FC48CF">
        <w:rPr>
          <w:noProof/>
          <w:lang w:val="en-IE"/>
        </w:rPr>
        <w:t xml:space="preserve"> the </w:t>
      </w:r>
      <w:r w:rsidR="00923F25">
        <w:rPr>
          <w:noProof/>
          <w:lang w:val="en-IE"/>
        </w:rPr>
        <w:t xml:space="preserve">European </w:t>
      </w:r>
      <w:r w:rsidRPr="00FC48CF">
        <w:rPr>
          <w:noProof/>
          <w:lang w:val="en-IE"/>
        </w:rPr>
        <w:t xml:space="preserve">Commission </w:t>
      </w:r>
      <w:r w:rsidR="00980849" w:rsidRPr="002F0513">
        <w:rPr>
          <w:noProof/>
          <w:lang w:val="en-IE"/>
        </w:rPr>
        <w:t xml:space="preserve">to </w:t>
      </w:r>
      <w:r w:rsidRPr="00FC48CF">
        <w:rPr>
          <w:noProof/>
          <w:lang w:val="en-IE"/>
        </w:rPr>
        <w:t xml:space="preserve">review the </w:t>
      </w:r>
      <w:r w:rsidRPr="00FC48CF">
        <w:rPr>
          <w:noProof/>
        </w:rPr>
        <w:t>operation</w:t>
      </w:r>
      <w:r w:rsidRPr="00FC48CF">
        <w:rPr>
          <w:noProof/>
          <w:lang w:val="en-IE"/>
        </w:rPr>
        <w:t xml:space="preserve"> of the </w:t>
      </w:r>
      <w:r w:rsidR="000C2689">
        <w:rPr>
          <w:noProof/>
          <w:lang w:val="en-IE"/>
        </w:rPr>
        <w:t>RED</w:t>
      </w:r>
      <w:r w:rsidR="000C2689" w:rsidRPr="002F0513">
        <w:rPr>
          <w:noProof/>
          <w:lang w:val="en-IE"/>
        </w:rPr>
        <w:t xml:space="preserve"> </w:t>
      </w:r>
      <w:r w:rsidRPr="00FC48CF">
        <w:rPr>
          <w:noProof/>
          <w:lang w:val="en-IE"/>
        </w:rPr>
        <w:t>and</w:t>
      </w:r>
      <w:r w:rsidRPr="002F0513">
        <w:rPr>
          <w:noProof/>
          <w:lang w:val="en-IE"/>
        </w:rPr>
        <w:t xml:space="preserve"> </w:t>
      </w:r>
      <w:r w:rsidR="000C2689">
        <w:rPr>
          <w:noProof/>
          <w:lang w:val="en-IE"/>
        </w:rPr>
        <w:t>to</w:t>
      </w:r>
      <w:r w:rsidRPr="00FC48CF">
        <w:rPr>
          <w:noProof/>
          <w:lang w:val="en-IE"/>
        </w:rPr>
        <w:t xml:space="preserve"> </w:t>
      </w:r>
      <w:hyperlink r:id="rId18" w:history="1">
        <w:r w:rsidRPr="00BF559F">
          <w:rPr>
            <w:rStyle w:val="Hyperlink"/>
            <w:noProof/>
            <w:lang w:val="en-IE"/>
          </w:rPr>
          <w:t>report</w:t>
        </w:r>
      </w:hyperlink>
      <w:r w:rsidRPr="00FC48CF">
        <w:rPr>
          <w:noProof/>
          <w:lang w:val="en-IE"/>
        </w:rPr>
        <w:t xml:space="preserve"> thereon to the European Parliament and to the Council by 12</w:t>
      </w:r>
      <w:r w:rsidR="0075085F" w:rsidRPr="002F0513">
        <w:rPr>
          <w:noProof/>
          <w:lang w:val="en-IE"/>
        </w:rPr>
        <w:t> </w:t>
      </w:r>
      <w:r w:rsidRPr="00FC48CF">
        <w:rPr>
          <w:noProof/>
          <w:lang w:val="en-IE"/>
        </w:rPr>
        <w:t>June</w:t>
      </w:r>
      <w:r w:rsidR="0075085F" w:rsidRPr="002F0513">
        <w:rPr>
          <w:noProof/>
          <w:lang w:val="en-IE"/>
        </w:rPr>
        <w:t> </w:t>
      </w:r>
      <w:r w:rsidRPr="00FC48CF">
        <w:rPr>
          <w:noProof/>
          <w:lang w:val="en-IE"/>
        </w:rPr>
        <w:t xml:space="preserve">2018 and every </w:t>
      </w:r>
      <w:r w:rsidR="0077133E" w:rsidRPr="002F0513">
        <w:rPr>
          <w:noProof/>
          <w:lang w:val="en-IE"/>
        </w:rPr>
        <w:t>5 </w:t>
      </w:r>
      <w:r w:rsidRPr="00FC48CF">
        <w:rPr>
          <w:noProof/>
          <w:lang w:val="en-IE"/>
        </w:rPr>
        <w:t>years thereafter.</w:t>
      </w:r>
      <w:r w:rsidR="00642F3A" w:rsidRPr="00FC48CF">
        <w:rPr>
          <w:noProof/>
          <w:lang w:val="en-IE"/>
        </w:rPr>
        <w:t xml:space="preserve"> </w:t>
      </w:r>
      <w:r w:rsidRPr="00FC48CF">
        <w:rPr>
          <w:noProof/>
          <w:lang w:val="en-IE"/>
        </w:rPr>
        <w:t>Th</w:t>
      </w:r>
      <w:r w:rsidR="001C419B" w:rsidRPr="00FC48CF">
        <w:rPr>
          <w:noProof/>
          <w:lang w:val="en-IE"/>
        </w:rPr>
        <w:t>is</w:t>
      </w:r>
      <w:r w:rsidRPr="00FC48CF">
        <w:rPr>
          <w:noProof/>
          <w:lang w:val="en-IE"/>
        </w:rPr>
        <w:t xml:space="preserve"> report fulfils that requirement for</w:t>
      </w:r>
      <w:r w:rsidR="00C42D1F" w:rsidRPr="00FC48CF">
        <w:rPr>
          <w:noProof/>
          <w:lang w:val="en-IE"/>
        </w:rPr>
        <w:t xml:space="preserve"> the period until 12</w:t>
      </w:r>
      <w:r w:rsidR="0075085F" w:rsidRPr="002F0513">
        <w:rPr>
          <w:noProof/>
          <w:lang w:val="en-IE"/>
        </w:rPr>
        <w:t> </w:t>
      </w:r>
      <w:r w:rsidR="00C42D1F" w:rsidRPr="00FC48CF">
        <w:rPr>
          <w:noProof/>
          <w:lang w:val="en-IE"/>
        </w:rPr>
        <w:t>June</w:t>
      </w:r>
      <w:r w:rsidR="0075085F" w:rsidRPr="002F0513">
        <w:rPr>
          <w:noProof/>
          <w:lang w:val="en-IE"/>
        </w:rPr>
        <w:t> </w:t>
      </w:r>
      <w:r w:rsidRPr="00FC48CF">
        <w:rPr>
          <w:noProof/>
          <w:lang w:val="en-IE"/>
        </w:rPr>
        <w:t>2023.</w:t>
      </w:r>
    </w:p>
    <w:p w14:paraId="0345A45D" w14:textId="2E31C97F" w:rsidR="00FC0E22" w:rsidRPr="00FC48CF" w:rsidRDefault="00D673CC" w:rsidP="00F21DE0">
      <w:pPr>
        <w:pStyle w:val="Heading2"/>
        <w:rPr>
          <w:noProof/>
          <w:color w:val="auto"/>
          <w:lang w:val="en-IE"/>
        </w:rPr>
      </w:pPr>
      <w:bookmarkStart w:id="9" w:name="_Toc152772480"/>
      <w:bookmarkStart w:id="10" w:name="_Toc151122104"/>
      <w:bookmarkStart w:id="11" w:name="_Toc156461225"/>
      <w:r w:rsidRPr="00FC48CF">
        <w:rPr>
          <w:noProof/>
          <w:color w:val="auto"/>
          <w:lang w:val="en-IE"/>
        </w:rPr>
        <w:t xml:space="preserve">Political </w:t>
      </w:r>
      <w:r w:rsidR="00C42D1F" w:rsidRPr="00FC48CF">
        <w:rPr>
          <w:noProof/>
          <w:color w:val="auto"/>
          <w:lang w:val="en-IE"/>
        </w:rPr>
        <w:t>context</w:t>
      </w:r>
      <w:bookmarkEnd w:id="9"/>
      <w:bookmarkEnd w:id="10"/>
      <w:bookmarkEnd w:id="11"/>
    </w:p>
    <w:p w14:paraId="6C6F0468" w14:textId="7BE8B53B" w:rsidR="00064D75" w:rsidRPr="00FC48CF" w:rsidRDefault="002E546C" w:rsidP="00166369">
      <w:pPr>
        <w:rPr>
          <w:noProof/>
          <w:lang w:val="en-IE"/>
        </w:rPr>
      </w:pPr>
      <w:r w:rsidRPr="00FC48CF">
        <w:rPr>
          <w:noProof/>
          <w:lang w:val="en-IE"/>
        </w:rPr>
        <w:t xml:space="preserve">This report covers a period where </w:t>
      </w:r>
      <w:r w:rsidR="00670733" w:rsidRPr="002F0513">
        <w:rPr>
          <w:noProof/>
          <w:lang w:val="en-IE"/>
        </w:rPr>
        <w:t>‘</w:t>
      </w:r>
      <w:r w:rsidR="00B4034D" w:rsidRPr="00FC48CF">
        <w:rPr>
          <w:noProof/>
          <w:lang w:val="en-IE"/>
        </w:rPr>
        <w:t>A Europe fit for the digital age</w:t>
      </w:r>
      <w:r w:rsidR="00670733" w:rsidRPr="002F0513">
        <w:rPr>
          <w:noProof/>
          <w:lang w:val="en-IE"/>
        </w:rPr>
        <w:t>’</w:t>
      </w:r>
      <w:r w:rsidR="00B4034D" w:rsidRPr="00FC48CF">
        <w:rPr>
          <w:noProof/>
          <w:lang w:val="en-IE"/>
        </w:rPr>
        <w:t xml:space="preserve"> was one of the priorities set by t</w:t>
      </w:r>
      <w:r w:rsidRPr="00FC48CF">
        <w:rPr>
          <w:noProof/>
          <w:lang w:val="en-IE"/>
        </w:rPr>
        <w:t xml:space="preserve">he </w:t>
      </w:r>
      <w:r w:rsidR="00A122FA" w:rsidRPr="00FC48CF">
        <w:rPr>
          <w:noProof/>
          <w:lang w:val="en-IE"/>
        </w:rPr>
        <w:t xml:space="preserve">Commission </w:t>
      </w:r>
      <w:r w:rsidR="00B4034D" w:rsidRPr="00FC48CF">
        <w:rPr>
          <w:noProof/>
          <w:lang w:val="en-IE"/>
        </w:rPr>
        <w:t>political guidelines for the</w:t>
      </w:r>
      <w:r w:rsidR="00BA7A95" w:rsidRPr="00FC48CF">
        <w:rPr>
          <w:noProof/>
          <w:lang w:val="en-IE"/>
        </w:rPr>
        <w:t xml:space="preserve"> </w:t>
      </w:r>
      <w:r w:rsidR="0084173F" w:rsidRPr="00FC48CF">
        <w:rPr>
          <w:noProof/>
          <w:lang w:val="en-IE"/>
        </w:rPr>
        <w:t>2019</w:t>
      </w:r>
      <w:r w:rsidR="00B4034D" w:rsidRPr="00FC48CF">
        <w:rPr>
          <w:noProof/>
          <w:lang w:val="en-IE"/>
        </w:rPr>
        <w:t>-</w:t>
      </w:r>
      <w:r w:rsidR="0084173F" w:rsidRPr="00FC48CF">
        <w:rPr>
          <w:noProof/>
          <w:lang w:val="en-IE"/>
        </w:rPr>
        <w:t>2024</w:t>
      </w:r>
      <w:r w:rsidR="00B4034D" w:rsidRPr="00FC48CF">
        <w:rPr>
          <w:noProof/>
          <w:lang w:val="en-IE"/>
        </w:rPr>
        <w:t xml:space="preserve"> term</w:t>
      </w:r>
      <w:r w:rsidR="00A122FA" w:rsidRPr="00FC48CF">
        <w:rPr>
          <w:noProof/>
          <w:lang w:val="en-IE"/>
        </w:rPr>
        <w:t xml:space="preserve">. </w:t>
      </w:r>
      <w:r w:rsidR="000C2689">
        <w:rPr>
          <w:noProof/>
          <w:lang w:val="en-IE"/>
        </w:rPr>
        <w:t>Of r</w:t>
      </w:r>
      <w:r w:rsidR="009E0512" w:rsidRPr="002F0513">
        <w:rPr>
          <w:noProof/>
          <w:lang w:val="en-IE"/>
        </w:rPr>
        <w:t>elevan</w:t>
      </w:r>
      <w:r w:rsidR="000C2689">
        <w:rPr>
          <w:noProof/>
          <w:lang w:val="en-IE"/>
        </w:rPr>
        <w:t>ce</w:t>
      </w:r>
      <w:r w:rsidR="009E0512" w:rsidRPr="00FC48CF">
        <w:rPr>
          <w:noProof/>
          <w:lang w:val="en-IE"/>
        </w:rPr>
        <w:t xml:space="preserve"> for radio equipment</w:t>
      </w:r>
      <w:r w:rsidR="007C55BB">
        <w:rPr>
          <w:noProof/>
          <w:lang w:val="en-IE"/>
        </w:rPr>
        <w:t xml:space="preserve"> is the fact that</w:t>
      </w:r>
      <w:r w:rsidR="009E0512" w:rsidRPr="00FC48CF">
        <w:rPr>
          <w:noProof/>
          <w:lang w:val="en-IE"/>
        </w:rPr>
        <w:t xml:space="preserve"> th</w:t>
      </w:r>
      <w:r w:rsidR="003B1D09" w:rsidRPr="00FC48CF">
        <w:rPr>
          <w:noProof/>
          <w:lang w:val="en-IE"/>
        </w:rPr>
        <w:t>ose</w:t>
      </w:r>
      <w:r w:rsidR="009E0512" w:rsidRPr="00FC48CF">
        <w:rPr>
          <w:noProof/>
          <w:lang w:val="en-IE"/>
        </w:rPr>
        <w:t xml:space="preserve"> guidelines mentioned</w:t>
      </w:r>
      <w:r w:rsidR="00166369" w:rsidRPr="00FC48CF">
        <w:rPr>
          <w:noProof/>
          <w:lang w:val="en-IE"/>
        </w:rPr>
        <w:t xml:space="preserve"> the Internet of Things</w:t>
      </w:r>
      <w:r w:rsidR="000C2689">
        <w:rPr>
          <w:noProof/>
          <w:lang w:val="en-IE"/>
        </w:rPr>
        <w:t>;</w:t>
      </w:r>
      <w:r w:rsidR="00166369" w:rsidRPr="00FC48CF">
        <w:rPr>
          <w:noProof/>
          <w:lang w:val="en-IE"/>
        </w:rPr>
        <w:t xml:space="preserve"> joint standards for </w:t>
      </w:r>
      <w:r w:rsidR="000C2689">
        <w:rPr>
          <w:noProof/>
          <w:lang w:val="en-IE"/>
        </w:rPr>
        <w:t>the EU’s</w:t>
      </w:r>
      <w:r w:rsidR="000C2689" w:rsidRPr="002F0513">
        <w:rPr>
          <w:noProof/>
          <w:lang w:val="en-IE"/>
        </w:rPr>
        <w:t xml:space="preserve"> </w:t>
      </w:r>
      <w:r w:rsidR="009E0512" w:rsidRPr="00FC48CF">
        <w:rPr>
          <w:noProof/>
          <w:lang w:val="en-IE"/>
        </w:rPr>
        <w:t>5G networks</w:t>
      </w:r>
      <w:r w:rsidR="000C2689">
        <w:rPr>
          <w:noProof/>
          <w:lang w:val="en-IE"/>
        </w:rPr>
        <w:t>;</w:t>
      </w:r>
      <w:r w:rsidR="009E0512" w:rsidRPr="00FC48CF">
        <w:rPr>
          <w:noProof/>
          <w:lang w:val="en-IE"/>
        </w:rPr>
        <w:t xml:space="preserve"> standards for new technologies</w:t>
      </w:r>
      <w:r w:rsidR="000C2689">
        <w:rPr>
          <w:noProof/>
          <w:lang w:val="en-IE"/>
        </w:rPr>
        <w:t>;</w:t>
      </w:r>
      <w:r w:rsidR="009E0512" w:rsidRPr="00FC48CF">
        <w:rPr>
          <w:noProof/>
          <w:lang w:val="en-IE"/>
        </w:rPr>
        <w:t xml:space="preserve"> </w:t>
      </w:r>
      <w:r w:rsidR="000C2689">
        <w:rPr>
          <w:noProof/>
          <w:lang w:val="en-IE"/>
        </w:rPr>
        <w:t>and</w:t>
      </w:r>
      <w:r w:rsidR="009E0512" w:rsidRPr="00FC48CF">
        <w:rPr>
          <w:noProof/>
          <w:lang w:val="en-IE"/>
        </w:rPr>
        <w:t xml:space="preserve"> </w:t>
      </w:r>
      <w:r w:rsidR="00166369" w:rsidRPr="00FC48CF">
        <w:rPr>
          <w:noProof/>
          <w:lang w:val="en-IE"/>
        </w:rPr>
        <w:t xml:space="preserve">high </w:t>
      </w:r>
      <w:r w:rsidR="005E2C35" w:rsidRPr="00FC48CF">
        <w:rPr>
          <w:noProof/>
          <w:lang w:val="en-IE"/>
        </w:rPr>
        <w:t xml:space="preserve">standards for </w:t>
      </w:r>
      <w:r w:rsidR="00166369" w:rsidRPr="00FC48CF">
        <w:rPr>
          <w:noProof/>
          <w:lang w:val="en-IE"/>
        </w:rPr>
        <w:t>privacy, (cyber)security, safety and ethi</w:t>
      </w:r>
      <w:r w:rsidR="005E2C35" w:rsidRPr="00FC48CF">
        <w:rPr>
          <w:noProof/>
          <w:lang w:val="en-IE"/>
        </w:rPr>
        <w:t>cs</w:t>
      </w:r>
      <w:r w:rsidR="009E0512" w:rsidRPr="00FC48CF">
        <w:rPr>
          <w:noProof/>
          <w:lang w:val="en-IE"/>
        </w:rPr>
        <w:t xml:space="preserve">. </w:t>
      </w:r>
    </w:p>
    <w:p w14:paraId="4DAE4CC7" w14:textId="1DBD1013" w:rsidR="0084173F" w:rsidRDefault="0084173F" w:rsidP="00166369">
      <w:pPr>
        <w:rPr>
          <w:noProof/>
          <w:lang w:val="en-IE"/>
        </w:rPr>
      </w:pPr>
      <w:r w:rsidRPr="00FC48CF">
        <w:rPr>
          <w:noProof/>
          <w:lang w:val="en-IE"/>
        </w:rPr>
        <w:t>This period was also marked by the COVID-19 pandemic</w:t>
      </w:r>
      <w:r w:rsidR="00421F62" w:rsidRPr="00FC48CF">
        <w:rPr>
          <w:noProof/>
          <w:lang w:val="en-IE"/>
        </w:rPr>
        <w:t xml:space="preserve">, </w:t>
      </w:r>
      <w:r w:rsidR="000C2689">
        <w:rPr>
          <w:noProof/>
          <w:lang w:val="en-IE"/>
        </w:rPr>
        <w:t xml:space="preserve">which </w:t>
      </w:r>
      <w:r w:rsidRPr="00FC48CF">
        <w:rPr>
          <w:noProof/>
          <w:lang w:val="en-IE"/>
        </w:rPr>
        <w:t xml:space="preserve">substantially increased the demand for remote access, thereby also accelerating the adoption of related radio equipment technologies and the need to </w:t>
      </w:r>
      <w:r w:rsidR="000C2689">
        <w:rPr>
          <w:noProof/>
          <w:lang w:val="en-IE"/>
        </w:rPr>
        <w:t>promote</w:t>
      </w:r>
      <w:r w:rsidR="000C2689" w:rsidRPr="002F0513">
        <w:rPr>
          <w:noProof/>
          <w:lang w:val="en-IE"/>
        </w:rPr>
        <w:t xml:space="preserve"> </w:t>
      </w:r>
      <w:r w:rsidRPr="00FC48CF">
        <w:rPr>
          <w:noProof/>
          <w:lang w:val="en-IE"/>
        </w:rPr>
        <w:t>cybersecurity.</w:t>
      </w:r>
    </w:p>
    <w:p w14:paraId="13BECE81" w14:textId="2306C131" w:rsidR="00746D22" w:rsidRPr="00FC48CF" w:rsidRDefault="00746D22" w:rsidP="00166369">
      <w:pPr>
        <w:rPr>
          <w:noProof/>
          <w:lang w:val="en-IE"/>
        </w:rPr>
      </w:pPr>
      <w:r>
        <w:rPr>
          <w:noProof/>
          <w:lang w:val="en-IE"/>
        </w:rPr>
        <w:t xml:space="preserve">Regarding the UK’s withdrawal from the EU, </w:t>
      </w:r>
      <w:r w:rsidR="00905A14">
        <w:rPr>
          <w:noProof/>
          <w:lang w:val="en-IE"/>
        </w:rPr>
        <w:t xml:space="preserve">any EU-based economic operator that purchases a product from the UK become an importer. Additionally, UK notified bodies lost their status as EU-notified bodies and were removed from </w:t>
      </w:r>
      <w:r w:rsidR="00905A14" w:rsidRPr="00FC48CF">
        <w:rPr>
          <w:noProof/>
          <w:lang w:val="en-IE"/>
        </w:rPr>
        <w:t>the Commission's information system on notified organisations (</w:t>
      </w:r>
      <w:r w:rsidR="00905A14" w:rsidRPr="002F0513">
        <w:rPr>
          <w:noProof/>
          <w:lang w:val="en-IE"/>
        </w:rPr>
        <w:t xml:space="preserve">the </w:t>
      </w:r>
      <w:hyperlink r:id="rId19" w:history="1">
        <w:r w:rsidR="00905A14" w:rsidRPr="00C16D9B">
          <w:rPr>
            <w:rStyle w:val="Hyperlink"/>
            <w:noProof/>
            <w:lang w:val="en-IE"/>
          </w:rPr>
          <w:t>NANDO database</w:t>
        </w:r>
      </w:hyperlink>
      <w:r w:rsidR="00905A14" w:rsidRPr="00FC48CF">
        <w:rPr>
          <w:noProof/>
          <w:lang w:val="en-IE"/>
        </w:rPr>
        <w:t>).</w:t>
      </w:r>
    </w:p>
    <w:p w14:paraId="2E7CD45B" w14:textId="531BA863" w:rsidR="00E4606B" w:rsidRPr="00FC48CF" w:rsidRDefault="00DF6AE8" w:rsidP="00E4606B">
      <w:pPr>
        <w:rPr>
          <w:noProof/>
          <w:lang w:val="en-IE"/>
        </w:rPr>
      </w:pPr>
      <w:r w:rsidRPr="002F0513">
        <w:rPr>
          <w:noProof/>
          <w:lang w:val="en-IE"/>
        </w:rPr>
        <w:t>Russia</w:t>
      </w:r>
      <w:r w:rsidR="000C2689">
        <w:rPr>
          <w:noProof/>
          <w:lang w:val="en-IE"/>
        </w:rPr>
        <w:t>’s illegal invasion of</w:t>
      </w:r>
      <w:r w:rsidRPr="00FC48CF">
        <w:rPr>
          <w:noProof/>
          <w:lang w:val="en-IE"/>
        </w:rPr>
        <w:t xml:space="preserve"> Ukraine has raised awareness of the </w:t>
      </w:r>
      <w:r w:rsidR="000C2689">
        <w:rPr>
          <w:noProof/>
          <w:lang w:val="en-IE"/>
        </w:rPr>
        <w:t>role</w:t>
      </w:r>
      <w:r w:rsidR="000C2689" w:rsidRPr="002F0513">
        <w:rPr>
          <w:noProof/>
          <w:lang w:val="en-IE"/>
        </w:rPr>
        <w:t xml:space="preserve"> </w:t>
      </w:r>
      <w:r w:rsidRPr="00FC48CF">
        <w:rPr>
          <w:noProof/>
          <w:lang w:val="en-IE"/>
        </w:rPr>
        <w:t>of telecommunication equipment in cybersecurity and the need to increase the level of resilience of radio equipment products on the EU market.</w:t>
      </w:r>
      <w:r w:rsidR="00D66189" w:rsidRPr="00FC48CF">
        <w:rPr>
          <w:noProof/>
          <w:lang w:val="en-IE"/>
        </w:rPr>
        <w:t xml:space="preserve"> </w:t>
      </w:r>
      <w:r w:rsidR="00105767">
        <w:rPr>
          <w:noProof/>
          <w:lang w:val="en-IE"/>
        </w:rPr>
        <w:t>T</w:t>
      </w:r>
      <w:r w:rsidRPr="00FC48CF">
        <w:rPr>
          <w:noProof/>
          <w:lang w:val="en-IE"/>
        </w:rPr>
        <w:t>he importance of high-precision radio equipment such as drones or dual-use products for both military and civil use</w:t>
      </w:r>
      <w:r w:rsidR="00FD4EAC">
        <w:rPr>
          <w:noProof/>
          <w:lang w:val="en-IE"/>
        </w:rPr>
        <w:t xml:space="preserve"> (</w:t>
      </w:r>
      <w:r w:rsidRPr="002F0513">
        <w:rPr>
          <w:noProof/>
          <w:lang w:val="en-IE"/>
        </w:rPr>
        <w:t>includ</w:t>
      </w:r>
      <w:r w:rsidR="00FD4EAC">
        <w:rPr>
          <w:noProof/>
          <w:lang w:val="en-IE"/>
        </w:rPr>
        <w:t>ing</w:t>
      </w:r>
      <w:r w:rsidRPr="00FC48CF">
        <w:rPr>
          <w:noProof/>
          <w:lang w:val="en-IE"/>
        </w:rPr>
        <w:t xml:space="preserve"> a number of wireless devices</w:t>
      </w:r>
      <w:r w:rsidR="00FD4EAC">
        <w:rPr>
          <w:noProof/>
          <w:lang w:val="en-IE"/>
        </w:rPr>
        <w:t>)</w:t>
      </w:r>
      <w:r w:rsidRPr="00FC48CF">
        <w:rPr>
          <w:noProof/>
          <w:lang w:val="en-IE"/>
        </w:rPr>
        <w:t xml:space="preserve"> must be highlighted.</w:t>
      </w:r>
      <w:bookmarkStart w:id="12" w:name="_Ref139889920"/>
    </w:p>
    <w:p w14:paraId="6F2EB131" w14:textId="209FD360" w:rsidR="00BA5C47" w:rsidRPr="00FC48CF" w:rsidRDefault="00BA5C47" w:rsidP="00E4606B">
      <w:pPr>
        <w:pStyle w:val="Heading1"/>
        <w:rPr>
          <w:noProof/>
          <w:color w:val="auto"/>
          <w:lang w:val="en-IE"/>
        </w:rPr>
      </w:pPr>
      <w:bookmarkStart w:id="13" w:name="_Toc152772481"/>
      <w:bookmarkStart w:id="14" w:name="_Toc151122105"/>
      <w:bookmarkStart w:id="15" w:name="_Toc156461226"/>
      <w:r w:rsidRPr="00FC48CF">
        <w:rPr>
          <w:noProof/>
          <w:color w:val="auto"/>
          <w:lang w:val="en-IE"/>
        </w:rPr>
        <w:lastRenderedPageBreak/>
        <w:t xml:space="preserve">Legislative </w:t>
      </w:r>
      <w:r w:rsidR="00037988" w:rsidRPr="00FC48CF">
        <w:rPr>
          <w:noProof/>
          <w:color w:val="auto"/>
          <w:lang w:val="en-IE"/>
        </w:rPr>
        <w:t>d</w:t>
      </w:r>
      <w:r w:rsidRPr="00FC48CF">
        <w:rPr>
          <w:noProof/>
          <w:color w:val="auto"/>
          <w:lang w:val="en-IE"/>
        </w:rPr>
        <w:t>evelopments</w:t>
      </w:r>
      <w:bookmarkEnd w:id="12"/>
      <w:bookmarkEnd w:id="13"/>
      <w:bookmarkEnd w:id="14"/>
      <w:bookmarkEnd w:id="15"/>
    </w:p>
    <w:p w14:paraId="6A47F1FC" w14:textId="6AF02064" w:rsidR="00B06136" w:rsidRPr="00FC48CF" w:rsidRDefault="007B71C8" w:rsidP="007B71C8">
      <w:pPr>
        <w:rPr>
          <w:noProof/>
          <w:lang w:val="en-IE"/>
        </w:rPr>
      </w:pPr>
      <w:r w:rsidRPr="00FC48CF">
        <w:rPr>
          <w:noProof/>
          <w:lang w:val="en-IE"/>
        </w:rPr>
        <w:t xml:space="preserve">Since 2018, </w:t>
      </w:r>
      <w:r w:rsidR="00B66736" w:rsidRPr="00FC48CF">
        <w:rPr>
          <w:noProof/>
          <w:lang w:val="en-IE"/>
        </w:rPr>
        <w:t>several</w:t>
      </w:r>
      <w:r w:rsidRPr="00FC48CF">
        <w:rPr>
          <w:noProof/>
          <w:lang w:val="en-IE"/>
        </w:rPr>
        <w:t xml:space="preserve"> pieces of legislation </w:t>
      </w:r>
      <w:r w:rsidR="00DF6AE8" w:rsidRPr="00FC48CF">
        <w:rPr>
          <w:noProof/>
          <w:lang w:val="en-IE"/>
        </w:rPr>
        <w:t xml:space="preserve">relevant </w:t>
      </w:r>
      <w:r w:rsidR="007C55BB">
        <w:rPr>
          <w:noProof/>
          <w:lang w:val="en-IE"/>
        </w:rPr>
        <w:t>to</w:t>
      </w:r>
      <w:r w:rsidR="007C55BB" w:rsidRPr="002F0513">
        <w:rPr>
          <w:noProof/>
          <w:lang w:val="en-IE"/>
        </w:rPr>
        <w:t xml:space="preserve"> </w:t>
      </w:r>
      <w:r w:rsidRPr="00FC48CF">
        <w:rPr>
          <w:noProof/>
          <w:lang w:val="en-IE"/>
        </w:rPr>
        <w:t xml:space="preserve">the </w:t>
      </w:r>
      <w:r w:rsidR="00B06136" w:rsidRPr="00FC48CF">
        <w:rPr>
          <w:noProof/>
          <w:lang w:val="en-IE"/>
        </w:rPr>
        <w:t>RED</w:t>
      </w:r>
      <w:r w:rsidRPr="00FC48CF">
        <w:rPr>
          <w:noProof/>
          <w:lang w:val="en-IE"/>
        </w:rPr>
        <w:t xml:space="preserve"> ha</w:t>
      </w:r>
      <w:r w:rsidR="00B66736" w:rsidRPr="00FC48CF">
        <w:rPr>
          <w:noProof/>
          <w:lang w:val="en-IE"/>
        </w:rPr>
        <w:t>ve</w:t>
      </w:r>
      <w:r w:rsidRPr="00FC48CF">
        <w:rPr>
          <w:noProof/>
          <w:lang w:val="en-IE"/>
        </w:rPr>
        <w:t xml:space="preserve"> been adopted</w:t>
      </w:r>
      <w:r w:rsidR="00DF6AE8" w:rsidRPr="00FC48CF">
        <w:rPr>
          <w:noProof/>
          <w:lang w:val="en-IE"/>
        </w:rPr>
        <w:t xml:space="preserve"> and more are under preparation</w:t>
      </w:r>
      <w:r w:rsidR="00B66736" w:rsidRPr="00FC48CF">
        <w:rPr>
          <w:noProof/>
          <w:lang w:val="en-IE"/>
        </w:rPr>
        <w:t xml:space="preserve">. </w:t>
      </w:r>
    </w:p>
    <w:p w14:paraId="3A476B8D" w14:textId="171A0AB5" w:rsidR="00AB6650" w:rsidRPr="00FC48CF" w:rsidRDefault="00AB6650" w:rsidP="00AB6650">
      <w:pPr>
        <w:pStyle w:val="Heading2"/>
        <w:rPr>
          <w:noProof/>
          <w:color w:val="auto"/>
          <w:lang w:val="en-IE"/>
        </w:rPr>
      </w:pPr>
      <w:bookmarkStart w:id="16" w:name="_Toc152772482"/>
      <w:bookmarkStart w:id="17" w:name="_Toc151122106"/>
      <w:bookmarkStart w:id="18" w:name="_Toc156461227"/>
      <w:r w:rsidRPr="00FC48CF">
        <w:rPr>
          <w:noProof/>
          <w:color w:val="auto"/>
          <w:lang w:val="en-IE"/>
        </w:rPr>
        <w:t>Regulation</w:t>
      </w:r>
      <w:r w:rsidR="004332E8">
        <w:rPr>
          <w:noProof/>
          <w:color w:val="auto"/>
          <w:lang w:val="en-IE"/>
        </w:rPr>
        <w:t> </w:t>
      </w:r>
      <w:r w:rsidRPr="00FC48CF">
        <w:rPr>
          <w:noProof/>
          <w:color w:val="auto"/>
          <w:lang w:val="en-IE"/>
        </w:rPr>
        <w:t xml:space="preserve">(EU) 2018/1139: </w:t>
      </w:r>
      <w:r w:rsidR="00FD4EAC">
        <w:rPr>
          <w:noProof/>
          <w:color w:val="auto"/>
          <w:lang w:val="en-IE"/>
        </w:rPr>
        <w:t>c</w:t>
      </w:r>
      <w:r w:rsidR="66246376" w:rsidRPr="002F0513">
        <w:rPr>
          <w:noProof/>
          <w:color w:val="auto"/>
          <w:lang w:val="en-IE"/>
        </w:rPr>
        <w:t>ivil</w:t>
      </w:r>
      <w:r w:rsidR="40DF00D4" w:rsidRPr="00FC48CF">
        <w:rPr>
          <w:noProof/>
          <w:color w:val="auto"/>
          <w:lang w:val="en-IE"/>
        </w:rPr>
        <w:t xml:space="preserve"> </w:t>
      </w:r>
      <w:r w:rsidR="0016323B" w:rsidRPr="00FC48CF">
        <w:rPr>
          <w:noProof/>
          <w:color w:val="auto"/>
          <w:lang w:val="en-IE"/>
        </w:rPr>
        <w:t>a</w:t>
      </w:r>
      <w:r w:rsidR="40DF00D4" w:rsidRPr="00FC48CF">
        <w:rPr>
          <w:noProof/>
          <w:color w:val="auto"/>
          <w:lang w:val="en-IE"/>
        </w:rPr>
        <w:t>viation (</w:t>
      </w:r>
      <w:r w:rsidR="0016323B" w:rsidRPr="00FC48CF">
        <w:rPr>
          <w:noProof/>
          <w:color w:val="auto"/>
          <w:lang w:val="en-IE"/>
        </w:rPr>
        <w:t>a</w:t>
      </w:r>
      <w:r w:rsidR="46626CEB" w:rsidRPr="00FC48CF">
        <w:rPr>
          <w:noProof/>
          <w:color w:val="auto"/>
          <w:lang w:val="en-IE"/>
        </w:rPr>
        <w:t>irborne</w:t>
      </w:r>
      <w:r w:rsidR="40DF00D4" w:rsidRPr="00FC48CF">
        <w:rPr>
          <w:noProof/>
          <w:color w:val="auto"/>
          <w:lang w:val="en-IE"/>
        </w:rPr>
        <w:t xml:space="preserve"> </w:t>
      </w:r>
      <w:r w:rsidR="0016323B" w:rsidRPr="00FC48CF">
        <w:rPr>
          <w:noProof/>
          <w:color w:val="auto"/>
          <w:lang w:val="en-IE"/>
        </w:rPr>
        <w:t>e</w:t>
      </w:r>
      <w:r w:rsidR="40DF00D4" w:rsidRPr="00FC48CF">
        <w:rPr>
          <w:noProof/>
          <w:color w:val="auto"/>
          <w:lang w:val="en-IE"/>
        </w:rPr>
        <w:t xml:space="preserve">quipment, </w:t>
      </w:r>
      <w:r w:rsidR="0016323B" w:rsidRPr="00FC48CF">
        <w:rPr>
          <w:noProof/>
          <w:color w:val="auto"/>
          <w:lang w:val="en-IE"/>
        </w:rPr>
        <w:t>d</w:t>
      </w:r>
      <w:r w:rsidRPr="00FC48CF">
        <w:rPr>
          <w:noProof/>
          <w:color w:val="auto"/>
          <w:lang w:val="en-IE"/>
        </w:rPr>
        <w:t>rones</w:t>
      </w:r>
      <w:r w:rsidR="413E24AB" w:rsidRPr="00FC48CF">
        <w:rPr>
          <w:noProof/>
          <w:color w:val="auto"/>
          <w:lang w:val="en-IE"/>
        </w:rPr>
        <w:t>)</w:t>
      </w:r>
      <w:bookmarkEnd w:id="16"/>
      <w:bookmarkEnd w:id="17"/>
      <w:bookmarkEnd w:id="18"/>
    </w:p>
    <w:p w14:paraId="696B538A" w14:textId="6717B807" w:rsidR="00AB6650" w:rsidRPr="00FC48CF" w:rsidRDefault="00CF5BC9" w:rsidP="00AB6650">
      <w:pPr>
        <w:rPr>
          <w:noProof/>
          <w:lang w:val="en-IE"/>
        </w:rPr>
      </w:pPr>
      <w:r w:rsidRPr="00FC48CF">
        <w:rPr>
          <w:noProof/>
          <w:lang w:val="en-IE"/>
        </w:rPr>
        <w:t>Regulation</w:t>
      </w:r>
      <w:r w:rsidR="004332E8">
        <w:rPr>
          <w:noProof/>
          <w:lang w:val="en-IE"/>
        </w:rPr>
        <w:t> </w:t>
      </w:r>
      <w:r w:rsidRPr="00FC48CF">
        <w:rPr>
          <w:noProof/>
          <w:lang w:val="en-IE"/>
        </w:rPr>
        <w:t>(EU)</w:t>
      </w:r>
      <w:r w:rsidR="004332E8">
        <w:rPr>
          <w:noProof/>
          <w:lang w:val="en-IE"/>
        </w:rPr>
        <w:t> </w:t>
      </w:r>
      <w:r w:rsidRPr="00FC48CF">
        <w:rPr>
          <w:noProof/>
          <w:lang w:val="en-IE"/>
        </w:rPr>
        <w:t>2018/1139</w:t>
      </w:r>
      <w:r w:rsidR="0077133E" w:rsidRPr="002F0513">
        <w:rPr>
          <w:noProof/>
          <w:lang w:val="en-IE"/>
        </w:rPr>
        <w:t> </w:t>
      </w:r>
      <w:r w:rsidRPr="00FC48CF">
        <w:rPr>
          <w:rStyle w:val="FootnoteReference"/>
          <w:noProof/>
          <w:lang w:val="en-IE"/>
        </w:rPr>
        <w:footnoteReference w:id="4"/>
      </w:r>
      <w:r w:rsidRPr="002F0513">
        <w:rPr>
          <w:noProof/>
          <w:lang w:val="en-IE"/>
        </w:rPr>
        <w:t xml:space="preserve"> (</w:t>
      </w:r>
      <w:r w:rsidRPr="00FC48CF">
        <w:rPr>
          <w:noProof/>
          <w:lang w:val="en-IE"/>
        </w:rPr>
        <w:t xml:space="preserve">EASA Regulation) modified the RED and, in particular, the regime applicable to the placing on the market of aviation </w:t>
      </w:r>
      <w:r w:rsidR="00D66189" w:rsidRPr="00FC48CF">
        <w:rPr>
          <w:noProof/>
          <w:lang w:val="en-IE"/>
        </w:rPr>
        <w:t xml:space="preserve">radio </w:t>
      </w:r>
      <w:r w:rsidRPr="00FC48CF">
        <w:rPr>
          <w:noProof/>
          <w:lang w:val="en-IE"/>
        </w:rPr>
        <w:t>equipment.</w:t>
      </w:r>
    </w:p>
    <w:p w14:paraId="2954BA23" w14:textId="13FBCB1F" w:rsidR="00E25C57" w:rsidRPr="00FC48CF" w:rsidRDefault="00E25C57" w:rsidP="00E25C57">
      <w:pPr>
        <w:pStyle w:val="Heading2"/>
        <w:rPr>
          <w:noProof/>
          <w:color w:val="auto"/>
          <w:lang w:val="en-IE"/>
        </w:rPr>
      </w:pPr>
      <w:bookmarkStart w:id="19" w:name="_Ref128066941"/>
      <w:bookmarkStart w:id="20" w:name="_Ref142040421"/>
      <w:bookmarkStart w:id="21" w:name="_Toc152772483"/>
      <w:bookmarkStart w:id="22" w:name="_Toc151122107"/>
      <w:bookmarkStart w:id="23" w:name="_Toc156461228"/>
      <w:r w:rsidRPr="00FC48CF">
        <w:rPr>
          <w:noProof/>
          <w:color w:val="auto"/>
          <w:lang w:val="en-IE"/>
        </w:rPr>
        <w:t xml:space="preserve">Delegated Regulation 2019/320: </w:t>
      </w:r>
      <w:r w:rsidR="00FD4EAC">
        <w:rPr>
          <w:noProof/>
          <w:color w:val="auto"/>
          <w:lang w:val="en-IE"/>
        </w:rPr>
        <w:t>a</w:t>
      </w:r>
      <w:r w:rsidRPr="002F0513">
        <w:rPr>
          <w:noProof/>
          <w:color w:val="auto"/>
          <w:lang w:val="en-IE"/>
        </w:rPr>
        <w:t>ccess</w:t>
      </w:r>
      <w:r w:rsidRPr="00FC48CF">
        <w:rPr>
          <w:noProof/>
          <w:color w:val="auto"/>
          <w:lang w:val="en-IE"/>
        </w:rPr>
        <w:t xml:space="preserve"> to emergency services from smartphones</w:t>
      </w:r>
      <w:bookmarkEnd w:id="19"/>
      <w:r w:rsidR="004A3914" w:rsidRPr="00FC48CF">
        <w:rPr>
          <w:noProof/>
          <w:color w:val="auto"/>
          <w:lang w:val="en-IE"/>
        </w:rPr>
        <w:t xml:space="preserve"> using the Galileo system</w:t>
      </w:r>
      <w:bookmarkEnd w:id="20"/>
      <w:bookmarkEnd w:id="21"/>
      <w:bookmarkEnd w:id="22"/>
      <w:bookmarkEnd w:id="23"/>
    </w:p>
    <w:p w14:paraId="3275A22A" w14:textId="426EEB4F" w:rsidR="00E25C57" w:rsidRPr="00FC48CF" w:rsidRDefault="00E25C57" w:rsidP="692BC2FB">
      <w:pPr>
        <w:rPr>
          <w:noProof/>
          <w:lang w:val="en-IE"/>
        </w:rPr>
      </w:pPr>
      <w:r w:rsidRPr="00FC48CF">
        <w:rPr>
          <w:noProof/>
          <w:lang w:val="en-IE"/>
        </w:rPr>
        <w:t>Delegated Regulation</w:t>
      </w:r>
      <w:r w:rsidR="006E04A8">
        <w:rPr>
          <w:noProof/>
          <w:lang w:val="en-IE"/>
        </w:rPr>
        <w:t> </w:t>
      </w:r>
      <w:r w:rsidRPr="00FC48CF">
        <w:rPr>
          <w:noProof/>
          <w:lang w:val="en-IE"/>
        </w:rPr>
        <w:t>(EU)</w:t>
      </w:r>
      <w:r w:rsidR="006E04A8">
        <w:rPr>
          <w:noProof/>
          <w:lang w:val="en-IE"/>
        </w:rPr>
        <w:t> </w:t>
      </w:r>
      <w:r w:rsidRPr="00FC48CF">
        <w:rPr>
          <w:noProof/>
          <w:lang w:val="en-IE"/>
        </w:rPr>
        <w:t>2019/320</w:t>
      </w:r>
      <w:r w:rsidR="0077133E" w:rsidRPr="002F0513">
        <w:rPr>
          <w:noProof/>
          <w:lang w:val="en-IE"/>
        </w:rPr>
        <w:t> </w:t>
      </w:r>
      <w:r w:rsidRPr="00FC48CF">
        <w:rPr>
          <w:rStyle w:val="FootnoteReference"/>
          <w:noProof/>
          <w:lang w:val="en-IE"/>
        </w:rPr>
        <w:footnoteReference w:id="5"/>
      </w:r>
      <w:r w:rsidRPr="00FC48CF">
        <w:rPr>
          <w:noProof/>
          <w:lang w:val="en-IE"/>
        </w:rPr>
        <w:t xml:space="preserve"> </w:t>
      </w:r>
      <w:r w:rsidR="005D795D">
        <w:rPr>
          <w:noProof/>
          <w:lang w:val="en-IE"/>
        </w:rPr>
        <w:t>made</w:t>
      </w:r>
      <w:r w:rsidR="30C8758C" w:rsidRPr="00FC48CF">
        <w:rPr>
          <w:noProof/>
          <w:lang w:val="en-IE"/>
        </w:rPr>
        <w:t xml:space="preserve"> </w:t>
      </w:r>
      <w:r w:rsidR="5FD0A4E7" w:rsidRPr="00FC48CF">
        <w:rPr>
          <w:noProof/>
          <w:lang w:val="en-IE"/>
        </w:rPr>
        <w:t>the essential requirement set out in Article</w:t>
      </w:r>
      <w:r w:rsidR="006E04A8">
        <w:rPr>
          <w:noProof/>
          <w:lang w:val="en-IE"/>
        </w:rPr>
        <w:t> </w:t>
      </w:r>
      <w:r w:rsidR="5FD0A4E7" w:rsidRPr="00FC48CF">
        <w:rPr>
          <w:noProof/>
          <w:lang w:val="en-IE"/>
        </w:rPr>
        <w:t>3</w:t>
      </w:r>
      <w:r w:rsidR="005E10EC" w:rsidRPr="00FC48CF">
        <w:rPr>
          <w:noProof/>
        </w:rPr>
        <w:t>(</w:t>
      </w:r>
      <w:r w:rsidR="5FD0A4E7" w:rsidRPr="00FC48CF">
        <w:rPr>
          <w:noProof/>
          <w:lang w:val="en-IE"/>
        </w:rPr>
        <w:t>3</w:t>
      </w:r>
      <w:r w:rsidR="00980849" w:rsidRPr="002F0513">
        <w:rPr>
          <w:noProof/>
          <w:lang w:val="en-IE"/>
        </w:rPr>
        <w:t>)</w:t>
      </w:r>
      <w:r w:rsidR="5FD0A4E7">
        <w:rPr>
          <w:noProof/>
        </w:rPr>
        <w:t>(</w:t>
      </w:r>
      <w:r w:rsidR="5FD0A4E7" w:rsidRPr="00FC48CF">
        <w:rPr>
          <w:noProof/>
          <w:lang w:val="en-IE"/>
        </w:rPr>
        <w:t>g) of the RED</w:t>
      </w:r>
      <w:r w:rsidR="20142013" w:rsidRPr="00FC48CF">
        <w:rPr>
          <w:noProof/>
          <w:lang w:val="en-IE"/>
        </w:rPr>
        <w:t xml:space="preserve"> </w:t>
      </w:r>
      <w:r w:rsidR="005D795D" w:rsidRPr="002F0513">
        <w:rPr>
          <w:noProof/>
          <w:lang w:val="en-IE"/>
        </w:rPr>
        <w:t xml:space="preserve">applicable </w:t>
      </w:r>
      <w:r w:rsidR="796CE1B4" w:rsidRPr="00FC48CF">
        <w:rPr>
          <w:noProof/>
          <w:lang w:val="en-IE"/>
        </w:rPr>
        <w:t>to</w:t>
      </w:r>
      <w:r w:rsidR="5FD0A4E7" w:rsidRPr="00FC48CF">
        <w:rPr>
          <w:noProof/>
          <w:lang w:val="en-IE"/>
        </w:rPr>
        <w:t xml:space="preserve"> </w:t>
      </w:r>
      <w:r w:rsidR="03AA60F4" w:rsidRPr="00FC48CF">
        <w:rPr>
          <w:noProof/>
          <w:lang w:val="en-IE"/>
        </w:rPr>
        <w:t>smartphones</w:t>
      </w:r>
      <w:r w:rsidR="005D795D">
        <w:rPr>
          <w:noProof/>
          <w:lang w:val="en-IE"/>
        </w:rPr>
        <w:t xml:space="preserve"> </w:t>
      </w:r>
      <w:r w:rsidR="005D795D" w:rsidRPr="002F0513">
        <w:rPr>
          <w:noProof/>
          <w:lang w:val="en-IE"/>
        </w:rPr>
        <w:t xml:space="preserve">as </w:t>
      </w:r>
      <w:r w:rsidR="005D795D">
        <w:rPr>
          <w:noProof/>
          <w:lang w:val="en-IE"/>
        </w:rPr>
        <w:t>from</w:t>
      </w:r>
      <w:r w:rsidR="005D795D" w:rsidRPr="002F0513">
        <w:rPr>
          <w:noProof/>
          <w:lang w:val="en-IE"/>
        </w:rPr>
        <w:t xml:space="preserve"> 17 March 2017</w:t>
      </w:r>
      <w:r w:rsidR="5FD0A4E7" w:rsidRPr="002F0513">
        <w:rPr>
          <w:noProof/>
          <w:lang w:val="en-IE"/>
        </w:rPr>
        <w:t>.</w:t>
      </w:r>
      <w:r w:rsidR="5FD0A4E7" w:rsidRPr="00FC48CF">
        <w:rPr>
          <w:noProof/>
          <w:lang w:val="en-IE"/>
        </w:rPr>
        <w:t xml:space="preserve"> </w:t>
      </w:r>
      <w:r w:rsidR="00980849" w:rsidRPr="002F0513">
        <w:rPr>
          <w:noProof/>
          <w:lang w:val="en-IE"/>
        </w:rPr>
        <w:t>S</w:t>
      </w:r>
      <w:r w:rsidR="5FD0A4E7" w:rsidRPr="002F0513">
        <w:rPr>
          <w:noProof/>
          <w:lang w:val="en-IE"/>
        </w:rPr>
        <w:t>martphones</w:t>
      </w:r>
      <w:r w:rsidR="009F6102" w:rsidRPr="00FC48CF">
        <w:rPr>
          <w:noProof/>
          <w:lang w:val="en-IE"/>
        </w:rPr>
        <w:t>, when accessing emergency services,</w:t>
      </w:r>
      <w:r w:rsidR="5FD0A4E7" w:rsidRPr="00FC48CF">
        <w:rPr>
          <w:noProof/>
          <w:lang w:val="en-IE"/>
        </w:rPr>
        <w:t xml:space="preserve"> </w:t>
      </w:r>
      <w:r w:rsidR="00980849" w:rsidRPr="002F0513">
        <w:rPr>
          <w:rFonts w:eastAsia="Times New Roman" w:cs="Times New Roman"/>
          <w:noProof/>
          <w:lang w:val="en-IE"/>
        </w:rPr>
        <w:t xml:space="preserve">must </w:t>
      </w:r>
      <w:r w:rsidR="5FD0A4E7" w:rsidRPr="00FC48CF">
        <w:rPr>
          <w:noProof/>
          <w:lang w:val="en-IE"/>
        </w:rPr>
        <w:t xml:space="preserve">support </w:t>
      </w:r>
      <w:r w:rsidRPr="00FC48CF">
        <w:rPr>
          <w:noProof/>
          <w:lang w:val="en-IE"/>
        </w:rPr>
        <w:t>technical solutions for the reception and processing of WiFi data, data from Global Navigation Satellite Systems (GNSS), compatible and interoperable with at least the Galileo system</w:t>
      </w:r>
      <w:r w:rsidR="00FD4EAC">
        <w:rPr>
          <w:noProof/>
          <w:lang w:val="en-IE"/>
        </w:rPr>
        <w:t>;</w:t>
      </w:r>
      <w:r w:rsidRPr="00FC48CF">
        <w:rPr>
          <w:noProof/>
          <w:lang w:val="en-IE"/>
        </w:rPr>
        <w:t xml:space="preserve"> and for making that data </w:t>
      </w:r>
      <w:r w:rsidR="00FD4EAC" w:rsidRPr="002F0513">
        <w:rPr>
          <w:noProof/>
          <w:lang w:val="en-IE"/>
        </w:rPr>
        <w:t xml:space="preserve">available </w:t>
      </w:r>
      <w:r w:rsidRPr="00FC48CF">
        <w:rPr>
          <w:noProof/>
          <w:lang w:val="en-IE"/>
        </w:rPr>
        <w:t>for transmission in emergency communications.</w:t>
      </w:r>
    </w:p>
    <w:p w14:paraId="769A242F" w14:textId="46954B93" w:rsidR="00E25C57" w:rsidRPr="00FC48CF" w:rsidRDefault="59F0859D" w:rsidP="007B71C8">
      <w:pPr>
        <w:rPr>
          <w:noProof/>
          <w:lang w:val="en-IE"/>
        </w:rPr>
      </w:pPr>
      <w:r w:rsidRPr="00FC48CF">
        <w:rPr>
          <w:noProof/>
          <w:lang w:val="en-IE"/>
        </w:rPr>
        <w:t xml:space="preserve">In the absence of harmonised standards, manufacturers must have the conformity of their radio equipment products with </w:t>
      </w:r>
      <w:r w:rsidR="009F1B3D">
        <w:rPr>
          <w:noProof/>
          <w:lang w:val="en-IE"/>
        </w:rPr>
        <w:t xml:space="preserve">this </w:t>
      </w:r>
      <w:r w:rsidRPr="00FC48CF">
        <w:rPr>
          <w:noProof/>
          <w:lang w:val="en-IE"/>
        </w:rPr>
        <w:t>essential requirement assessed by a notified body.</w:t>
      </w:r>
    </w:p>
    <w:p w14:paraId="49F41C15" w14:textId="5DBDAF6E" w:rsidR="0016323B" w:rsidRPr="00FC48CF" w:rsidRDefault="0016323B" w:rsidP="0016323B">
      <w:pPr>
        <w:pStyle w:val="Heading2"/>
        <w:rPr>
          <w:noProof/>
          <w:color w:val="auto"/>
          <w:lang w:val="en-IE"/>
        </w:rPr>
      </w:pPr>
      <w:bookmarkStart w:id="24" w:name="_Toc152772484"/>
      <w:bookmarkStart w:id="25" w:name="_Toc151122108"/>
      <w:bookmarkStart w:id="26" w:name="_Toc156461229"/>
      <w:r w:rsidRPr="00FC48CF">
        <w:rPr>
          <w:noProof/>
          <w:color w:val="auto"/>
          <w:lang w:val="en-IE"/>
        </w:rPr>
        <w:t>Regulation</w:t>
      </w:r>
      <w:r w:rsidR="004332E8">
        <w:rPr>
          <w:noProof/>
          <w:color w:val="auto"/>
          <w:lang w:val="en-IE"/>
        </w:rPr>
        <w:t> </w:t>
      </w:r>
      <w:r w:rsidRPr="00FC48CF">
        <w:rPr>
          <w:noProof/>
          <w:color w:val="auto"/>
          <w:lang w:val="en-IE"/>
        </w:rPr>
        <w:t>(EU)</w:t>
      </w:r>
      <w:r w:rsidR="004332E8">
        <w:rPr>
          <w:noProof/>
          <w:color w:val="auto"/>
          <w:lang w:val="en-IE"/>
        </w:rPr>
        <w:t> </w:t>
      </w:r>
      <w:r w:rsidRPr="00FC48CF">
        <w:rPr>
          <w:noProof/>
          <w:color w:val="auto"/>
          <w:lang w:val="en-IE"/>
        </w:rPr>
        <w:t xml:space="preserve">2019/1020: </w:t>
      </w:r>
      <w:r w:rsidR="00924C50">
        <w:rPr>
          <w:noProof/>
          <w:color w:val="auto"/>
          <w:lang w:val="en-IE"/>
        </w:rPr>
        <w:t>m</w:t>
      </w:r>
      <w:r w:rsidRPr="00FC48CF">
        <w:rPr>
          <w:noProof/>
          <w:color w:val="auto"/>
          <w:lang w:val="en-IE"/>
        </w:rPr>
        <w:t>arket surveillance and compliance of products</w:t>
      </w:r>
      <w:bookmarkEnd w:id="24"/>
      <w:bookmarkEnd w:id="25"/>
      <w:bookmarkEnd w:id="26"/>
      <w:r w:rsidRPr="00FC48CF">
        <w:rPr>
          <w:noProof/>
          <w:color w:val="auto"/>
          <w:lang w:val="en-IE"/>
        </w:rPr>
        <w:t xml:space="preserve"> </w:t>
      </w:r>
    </w:p>
    <w:p w14:paraId="34E63536" w14:textId="4C4C2807" w:rsidR="0016323B" w:rsidRPr="00FC48CF" w:rsidRDefault="0016323B" w:rsidP="0016323B">
      <w:pPr>
        <w:rPr>
          <w:noProof/>
          <w:lang w:val="en-IE"/>
        </w:rPr>
      </w:pPr>
      <w:r w:rsidRPr="11DD51CB">
        <w:rPr>
          <w:noProof/>
          <w:lang w:val="en-IE"/>
        </w:rPr>
        <w:t>Regulation</w:t>
      </w:r>
      <w:r w:rsidR="006E04A8">
        <w:rPr>
          <w:noProof/>
          <w:lang w:val="en-IE"/>
        </w:rPr>
        <w:t> </w:t>
      </w:r>
      <w:r w:rsidRPr="11DD51CB">
        <w:rPr>
          <w:noProof/>
          <w:lang w:val="en-IE"/>
        </w:rPr>
        <w:t>(EU)</w:t>
      </w:r>
      <w:r w:rsidR="006E04A8">
        <w:rPr>
          <w:noProof/>
          <w:lang w:val="en-IE"/>
        </w:rPr>
        <w:t> </w:t>
      </w:r>
      <w:r w:rsidRPr="11DD51CB">
        <w:rPr>
          <w:noProof/>
          <w:lang w:val="en-IE"/>
        </w:rPr>
        <w:t>2019/1020</w:t>
      </w:r>
      <w:r w:rsidR="0077133E" w:rsidRPr="002F0513">
        <w:rPr>
          <w:noProof/>
          <w:lang w:val="en-IE"/>
        </w:rPr>
        <w:t> </w:t>
      </w:r>
      <w:r w:rsidRPr="11DD51CB">
        <w:rPr>
          <w:rStyle w:val="FootnoteReference"/>
          <w:noProof/>
          <w:lang w:val="en-IE"/>
        </w:rPr>
        <w:footnoteReference w:id="6"/>
      </w:r>
      <w:r w:rsidRPr="00FC48CF">
        <w:rPr>
          <w:noProof/>
          <w:lang w:val="en-IE"/>
        </w:rPr>
        <w:t xml:space="preserve"> applies </w:t>
      </w:r>
      <w:r w:rsidR="003A1CF3">
        <w:rPr>
          <w:noProof/>
          <w:lang w:val="en-IE"/>
        </w:rPr>
        <w:t xml:space="preserve">since 16 July 2021 </w:t>
      </w:r>
      <w:r w:rsidRPr="00FC48CF">
        <w:rPr>
          <w:noProof/>
          <w:lang w:val="en-IE"/>
        </w:rPr>
        <w:t xml:space="preserve">to products that are subject to the </w:t>
      </w:r>
      <w:r w:rsidR="00980849" w:rsidRPr="002F0513">
        <w:rPr>
          <w:rFonts w:eastAsia="Times New Roman" w:cs="Times New Roman"/>
          <w:noProof/>
          <w:lang w:val="en-IE"/>
        </w:rPr>
        <w:t xml:space="preserve">EU’s </w:t>
      </w:r>
      <w:r w:rsidRPr="00FC48CF">
        <w:rPr>
          <w:noProof/>
          <w:lang w:val="en-IE"/>
        </w:rPr>
        <w:t>harmonisation legislation</w:t>
      </w:r>
      <w:r w:rsidR="003A1CF3">
        <w:rPr>
          <w:noProof/>
          <w:lang w:val="en-IE"/>
        </w:rPr>
        <w:t>, including the RED</w:t>
      </w:r>
      <w:r w:rsidRPr="002F0513">
        <w:rPr>
          <w:rFonts w:eastAsia="Times New Roman" w:cs="Times New Roman"/>
          <w:noProof/>
          <w:lang w:val="en-IE"/>
        </w:rPr>
        <w:t>.</w:t>
      </w:r>
    </w:p>
    <w:p w14:paraId="0BFFB210" w14:textId="43E1621F" w:rsidR="00D154CE" w:rsidRPr="00FC48CF" w:rsidRDefault="00A1737C" w:rsidP="00D154CE">
      <w:pPr>
        <w:pStyle w:val="Heading2"/>
        <w:rPr>
          <w:noProof/>
          <w:color w:val="auto"/>
          <w:lang w:val="en-IE"/>
        </w:rPr>
      </w:pPr>
      <w:bookmarkStart w:id="27" w:name="_Ref128067015"/>
      <w:bookmarkStart w:id="28" w:name="_Toc152772485"/>
      <w:bookmarkStart w:id="29" w:name="_Toc151122109"/>
      <w:bookmarkStart w:id="30" w:name="_Toc156461230"/>
      <w:r w:rsidRPr="00FC48CF">
        <w:rPr>
          <w:noProof/>
          <w:color w:val="auto"/>
          <w:lang w:val="en-IE"/>
        </w:rPr>
        <w:t>Delegated Regulation</w:t>
      </w:r>
      <w:r w:rsidR="00923F25">
        <w:rPr>
          <w:noProof/>
          <w:color w:val="auto"/>
          <w:lang w:val="en-IE"/>
        </w:rPr>
        <w:t> </w:t>
      </w:r>
      <w:r w:rsidRPr="00FC48CF">
        <w:rPr>
          <w:noProof/>
          <w:color w:val="auto"/>
          <w:lang w:val="en-IE"/>
        </w:rPr>
        <w:t>(EU)</w:t>
      </w:r>
      <w:r w:rsidR="00923F25">
        <w:rPr>
          <w:noProof/>
          <w:color w:val="auto"/>
          <w:lang w:val="en-IE"/>
        </w:rPr>
        <w:t> </w:t>
      </w:r>
      <w:r w:rsidRPr="00FC48CF">
        <w:rPr>
          <w:noProof/>
          <w:color w:val="auto"/>
          <w:lang w:val="en-IE"/>
        </w:rPr>
        <w:t xml:space="preserve">2022/30: </w:t>
      </w:r>
      <w:r w:rsidR="00924C50">
        <w:rPr>
          <w:noProof/>
          <w:color w:val="auto"/>
          <w:lang w:val="en-IE"/>
        </w:rPr>
        <w:t>c</w:t>
      </w:r>
      <w:r w:rsidR="00D154CE" w:rsidRPr="002F0513">
        <w:rPr>
          <w:noProof/>
          <w:color w:val="auto"/>
          <w:lang w:val="en-IE"/>
        </w:rPr>
        <w:t>ybersecurity</w:t>
      </w:r>
      <w:bookmarkEnd w:id="27"/>
      <w:bookmarkEnd w:id="28"/>
      <w:bookmarkEnd w:id="29"/>
      <w:bookmarkEnd w:id="30"/>
    </w:p>
    <w:p w14:paraId="5A434D20" w14:textId="57E7BFEF" w:rsidR="00986403" w:rsidRDefault="7AE44D8B" w:rsidP="00986403">
      <w:pPr>
        <w:rPr>
          <w:noProof/>
          <w:lang w:val="en-IE"/>
        </w:rPr>
      </w:pPr>
      <w:r w:rsidRPr="00986403">
        <w:rPr>
          <w:noProof/>
          <w:lang w:val="en-IE"/>
        </w:rPr>
        <w:t>The Commission adopted</w:t>
      </w:r>
      <w:r w:rsidR="00290EE4">
        <w:rPr>
          <w:noProof/>
          <w:lang w:val="en-IE"/>
        </w:rPr>
        <w:t xml:space="preserve"> on 29 October 2021</w:t>
      </w:r>
      <w:r w:rsidRPr="00986403">
        <w:rPr>
          <w:noProof/>
          <w:lang w:val="en-IE"/>
        </w:rPr>
        <w:t xml:space="preserve"> </w:t>
      </w:r>
      <w:bookmarkStart w:id="31" w:name="_Hlk153367890"/>
      <w:r w:rsidRPr="00986403">
        <w:rPr>
          <w:noProof/>
          <w:lang w:val="en-IE"/>
        </w:rPr>
        <w:t xml:space="preserve">Delegated </w:t>
      </w:r>
      <w:r w:rsidR="75FBC6F7" w:rsidRPr="00FC48CF">
        <w:rPr>
          <w:noProof/>
          <w:lang w:val="en-IE"/>
        </w:rPr>
        <w:t>Regulation</w:t>
      </w:r>
      <w:r w:rsidR="00923F25">
        <w:rPr>
          <w:noProof/>
          <w:lang w:val="en-IE"/>
        </w:rPr>
        <w:t> </w:t>
      </w:r>
      <w:r w:rsidR="75FBC6F7" w:rsidRPr="00FC48CF">
        <w:rPr>
          <w:noProof/>
          <w:lang w:val="en-IE"/>
        </w:rPr>
        <w:t>(EU)</w:t>
      </w:r>
      <w:r w:rsidR="00923F25">
        <w:rPr>
          <w:noProof/>
          <w:lang w:val="en-IE"/>
        </w:rPr>
        <w:t> </w:t>
      </w:r>
      <w:r w:rsidR="75FBC6F7" w:rsidRPr="00FC48CF">
        <w:rPr>
          <w:noProof/>
          <w:lang w:val="en-IE"/>
        </w:rPr>
        <w:t>2022/30</w:t>
      </w:r>
      <w:r w:rsidR="0077133E" w:rsidRPr="002F0513">
        <w:rPr>
          <w:noProof/>
          <w:lang w:val="en-IE"/>
        </w:rPr>
        <w:t> </w:t>
      </w:r>
      <w:bookmarkEnd w:id="31"/>
      <w:r w:rsidR="00517B20">
        <w:rPr>
          <w:rStyle w:val="FootnoteReference"/>
          <w:noProof/>
          <w:lang w:val="en-IE"/>
        </w:rPr>
        <w:footnoteReference w:id="7"/>
      </w:r>
      <w:r w:rsidR="00F773D7">
        <w:rPr>
          <w:noProof/>
          <w:lang w:val="en-IE"/>
        </w:rPr>
        <w:t>, which</w:t>
      </w:r>
      <w:r w:rsidRPr="00986403">
        <w:rPr>
          <w:noProof/>
          <w:lang w:val="en-IE"/>
        </w:rPr>
        <w:t xml:space="preserve"> </w:t>
      </w:r>
      <w:r w:rsidR="503C4269" w:rsidRPr="692BC2FB">
        <w:rPr>
          <w:noProof/>
          <w:lang w:val="en-IE"/>
        </w:rPr>
        <w:t xml:space="preserve">will </w:t>
      </w:r>
      <w:r w:rsidR="00B06DF6">
        <w:rPr>
          <w:noProof/>
          <w:lang w:val="en-IE"/>
        </w:rPr>
        <w:t>make</w:t>
      </w:r>
      <w:r w:rsidR="00B06DF6" w:rsidRPr="002F0513">
        <w:rPr>
          <w:noProof/>
          <w:lang w:val="en-IE"/>
        </w:rPr>
        <w:t xml:space="preserve"> </w:t>
      </w:r>
      <w:r w:rsidR="6B7FCEA3" w:rsidRPr="692BC2FB">
        <w:rPr>
          <w:noProof/>
          <w:lang w:val="en-IE"/>
        </w:rPr>
        <w:t xml:space="preserve">the </w:t>
      </w:r>
      <w:r w:rsidR="38EECE27" w:rsidRPr="692BC2FB">
        <w:rPr>
          <w:noProof/>
          <w:lang w:val="en-IE"/>
        </w:rPr>
        <w:t>essential</w:t>
      </w:r>
      <w:r w:rsidR="6B7FCEA3" w:rsidRPr="692BC2FB">
        <w:rPr>
          <w:noProof/>
          <w:lang w:val="en-IE"/>
        </w:rPr>
        <w:t xml:space="preserve"> </w:t>
      </w:r>
      <w:r w:rsidR="5B2C7934" w:rsidRPr="692BC2FB">
        <w:rPr>
          <w:noProof/>
          <w:lang w:val="en-IE"/>
        </w:rPr>
        <w:t>requirements</w:t>
      </w:r>
      <w:r w:rsidR="6B7FCEA3" w:rsidRPr="692BC2FB">
        <w:rPr>
          <w:noProof/>
          <w:lang w:val="en-IE"/>
        </w:rPr>
        <w:t xml:space="preserve"> set out in</w:t>
      </w:r>
      <w:r w:rsidR="006E04A8">
        <w:rPr>
          <w:noProof/>
          <w:lang w:val="en-IE"/>
        </w:rPr>
        <w:t> </w:t>
      </w:r>
      <w:r w:rsidR="64C666A5">
        <w:rPr>
          <w:noProof/>
          <w:lang w:val="en-IE"/>
        </w:rPr>
        <w:t>A</w:t>
      </w:r>
      <w:r w:rsidRPr="00986403">
        <w:rPr>
          <w:noProof/>
          <w:lang w:val="en-IE"/>
        </w:rPr>
        <w:t>rticles</w:t>
      </w:r>
      <w:r w:rsidR="00923F25">
        <w:rPr>
          <w:noProof/>
          <w:lang w:val="en-IE"/>
        </w:rPr>
        <w:t> </w:t>
      </w:r>
      <w:r w:rsidRPr="00986403">
        <w:rPr>
          <w:noProof/>
          <w:lang w:val="en-IE"/>
        </w:rPr>
        <w:t>3</w:t>
      </w:r>
      <w:r w:rsidR="005423CB">
        <w:rPr>
          <w:noProof/>
          <w:lang w:val="en-IE"/>
        </w:rPr>
        <w:t>(</w:t>
      </w:r>
      <w:r w:rsidR="0F3F978D">
        <w:rPr>
          <w:noProof/>
          <w:lang w:val="en-IE"/>
        </w:rPr>
        <w:t>3</w:t>
      </w:r>
      <w:r w:rsidR="005423CB">
        <w:rPr>
          <w:noProof/>
          <w:lang w:val="en-IE"/>
        </w:rPr>
        <w:t>)</w:t>
      </w:r>
      <w:r w:rsidRPr="00986403">
        <w:rPr>
          <w:noProof/>
          <w:lang w:val="en-IE"/>
        </w:rPr>
        <w:t xml:space="preserve">(d), (e) and (f) </w:t>
      </w:r>
      <w:r w:rsidR="5BD0010B" w:rsidRPr="692BC2FB">
        <w:rPr>
          <w:noProof/>
          <w:lang w:val="en-IE"/>
        </w:rPr>
        <w:t>of the RE</w:t>
      </w:r>
      <w:r w:rsidR="0F12BF57" w:rsidRPr="692BC2FB">
        <w:rPr>
          <w:noProof/>
          <w:lang w:val="en-IE"/>
        </w:rPr>
        <w:t>D</w:t>
      </w:r>
      <w:r w:rsidR="5BD0010B" w:rsidRPr="692BC2FB">
        <w:rPr>
          <w:noProof/>
          <w:lang w:val="en-IE"/>
        </w:rPr>
        <w:t xml:space="preserve"> </w:t>
      </w:r>
      <w:r w:rsidR="00B06DF6">
        <w:rPr>
          <w:noProof/>
          <w:lang w:val="en-IE"/>
        </w:rPr>
        <w:t xml:space="preserve">applicable </w:t>
      </w:r>
      <w:r w:rsidR="2E7F01DD" w:rsidRPr="692BC2FB">
        <w:rPr>
          <w:noProof/>
          <w:lang w:val="en-IE"/>
        </w:rPr>
        <w:t>to</w:t>
      </w:r>
      <w:r w:rsidRPr="00986403">
        <w:rPr>
          <w:noProof/>
          <w:lang w:val="en-IE"/>
        </w:rPr>
        <w:t xml:space="preserve"> certain categories of radio equipment</w:t>
      </w:r>
      <w:r w:rsidR="43AB94EA" w:rsidRPr="692BC2FB">
        <w:rPr>
          <w:noProof/>
          <w:lang w:val="en-IE"/>
        </w:rPr>
        <w:t xml:space="preserve">. </w:t>
      </w:r>
      <w:r w:rsidR="0066550D">
        <w:rPr>
          <w:noProof/>
          <w:lang w:val="en-IE"/>
        </w:rPr>
        <w:t>A</w:t>
      </w:r>
      <w:r>
        <w:rPr>
          <w:noProof/>
          <w:lang w:val="en-IE"/>
        </w:rPr>
        <w:t xml:space="preserve">n </w:t>
      </w:r>
      <w:hyperlink r:id="rId20" w:history="1">
        <w:r w:rsidRPr="00ED6D98">
          <w:rPr>
            <w:rStyle w:val="Hyperlink"/>
            <w:noProof/>
            <w:lang w:val="en-IE"/>
          </w:rPr>
          <w:t>impact assessment</w:t>
        </w:r>
      </w:hyperlink>
      <w:r w:rsidR="0066550D">
        <w:rPr>
          <w:noProof/>
          <w:lang w:val="en-IE"/>
        </w:rPr>
        <w:t xml:space="preserve"> has been performed by the Commission</w:t>
      </w:r>
      <w:r w:rsidR="002E75C3">
        <w:rPr>
          <w:noProof/>
          <w:lang w:val="en-IE"/>
        </w:rPr>
        <w:t>.</w:t>
      </w:r>
    </w:p>
    <w:p w14:paraId="2F633490" w14:textId="679804F9" w:rsidR="00986403" w:rsidRPr="00986403" w:rsidRDefault="359889F9" w:rsidP="00986403">
      <w:pPr>
        <w:rPr>
          <w:noProof/>
          <w:lang w:val="en-IE"/>
        </w:rPr>
      </w:pPr>
      <w:r w:rsidRPr="533D4451">
        <w:rPr>
          <w:noProof/>
          <w:lang w:val="en-IE"/>
        </w:rPr>
        <w:lastRenderedPageBreak/>
        <w:t xml:space="preserve">More </w:t>
      </w:r>
      <w:r w:rsidR="11C5FE4B" w:rsidRPr="533D4451">
        <w:rPr>
          <w:noProof/>
          <w:lang w:val="en-IE"/>
        </w:rPr>
        <w:t>specifically</w:t>
      </w:r>
      <w:r w:rsidRPr="533D4451">
        <w:rPr>
          <w:noProof/>
          <w:lang w:val="en-IE"/>
        </w:rPr>
        <w:t xml:space="preserve">, </w:t>
      </w:r>
      <w:r w:rsidRPr="002F0513">
        <w:rPr>
          <w:noProof/>
          <w:lang w:val="en-IE"/>
        </w:rPr>
        <w:t>t</w:t>
      </w:r>
      <w:r w:rsidR="00986403" w:rsidRPr="002F0513">
        <w:rPr>
          <w:noProof/>
          <w:lang w:val="en-IE"/>
        </w:rPr>
        <w:t>h</w:t>
      </w:r>
      <w:r w:rsidR="00B06DF6">
        <w:rPr>
          <w:noProof/>
          <w:lang w:val="en-IE"/>
        </w:rPr>
        <w:t>e</w:t>
      </w:r>
      <w:r w:rsidR="00986403" w:rsidRPr="533D4451">
        <w:rPr>
          <w:noProof/>
          <w:lang w:val="en-IE"/>
        </w:rPr>
        <w:t xml:space="preserve"> </w:t>
      </w:r>
      <w:r w:rsidR="00517B20" w:rsidRPr="533D4451">
        <w:rPr>
          <w:noProof/>
          <w:lang w:val="en-IE"/>
        </w:rPr>
        <w:t xml:space="preserve">Delegated </w:t>
      </w:r>
      <w:r w:rsidR="00F81DD3" w:rsidRPr="533D4451">
        <w:rPr>
          <w:noProof/>
          <w:lang w:val="en-IE"/>
        </w:rPr>
        <w:t>Regulation</w:t>
      </w:r>
      <w:r w:rsidR="00986403" w:rsidRPr="533D4451">
        <w:rPr>
          <w:noProof/>
          <w:lang w:val="en-IE"/>
        </w:rPr>
        <w:t xml:space="preserve"> will </w:t>
      </w:r>
      <w:r w:rsidR="00836C95">
        <w:rPr>
          <w:noProof/>
          <w:lang w:val="en-IE"/>
        </w:rPr>
        <w:t>improve network resilience, better protect consumers’ privacy and reduce the risk of monetary fraud.</w:t>
      </w:r>
    </w:p>
    <w:p w14:paraId="648B562E" w14:textId="056C1BFE" w:rsidR="00986403" w:rsidRDefault="6D8D5F71" w:rsidP="00C42D1F">
      <w:pPr>
        <w:rPr>
          <w:noProof/>
          <w:lang w:val="en-IE"/>
        </w:rPr>
      </w:pPr>
      <w:r w:rsidRPr="533D4451">
        <w:rPr>
          <w:noProof/>
          <w:lang w:val="en-IE"/>
        </w:rPr>
        <w:t xml:space="preserve">The </w:t>
      </w:r>
      <w:r w:rsidR="232FA4E8" w:rsidRPr="0F806EDC">
        <w:rPr>
          <w:noProof/>
          <w:lang w:val="en-IE"/>
        </w:rPr>
        <w:t xml:space="preserve">Delegated Regulation </w:t>
      </w:r>
      <w:r w:rsidRPr="533D4451">
        <w:rPr>
          <w:noProof/>
          <w:lang w:val="en-IE"/>
        </w:rPr>
        <w:t>cover</w:t>
      </w:r>
      <w:r w:rsidR="6CC28281" w:rsidRPr="0F806EDC">
        <w:rPr>
          <w:noProof/>
          <w:lang w:val="en-IE"/>
        </w:rPr>
        <w:t>s</w:t>
      </w:r>
      <w:r w:rsidRPr="533D4451">
        <w:rPr>
          <w:noProof/>
          <w:lang w:val="en-IE"/>
        </w:rPr>
        <w:t xml:space="preserve"> </w:t>
      </w:r>
      <w:r w:rsidR="00D1670E" w:rsidRPr="002F0513">
        <w:rPr>
          <w:noProof/>
          <w:lang w:val="en-IE"/>
        </w:rPr>
        <w:t>i</w:t>
      </w:r>
      <w:r w:rsidR="5425CBA4" w:rsidRPr="0F806EDC">
        <w:rPr>
          <w:noProof/>
          <w:lang w:val="en-IE"/>
        </w:rPr>
        <w:t>nternet</w:t>
      </w:r>
      <w:r w:rsidR="629AE7A4" w:rsidRPr="0F806EDC">
        <w:rPr>
          <w:noProof/>
          <w:lang w:val="en-IE"/>
        </w:rPr>
        <w:t>-</w:t>
      </w:r>
      <w:r w:rsidR="5425CBA4" w:rsidRPr="0F806EDC">
        <w:rPr>
          <w:noProof/>
          <w:lang w:val="en-IE"/>
        </w:rPr>
        <w:t xml:space="preserve">connected </w:t>
      </w:r>
      <w:r w:rsidRPr="533D4451">
        <w:rPr>
          <w:noProof/>
          <w:lang w:val="en-IE"/>
        </w:rPr>
        <w:t xml:space="preserve">wireless devices </w:t>
      </w:r>
      <w:r w:rsidR="00A874E5">
        <w:rPr>
          <w:noProof/>
          <w:lang w:val="en-IE"/>
        </w:rPr>
        <w:t xml:space="preserve">and </w:t>
      </w:r>
      <w:r w:rsidR="00A874E5" w:rsidRPr="002F0513">
        <w:rPr>
          <w:noProof/>
          <w:lang w:val="en-IE"/>
        </w:rPr>
        <w:t>other</w:t>
      </w:r>
      <w:r w:rsidR="00BF64FD">
        <w:rPr>
          <w:noProof/>
          <w:lang w:val="en-IE"/>
        </w:rPr>
        <w:t xml:space="preserve"> devices,</w:t>
      </w:r>
      <w:r w:rsidR="00A874E5">
        <w:rPr>
          <w:noProof/>
          <w:lang w:val="en-IE"/>
        </w:rPr>
        <w:t xml:space="preserve"> such as r</w:t>
      </w:r>
      <w:r w:rsidR="2CD76AB2" w:rsidRPr="0F806EDC">
        <w:rPr>
          <w:noProof/>
          <w:lang w:val="en-IE"/>
        </w:rPr>
        <w:t xml:space="preserve">adio </w:t>
      </w:r>
      <w:r w:rsidRPr="533D4451">
        <w:rPr>
          <w:noProof/>
          <w:lang w:val="en-IE"/>
        </w:rPr>
        <w:t>toys</w:t>
      </w:r>
      <w:r w:rsidR="544E2F7B" w:rsidRPr="0F806EDC">
        <w:rPr>
          <w:noProof/>
          <w:lang w:val="en-IE"/>
        </w:rPr>
        <w:t>, radio</w:t>
      </w:r>
      <w:r w:rsidRPr="533D4451">
        <w:rPr>
          <w:noProof/>
          <w:lang w:val="en-IE"/>
        </w:rPr>
        <w:t xml:space="preserve"> childcare equipment</w:t>
      </w:r>
      <w:r w:rsidR="315F1F04" w:rsidRPr="0F806EDC">
        <w:rPr>
          <w:noProof/>
          <w:lang w:val="en-IE"/>
        </w:rPr>
        <w:t xml:space="preserve"> and radio wearables</w:t>
      </w:r>
      <w:r w:rsidR="00A874E5">
        <w:rPr>
          <w:noProof/>
          <w:lang w:val="en-IE"/>
        </w:rPr>
        <w:t>.</w:t>
      </w:r>
      <w:r w:rsidR="6C4FFB8D" w:rsidRPr="0F806EDC">
        <w:rPr>
          <w:noProof/>
          <w:lang w:val="en-IE"/>
        </w:rPr>
        <w:t xml:space="preserve"> </w:t>
      </w:r>
    </w:p>
    <w:p w14:paraId="3F4F5DA2" w14:textId="20706671" w:rsidR="00012111" w:rsidRPr="005C3F4B" w:rsidRDefault="00012111" w:rsidP="00C42D1F">
      <w:pPr>
        <w:rPr>
          <w:noProof/>
          <w:lang w:val="en-IE"/>
        </w:rPr>
      </w:pPr>
      <w:r>
        <w:rPr>
          <w:noProof/>
          <w:lang w:val="en-IE"/>
        </w:rPr>
        <w:t xml:space="preserve">The Delegated Regulation will become applicable on 1 August 2025. </w:t>
      </w:r>
      <w:r w:rsidR="009A67A2">
        <w:rPr>
          <w:noProof/>
          <w:lang w:val="en-IE"/>
        </w:rPr>
        <w:t xml:space="preserve">Hence, the manufacturers will have sufficient time to adapt their products </w:t>
      </w:r>
      <w:r w:rsidR="009A67A2">
        <w:rPr>
          <w:rStyle w:val="FootnoteReference"/>
          <w:noProof/>
          <w:lang w:val="en-IE"/>
        </w:rPr>
        <w:footnoteReference w:id="8"/>
      </w:r>
      <w:r w:rsidR="009A67A2">
        <w:rPr>
          <w:noProof/>
          <w:lang w:val="en-IE"/>
        </w:rPr>
        <w:t>.</w:t>
      </w:r>
    </w:p>
    <w:p w14:paraId="30E4C4A7" w14:textId="28E66BE7" w:rsidR="00986403" w:rsidRPr="00986403" w:rsidRDefault="00986403" w:rsidP="00986403">
      <w:pPr>
        <w:rPr>
          <w:noProof/>
          <w:lang w:val="en-IE"/>
        </w:rPr>
      </w:pPr>
      <w:r w:rsidRPr="00986403">
        <w:rPr>
          <w:noProof/>
          <w:lang w:val="en-IE"/>
        </w:rPr>
        <w:t xml:space="preserve">The Commission </w:t>
      </w:r>
      <w:r w:rsidR="00964C7F">
        <w:rPr>
          <w:noProof/>
          <w:lang w:val="en-IE"/>
        </w:rPr>
        <w:t>issued</w:t>
      </w:r>
      <w:r w:rsidR="00246117">
        <w:rPr>
          <w:noProof/>
          <w:lang w:val="en-IE"/>
        </w:rPr>
        <w:t xml:space="preserve"> </w:t>
      </w:r>
      <w:r w:rsidR="00BB61E0">
        <w:rPr>
          <w:noProof/>
          <w:lang w:val="en-IE"/>
        </w:rPr>
        <w:t xml:space="preserve">on 5 August 2022 </w:t>
      </w:r>
      <w:r w:rsidR="00246117">
        <w:rPr>
          <w:noProof/>
          <w:lang w:val="en-IE"/>
        </w:rPr>
        <w:t xml:space="preserve">a standardisation </w:t>
      </w:r>
      <w:r w:rsidR="00246117" w:rsidRPr="00637129">
        <w:rPr>
          <w:noProof/>
          <w:lang w:val="en-IE"/>
        </w:rPr>
        <w:t>request</w:t>
      </w:r>
      <w:r w:rsidR="0077133E" w:rsidRPr="002F0513">
        <w:rPr>
          <w:noProof/>
          <w:lang w:val="en-IE"/>
        </w:rPr>
        <w:t> </w:t>
      </w:r>
      <w:r w:rsidR="00637129" w:rsidRPr="00637129">
        <w:rPr>
          <w:rStyle w:val="FootnoteReference"/>
          <w:noProof/>
          <w:lang w:val="en-IE"/>
        </w:rPr>
        <w:footnoteReference w:id="9"/>
      </w:r>
      <w:r w:rsidR="00246117" w:rsidRPr="00637129">
        <w:rPr>
          <w:noProof/>
          <w:lang w:val="en-IE"/>
        </w:rPr>
        <w:t xml:space="preserve"> to</w:t>
      </w:r>
      <w:r w:rsidRPr="00637129">
        <w:rPr>
          <w:noProof/>
          <w:lang w:val="en-IE"/>
        </w:rPr>
        <w:t xml:space="preserve"> </w:t>
      </w:r>
      <w:r w:rsidR="006A00B3">
        <w:rPr>
          <w:noProof/>
          <w:lang w:val="en-IE"/>
        </w:rPr>
        <w:t xml:space="preserve">the </w:t>
      </w:r>
      <w:r w:rsidR="006A00B3">
        <w:rPr>
          <w:noProof/>
        </w:rPr>
        <w:t xml:space="preserve">European Committee for Standardisation (CEN) and to the European Committee for Electrotechnical Standardisation (CENELEC) </w:t>
      </w:r>
      <w:r w:rsidRPr="00637129">
        <w:rPr>
          <w:noProof/>
          <w:lang w:val="en-IE"/>
        </w:rPr>
        <w:t xml:space="preserve">to develop relevant </w:t>
      </w:r>
      <w:r w:rsidR="00EF0AFA" w:rsidRPr="00637129">
        <w:rPr>
          <w:noProof/>
          <w:lang w:val="en-IE"/>
        </w:rPr>
        <w:t xml:space="preserve">harmonised </w:t>
      </w:r>
      <w:r w:rsidRPr="00637129">
        <w:rPr>
          <w:noProof/>
          <w:lang w:val="en-IE"/>
        </w:rPr>
        <w:t>standards</w:t>
      </w:r>
      <w:r w:rsidR="00246117" w:rsidRPr="00637129">
        <w:rPr>
          <w:noProof/>
          <w:lang w:val="en-IE"/>
        </w:rPr>
        <w:t xml:space="preserve"> by </w:t>
      </w:r>
      <w:r w:rsidR="00B94B37" w:rsidRPr="00637129">
        <w:rPr>
          <w:noProof/>
          <w:lang w:val="en-IE"/>
        </w:rPr>
        <w:t>30</w:t>
      </w:r>
      <w:r w:rsidR="0075085F" w:rsidRPr="002F0513">
        <w:rPr>
          <w:noProof/>
          <w:lang w:val="en-IE"/>
        </w:rPr>
        <w:t> </w:t>
      </w:r>
      <w:r w:rsidR="00637129" w:rsidRPr="00637129">
        <w:rPr>
          <w:noProof/>
          <w:lang w:val="en-IE"/>
        </w:rPr>
        <w:t>June</w:t>
      </w:r>
      <w:r w:rsidR="0075085F" w:rsidRPr="002F0513">
        <w:rPr>
          <w:noProof/>
          <w:lang w:val="en-IE"/>
        </w:rPr>
        <w:t> </w:t>
      </w:r>
      <w:r w:rsidR="00637129" w:rsidRPr="00637129">
        <w:rPr>
          <w:noProof/>
          <w:lang w:val="en-IE"/>
        </w:rPr>
        <w:t>2024</w:t>
      </w:r>
      <w:r w:rsidR="0077133E" w:rsidRPr="002F0513">
        <w:rPr>
          <w:noProof/>
          <w:lang w:val="en-IE"/>
        </w:rPr>
        <w:t> </w:t>
      </w:r>
      <w:r w:rsidR="00637129" w:rsidRPr="00637129">
        <w:rPr>
          <w:rStyle w:val="FootnoteReference"/>
          <w:noProof/>
          <w:lang w:val="en-IE"/>
        </w:rPr>
        <w:footnoteReference w:id="10"/>
      </w:r>
      <w:r w:rsidRPr="00D673CC">
        <w:rPr>
          <w:noProof/>
          <w:lang w:val="en-IE"/>
        </w:rPr>
        <w:t>.</w:t>
      </w:r>
      <w:r w:rsidRPr="00637129">
        <w:rPr>
          <w:noProof/>
          <w:lang w:val="en-IE"/>
        </w:rPr>
        <w:t xml:space="preserve"> </w:t>
      </w:r>
      <w:r w:rsidR="00487799">
        <w:rPr>
          <w:noProof/>
          <w:lang w:val="en-IE"/>
        </w:rPr>
        <w:t xml:space="preserve">This will help manufacturers to comply with the new requirements. </w:t>
      </w:r>
    </w:p>
    <w:p w14:paraId="2F210879" w14:textId="1EF03FF4" w:rsidR="00986403" w:rsidRPr="00986403" w:rsidRDefault="00637129" w:rsidP="00986403">
      <w:pPr>
        <w:rPr>
          <w:noProof/>
          <w:lang w:val="en-IE"/>
        </w:rPr>
      </w:pPr>
      <w:r>
        <w:rPr>
          <w:noProof/>
          <w:lang w:val="en-IE"/>
        </w:rPr>
        <w:t>The</w:t>
      </w:r>
      <w:r w:rsidRPr="00986403">
        <w:rPr>
          <w:noProof/>
          <w:lang w:val="en-IE"/>
        </w:rPr>
        <w:t xml:space="preserve"> </w:t>
      </w:r>
      <w:hyperlink r:id="rId21" w:history="1">
        <w:r w:rsidR="00986403" w:rsidRPr="00121A6F">
          <w:rPr>
            <w:rStyle w:val="Hyperlink"/>
            <w:noProof/>
            <w:lang w:val="en-IE"/>
          </w:rPr>
          <w:t>Cyber Resilience Act</w:t>
        </w:r>
      </w:hyperlink>
      <w:r w:rsidR="00986403">
        <w:rPr>
          <w:noProof/>
          <w:lang w:val="en-IE"/>
        </w:rPr>
        <w:t xml:space="preserve"> </w:t>
      </w:r>
      <w:r>
        <w:rPr>
          <w:noProof/>
          <w:lang w:val="en-IE"/>
        </w:rPr>
        <w:t xml:space="preserve">will constitute the evolution of </w:t>
      </w:r>
      <w:r w:rsidR="00F81DD3">
        <w:rPr>
          <w:noProof/>
          <w:lang w:val="en-IE"/>
        </w:rPr>
        <w:t>Delegated Regulation</w:t>
      </w:r>
      <w:r w:rsidR="008B77E1">
        <w:rPr>
          <w:noProof/>
          <w:lang w:val="en-IE"/>
        </w:rPr>
        <w:t xml:space="preserve"> </w:t>
      </w:r>
      <w:r w:rsidR="008B77E1" w:rsidRPr="002F0513">
        <w:rPr>
          <w:noProof/>
          <w:lang w:val="en-IE"/>
        </w:rPr>
        <w:t>(EU)</w:t>
      </w:r>
      <w:r w:rsidR="008B77E1">
        <w:rPr>
          <w:noProof/>
          <w:lang w:val="en-IE"/>
        </w:rPr>
        <w:t> </w:t>
      </w:r>
      <w:r w:rsidR="008B77E1" w:rsidRPr="002F0513">
        <w:rPr>
          <w:noProof/>
          <w:lang w:val="en-IE"/>
        </w:rPr>
        <w:t>2022/30</w:t>
      </w:r>
      <w:r>
        <w:rPr>
          <w:noProof/>
          <w:lang w:val="en-IE"/>
        </w:rPr>
        <w:t>,</w:t>
      </w:r>
      <w:r w:rsidR="008B77E1">
        <w:rPr>
          <w:noProof/>
          <w:lang w:val="en-IE"/>
        </w:rPr>
        <w:t xml:space="preserve"> because</w:t>
      </w:r>
      <w:r>
        <w:rPr>
          <w:noProof/>
          <w:lang w:val="en-IE"/>
        </w:rPr>
        <w:t xml:space="preserve"> it </w:t>
      </w:r>
      <w:r w:rsidR="00986403" w:rsidRPr="00986403">
        <w:rPr>
          <w:noProof/>
          <w:lang w:val="en-IE"/>
        </w:rPr>
        <w:t>w</w:t>
      </w:r>
      <w:r>
        <w:rPr>
          <w:noProof/>
          <w:lang w:val="en-IE"/>
        </w:rPr>
        <w:t>ill</w:t>
      </w:r>
      <w:r w:rsidR="00986403" w:rsidRPr="00986403">
        <w:rPr>
          <w:noProof/>
          <w:lang w:val="en-IE"/>
        </w:rPr>
        <w:t xml:space="preserve"> cover </w:t>
      </w:r>
      <w:r>
        <w:rPr>
          <w:noProof/>
          <w:lang w:val="en-IE"/>
        </w:rPr>
        <w:t>all digital</w:t>
      </w:r>
      <w:r w:rsidRPr="00986403">
        <w:rPr>
          <w:noProof/>
          <w:lang w:val="en-IE"/>
        </w:rPr>
        <w:t xml:space="preserve"> </w:t>
      </w:r>
      <w:r w:rsidR="00986403" w:rsidRPr="00986403">
        <w:rPr>
          <w:noProof/>
          <w:lang w:val="en-IE"/>
        </w:rPr>
        <w:t>products</w:t>
      </w:r>
      <w:r>
        <w:rPr>
          <w:noProof/>
          <w:lang w:val="en-IE"/>
        </w:rPr>
        <w:t xml:space="preserve"> and will address </w:t>
      </w:r>
      <w:r w:rsidR="00986403" w:rsidRPr="00986403">
        <w:rPr>
          <w:noProof/>
          <w:lang w:val="en-IE"/>
        </w:rPr>
        <w:t>their whole life cycle.</w:t>
      </w:r>
    </w:p>
    <w:p w14:paraId="6B5ED199" w14:textId="0310D2D9" w:rsidR="00D154CE" w:rsidRPr="00FC48CF" w:rsidRDefault="00A1737C" w:rsidP="00D154CE">
      <w:pPr>
        <w:pStyle w:val="Heading2"/>
        <w:rPr>
          <w:noProof/>
          <w:color w:val="auto"/>
          <w:lang w:val="en-IE"/>
        </w:rPr>
      </w:pPr>
      <w:bookmarkStart w:id="32" w:name="_Toc151122110"/>
      <w:bookmarkStart w:id="33" w:name="_Ref128067106"/>
      <w:bookmarkStart w:id="34" w:name="_Ref142056230"/>
      <w:bookmarkStart w:id="35" w:name="_Toc152772486"/>
      <w:bookmarkStart w:id="36" w:name="_Toc156461231"/>
      <w:r w:rsidRPr="00FC48CF">
        <w:rPr>
          <w:noProof/>
          <w:color w:val="auto"/>
          <w:lang w:val="en-IE"/>
        </w:rPr>
        <w:t>Directive</w:t>
      </w:r>
      <w:r w:rsidR="00923F25">
        <w:rPr>
          <w:noProof/>
          <w:color w:val="auto"/>
          <w:lang w:val="en-IE"/>
        </w:rPr>
        <w:t> </w:t>
      </w:r>
      <w:r w:rsidRPr="00FC48CF">
        <w:rPr>
          <w:noProof/>
          <w:color w:val="auto"/>
          <w:lang w:val="en-IE"/>
        </w:rPr>
        <w:t>(EU)</w:t>
      </w:r>
      <w:r w:rsidR="00923F25">
        <w:rPr>
          <w:noProof/>
          <w:color w:val="auto"/>
          <w:lang w:val="en-IE"/>
        </w:rPr>
        <w:t> </w:t>
      </w:r>
      <w:r w:rsidRPr="00FC48CF">
        <w:rPr>
          <w:noProof/>
          <w:color w:val="auto"/>
          <w:lang w:val="en-IE"/>
        </w:rPr>
        <w:t>2022/2380</w:t>
      </w:r>
      <w:r w:rsidR="00670733" w:rsidRPr="002F0513">
        <w:rPr>
          <w:noProof/>
          <w:color w:val="auto"/>
          <w:lang w:val="en-IE"/>
        </w:rPr>
        <w:t xml:space="preserve"> (the</w:t>
      </w:r>
      <w:r w:rsidRPr="00FC48CF">
        <w:rPr>
          <w:noProof/>
          <w:color w:val="auto"/>
          <w:lang w:val="en-IE"/>
        </w:rPr>
        <w:t xml:space="preserve"> </w:t>
      </w:r>
      <w:r w:rsidR="00D154CE" w:rsidRPr="00FC48CF">
        <w:rPr>
          <w:noProof/>
          <w:color w:val="auto"/>
          <w:lang w:val="en-IE"/>
        </w:rPr>
        <w:t xml:space="preserve">Common </w:t>
      </w:r>
      <w:r w:rsidR="00670733" w:rsidRPr="002F0513">
        <w:rPr>
          <w:noProof/>
          <w:color w:val="auto"/>
          <w:lang w:val="en-IE"/>
        </w:rPr>
        <w:t>C</w:t>
      </w:r>
      <w:r w:rsidR="00D154CE" w:rsidRPr="002F0513">
        <w:rPr>
          <w:noProof/>
          <w:color w:val="auto"/>
          <w:lang w:val="en-IE"/>
        </w:rPr>
        <w:t>harger</w:t>
      </w:r>
      <w:bookmarkEnd w:id="32"/>
      <w:r w:rsidR="00670733" w:rsidRPr="002F0513">
        <w:rPr>
          <w:noProof/>
          <w:color w:val="auto"/>
          <w:lang w:val="en-IE"/>
        </w:rPr>
        <w:t xml:space="preserve"> Directive)</w:t>
      </w:r>
      <w:bookmarkEnd w:id="33"/>
      <w:bookmarkEnd w:id="34"/>
      <w:bookmarkEnd w:id="35"/>
      <w:bookmarkEnd w:id="36"/>
    </w:p>
    <w:p w14:paraId="436A847D" w14:textId="3ECDC9B3" w:rsidR="007B71C8" w:rsidRPr="00A136CE" w:rsidRDefault="00B77620" w:rsidP="24177189">
      <w:pPr>
        <w:rPr>
          <w:noProof/>
        </w:rPr>
      </w:pPr>
      <w:r w:rsidRPr="00FC48CF">
        <w:rPr>
          <w:noProof/>
          <w:lang w:val="en-IE"/>
        </w:rPr>
        <w:t xml:space="preserve">Several options </w:t>
      </w:r>
      <w:r w:rsidR="00AF167C" w:rsidRPr="00FC48CF">
        <w:rPr>
          <w:noProof/>
          <w:lang w:val="en-IE"/>
        </w:rPr>
        <w:t xml:space="preserve">regarding the implementation of </w:t>
      </w:r>
      <w:hyperlink r:id="rId22" w:history="1">
        <w:r w:rsidR="00AF167C" w:rsidRPr="004D37E2">
          <w:rPr>
            <w:rStyle w:val="Hyperlink"/>
            <w:noProof/>
            <w:lang w:val="en-IE"/>
          </w:rPr>
          <w:t>common charger</w:t>
        </w:r>
      </w:hyperlink>
      <w:r w:rsidR="00AF167C" w:rsidRPr="00FC48CF">
        <w:rPr>
          <w:noProof/>
          <w:lang w:val="en-IE"/>
        </w:rPr>
        <w:t xml:space="preserve"> </w:t>
      </w:r>
      <w:r w:rsidR="00DA2C8E">
        <w:rPr>
          <w:noProof/>
          <w:lang w:val="en-IE"/>
        </w:rPr>
        <w:t xml:space="preserve">were </w:t>
      </w:r>
      <w:r w:rsidRPr="00FC48CF">
        <w:rPr>
          <w:noProof/>
          <w:lang w:val="en-IE"/>
        </w:rPr>
        <w:t xml:space="preserve">studied in an </w:t>
      </w:r>
      <w:hyperlink r:id="rId23" w:history="1">
        <w:r w:rsidRPr="00ED24D4">
          <w:rPr>
            <w:rStyle w:val="Hyperlink"/>
            <w:noProof/>
            <w:lang w:val="en-IE"/>
          </w:rPr>
          <w:t>impact assessment</w:t>
        </w:r>
      </w:hyperlink>
      <w:r w:rsidR="005E371D" w:rsidRPr="00FC48CF">
        <w:rPr>
          <w:noProof/>
          <w:lang w:val="en-IE"/>
        </w:rPr>
        <w:t>.</w:t>
      </w:r>
      <w:r w:rsidRPr="00FC48CF">
        <w:rPr>
          <w:noProof/>
          <w:lang w:val="en-IE"/>
        </w:rPr>
        <w:t xml:space="preserve"> </w:t>
      </w:r>
      <w:r w:rsidR="00A136CE">
        <w:rPr>
          <w:noProof/>
          <w:lang w:val="en-IE"/>
        </w:rPr>
        <w:t>T</w:t>
      </w:r>
      <w:r w:rsidR="4F0613DD" w:rsidRPr="00FC48CF">
        <w:rPr>
          <w:noProof/>
          <w:lang w:val="en-IE"/>
        </w:rPr>
        <w:t xml:space="preserve">he RED was </w:t>
      </w:r>
      <w:r w:rsidR="00754FB1">
        <w:rPr>
          <w:noProof/>
          <w:lang w:val="en-IE"/>
        </w:rPr>
        <w:t xml:space="preserve">amended </w:t>
      </w:r>
      <w:r w:rsidR="4F0613DD" w:rsidRPr="00FC48CF">
        <w:rPr>
          <w:noProof/>
          <w:lang w:val="en-IE"/>
        </w:rPr>
        <w:t xml:space="preserve">by </w:t>
      </w:r>
      <w:r w:rsidR="00DA2C8E" w:rsidRPr="002F0513">
        <w:rPr>
          <w:noProof/>
          <w:lang w:val="en-IE"/>
        </w:rPr>
        <w:t>Directive</w:t>
      </w:r>
      <w:r w:rsidR="00DA2C8E">
        <w:rPr>
          <w:noProof/>
          <w:lang w:val="en-IE"/>
        </w:rPr>
        <w:t> </w:t>
      </w:r>
      <w:r w:rsidR="00DA2C8E" w:rsidRPr="002F0513">
        <w:rPr>
          <w:noProof/>
          <w:lang w:val="en-IE"/>
        </w:rPr>
        <w:t>(EU)</w:t>
      </w:r>
      <w:r w:rsidR="00DA2C8E">
        <w:rPr>
          <w:noProof/>
          <w:lang w:val="en-IE"/>
        </w:rPr>
        <w:t> </w:t>
      </w:r>
      <w:r w:rsidR="00DA2C8E" w:rsidRPr="002F0513">
        <w:rPr>
          <w:noProof/>
          <w:lang w:val="en-IE"/>
        </w:rPr>
        <w:t>2022/2380 </w:t>
      </w:r>
      <w:r w:rsidR="00DA2C8E" w:rsidRPr="002F0513">
        <w:rPr>
          <w:rStyle w:val="FootnoteReference"/>
          <w:noProof/>
          <w:lang w:val="en-IE"/>
        </w:rPr>
        <w:footnoteReference w:id="11"/>
      </w:r>
      <w:r w:rsidR="00DA2C8E" w:rsidRPr="002F0513">
        <w:rPr>
          <w:noProof/>
          <w:lang w:val="en-IE"/>
        </w:rPr>
        <w:t xml:space="preserve"> (the Common Charger Directive)</w:t>
      </w:r>
      <w:r w:rsidR="00BC7862">
        <w:rPr>
          <w:noProof/>
          <w:lang w:val="en-IE"/>
        </w:rPr>
        <w:t>, that</w:t>
      </w:r>
      <w:r w:rsidR="00AE23EE">
        <w:rPr>
          <w:noProof/>
          <w:lang w:val="en-IE"/>
        </w:rPr>
        <w:t xml:space="preserve"> </w:t>
      </w:r>
      <w:r w:rsidR="4F0613DD" w:rsidRPr="00FC48CF">
        <w:rPr>
          <w:noProof/>
          <w:lang w:val="en-IE"/>
        </w:rPr>
        <w:t>introdu</w:t>
      </w:r>
      <w:r w:rsidR="19A7C994" w:rsidRPr="00FC48CF">
        <w:rPr>
          <w:noProof/>
          <w:lang w:val="en-IE"/>
        </w:rPr>
        <w:t>ces</w:t>
      </w:r>
      <w:r w:rsidR="4F0613DD" w:rsidRPr="00FC48CF">
        <w:rPr>
          <w:noProof/>
          <w:lang w:val="en-IE"/>
        </w:rPr>
        <w:t xml:space="preserve"> the requirements of the </w:t>
      </w:r>
      <w:r w:rsidR="00670733" w:rsidRPr="002F0513">
        <w:rPr>
          <w:noProof/>
          <w:lang w:val="en-IE"/>
        </w:rPr>
        <w:t>‘</w:t>
      </w:r>
      <w:r w:rsidR="4F0613DD" w:rsidRPr="00FC48CF">
        <w:rPr>
          <w:noProof/>
          <w:lang w:val="en-IE"/>
        </w:rPr>
        <w:t xml:space="preserve">common </w:t>
      </w:r>
      <w:r w:rsidR="4F0613DD" w:rsidRPr="002F0513">
        <w:rPr>
          <w:noProof/>
          <w:lang w:val="en-IE"/>
        </w:rPr>
        <w:t>charging</w:t>
      </w:r>
      <w:r w:rsidR="00670733" w:rsidRPr="002F0513">
        <w:rPr>
          <w:noProof/>
          <w:lang w:val="en-IE"/>
        </w:rPr>
        <w:t>’</w:t>
      </w:r>
      <w:r w:rsidR="4F0613DD" w:rsidRPr="00FC48CF">
        <w:rPr>
          <w:noProof/>
          <w:lang w:val="en-IE"/>
        </w:rPr>
        <w:t xml:space="preserve"> solution</w:t>
      </w:r>
      <w:r w:rsidR="00754FB1">
        <w:rPr>
          <w:noProof/>
          <w:lang w:val="en-IE"/>
        </w:rPr>
        <w:t xml:space="preserve"> </w:t>
      </w:r>
      <w:r w:rsidR="00754FB1" w:rsidRPr="002F0513">
        <w:rPr>
          <w:noProof/>
          <w:lang w:val="en-IE"/>
        </w:rPr>
        <w:t>into the RED</w:t>
      </w:r>
      <w:r w:rsidR="00A136CE">
        <w:rPr>
          <w:noProof/>
          <w:lang w:val="en-IE"/>
        </w:rPr>
        <w:t>, particularly:</w:t>
      </w:r>
    </w:p>
    <w:p w14:paraId="6844E2C7" w14:textId="34DA25C8" w:rsidR="007B71C8" w:rsidRPr="00FC48CF" w:rsidRDefault="007B71C8" w:rsidP="00D473B6">
      <w:pPr>
        <w:pStyle w:val="ListParagraph"/>
        <w:numPr>
          <w:ilvl w:val="0"/>
          <w:numId w:val="13"/>
        </w:numPr>
        <w:contextualSpacing w:val="0"/>
        <w:rPr>
          <w:noProof/>
          <w:lang w:val="en-IE"/>
        </w:rPr>
      </w:pPr>
      <w:r w:rsidRPr="00FC48CF">
        <w:rPr>
          <w:noProof/>
          <w:lang w:val="en-IE"/>
        </w:rPr>
        <w:t xml:space="preserve">USB-C will be the </w:t>
      </w:r>
      <w:r w:rsidR="006664C4" w:rsidRPr="00FC48CF">
        <w:rPr>
          <w:noProof/>
          <w:lang w:val="en-IE"/>
        </w:rPr>
        <w:t>harmonised charging</w:t>
      </w:r>
      <w:r w:rsidRPr="00FC48CF">
        <w:rPr>
          <w:noProof/>
          <w:lang w:val="en-IE"/>
        </w:rPr>
        <w:t xml:space="preserve"> port.</w:t>
      </w:r>
    </w:p>
    <w:p w14:paraId="273F4842" w14:textId="65EA53F0" w:rsidR="007B71C8" w:rsidRPr="00FC48CF" w:rsidRDefault="007B71C8" w:rsidP="00D473B6">
      <w:pPr>
        <w:pStyle w:val="ListParagraph"/>
        <w:numPr>
          <w:ilvl w:val="0"/>
          <w:numId w:val="13"/>
        </w:numPr>
        <w:contextualSpacing w:val="0"/>
        <w:rPr>
          <w:noProof/>
          <w:lang w:val="en-IE"/>
        </w:rPr>
      </w:pPr>
      <w:r w:rsidRPr="00FC48CF">
        <w:rPr>
          <w:noProof/>
          <w:lang w:val="en-IE"/>
        </w:rPr>
        <w:t xml:space="preserve">Harmonisation will </w:t>
      </w:r>
      <w:r w:rsidR="00121130">
        <w:rPr>
          <w:noProof/>
          <w:lang w:val="en-IE"/>
        </w:rPr>
        <w:t>stop</w:t>
      </w:r>
      <w:r w:rsidRPr="00FC48CF">
        <w:rPr>
          <w:noProof/>
          <w:lang w:val="en-IE"/>
        </w:rPr>
        <w:t xml:space="preserve"> different producers unjustifiably limiting charging speed and will ensure that </w:t>
      </w:r>
      <w:r w:rsidR="00EC0A47">
        <w:rPr>
          <w:noProof/>
          <w:lang w:val="en-IE"/>
        </w:rPr>
        <w:t xml:space="preserve">the </w:t>
      </w:r>
      <w:r w:rsidRPr="00FC48CF">
        <w:rPr>
          <w:noProof/>
          <w:lang w:val="en-IE"/>
        </w:rPr>
        <w:t>charging speed is the same when using any compatible charger.</w:t>
      </w:r>
    </w:p>
    <w:p w14:paraId="41CA87E4" w14:textId="41B3BBCB" w:rsidR="007B71C8" w:rsidRPr="00FC48CF" w:rsidRDefault="007B71C8" w:rsidP="00D473B6">
      <w:pPr>
        <w:pStyle w:val="ListParagraph"/>
        <w:numPr>
          <w:ilvl w:val="0"/>
          <w:numId w:val="13"/>
        </w:numPr>
        <w:contextualSpacing w:val="0"/>
        <w:rPr>
          <w:noProof/>
          <w:lang w:val="en-IE"/>
        </w:rPr>
      </w:pPr>
      <w:r w:rsidRPr="00FC48CF">
        <w:rPr>
          <w:noProof/>
          <w:lang w:val="en-IE"/>
        </w:rPr>
        <w:t xml:space="preserve">Consumers will be able to purchase a new electronic device without a new charger. </w:t>
      </w:r>
    </w:p>
    <w:p w14:paraId="2C931614" w14:textId="31C1F61D" w:rsidR="007B71C8" w:rsidRPr="00FC48CF" w:rsidRDefault="007B71C8" w:rsidP="00D473B6">
      <w:pPr>
        <w:pStyle w:val="ListParagraph"/>
        <w:numPr>
          <w:ilvl w:val="0"/>
          <w:numId w:val="13"/>
        </w:numPr>
        <w:contextualSpacing w:val="0"/>
        <w:rPr>
          <w:noProof/>
          <w:lang w:val="en-IE"/>
        </w:rPr>
      </w:pPr>
      <w:r w:rsidRPr="00FC48CF">
        <w:rPr>
          <w:noProof/>
          <w:lang w:val="en-IE"/>
        </w:rPr>
        <w:t>Producers will need to provide relevant visual and written information about charging characteristics.</w:t>
      </w:r>
    </w:p>
    <w:p w14:paraId="15C9D7C6" w14:textId="30E5FE9B" w:rsidR="005F4005" w:rsidRPr="00FC48CF" w:rsidRDefault="00B77620" w:rsidP="005F4005">
      <w:pPr>
        <w:rPr>
          <w:noProof/>
          <w:lang w:val="en-IE"/>
        </w:rPr>
      </w:pPr>
      <w:r w:rsidRPr="00FC48CF">
        <w:rPr>
          <w:noProof/>
          <w:lang w:val="en-IE"/>
        </w:rPr>
        <w:t xml:space="preserve">These requirements will apply </w:t>
      </w:r>
      <w:r w:rsidR="00EC0A47">
        <w:rPr>
          <w:noProof/>
          <w:lang w:val="en-IE"/>
        </w:rPr>
        <w:t>from 2024</w:t>
      </w:r>
      <w:r w:rsidRPr="002F0513">
        <w:rPr>
          <w:noProof/>
          <w:lang w:val="en-IE"/>
        </w:rPr>
        <w:t xml:space="preserve"> </w:t>
      </w:r>
      <w:r w:rsidRPr="00FC48CF">
        <w:rPr>
          <w:noProof/>
          <w:lang w:val="en-IE"/>
        </w:rPr>
        <w:t xml:space="preserve">to all handheld mobile phones, tablets, digital cameras, headphones, headsets, portable speakers, handheld videogame consoles, e-readers, earbuds, </w:t>
      </w:r>
      <w:r w:rsidRPr="00FC48CF">
        <w:rPr>
          <w:noProof/>
          <w:lang w:val="en-IE"/>
        </w:rPr>
        <w:lastRenderedPageBreak/>
        <w:t xml:space="preserve">keyboards, mice and portable navigation systems. They will also apply to laptops </w:t>
      </w:r>
      <w:r w:rsidR="00EC0A47">
        <w:rPr>
          <w:noProof/>
          <w:lang w:val="en-IE"/>
        </w:rPr>
        <w:t xml:space="preserve">from </w:t>
      </w:r>
      <w:r w:rsidR="00E96C70" w:rsidRPr="00FC48CF">
        <w:rPr>
          <w:noProof/>
          <w:lang w:val="en-IE"/>
        </w:rPr>
        <w:t>28</w:t>
      </w:r>
      <w:r w:rsidR="0075085F" w:rsidRPr="002F0513">
        <w:rPr>
          <w:noProof/>
          <w:lang w:val="en-IE"/>
        </w:rPr>
        <w:t> </w:t>
      </w:r>
      <w:r w:rsidR="00E96C70" w:rsidRPr="00FC48CF">
        <w:rPr>
          <w:noProof/>
          <w:lang w:val="en-IE"/>
        </w:rPr>
        <w:t>April</w:t>
      </w:r>
      <w:r w:rsidR="0075085F" w:rsidRPr="002F0513">
        <w:rPr>
          <w:noProof/>
          <w:lang w:val="en-IE"/>
        </w:rPr>
        <w:t> </w:t>
      </w:r>
      <w:r w:rsidRPr="00FC48CF">
        <w:rPr>
          <w:noProof/>
          <w:lang w:val="en-IE"/>
        </w:rPr>
        <w:t>2026</w:t>
      </w:r>
      <w:r w:rsidR="00421F62" w:rsidRPr="00FC48CF">
        <w:rPr>
          <w:noProof/>
          <w:lang w:val="en-IE"/>
        </w:rPr>
        <w:t>.</w:t>
      </w:r>
      <w:r w:rsidRPr="00FC48CF">
        <w:rPr>
          <w:noProof/>
          <w:lang w:val="en-IE"/>
        </w:rPr>
        <w:t xml:space="preserve"> </w:t>
      </w:r>
      <w:r w:rsidR="005F4005" w:rsidRPr="00FC48CF">
        <w:rPr>
          <w:noProof/>
          <w:lang w:val="en-IE"/>
        </w:rPr>
        <w:t xml:space="preserve">This </w:t>
      </w:r>
      <w:r w:rsidR="00D2494A">
        <w:rPr>
          <w:noProof/>
          <w:lang w:val="en-IE"/>
        </w:rPr>
        <w:t>scope of application</w:t>
      </w:r>
      <w:r w:rsidR="005F4005" w:rsidRPr="00FC48CF">
        <w:rPr>
          <w:noProof/>
          <w:lang w:val="en-IE"/>
        </w:rPr>
        <w:t xml:space="preserve"> </w:t>
      </w:r>
      <w:r w:rsidR="00E96C70" w:rsidRPr="00FC48CF">
        <w:rPr>
          <w:noProof/>
          <w:lang w:val="en-IE"/>
        </w:rPr>
        <w:t xml:space="preserve">of products </w:t>
      </w:r>
      <w:r w:rsidR="005F4005" w:rsidRPr="00FC48CF">
        <w:rPr>
          <w:noProof/>
          <w:lang w:val="en-IE"/>
        </w:rPr>
        <w:t>may be extended in the future</w:t>
      </w:r>
      <w:r w:rsidR="008600B0" w:rsidRPr="00FC48CF">
        <w:rPr>
          <w:noProof/>
          <w:lang w:val="en-IE"/>
        </w:rPr>
        <w:t>.</w:t>
      </w:r>
    </w:p>
    <w:p w14:paraId="4D32503C" w14:textId="041542EE" w:rsidR="00F00CF9" w:rsidRDefault="000133AC" w:rsidP="005F4005">
      <w:pPr>
        <w:rPr>
          <w:noProof/>
        </w:rPr>
      </w:pPr>
      <w:r>
        <w:rPr>
          <w:noProof/>
        </w:rPr>
        <w:t>T</w:t>
      </w:r>
      <w:r w:rsidR="00F00CF9">
        <w:rPr>
          <w:noProof/>
        </w:rPr>
        <w:t xml:space="preserve">he “Common Charger” Directive </w:t>
      </w:r>
      <w:r w:rsidR="002D1838">
        <w:rPr>
          <w:noProof/>
        </w:rPr>
        <w:t xml:space="preserve">will be </w:t>
      </w:r>
      <w:r w:rsidR="00F00CF9">
        <w:rPr>
          <w:noProof/>
        </w:rPr>
        <w:t xml:space="preserve">complemented by corresponding requirements under </w:t>
      </w:r>
      <w:r w:rsidR="00EF694D">
        <w:rPr>
          <w:noProof/>
        </w:rPr>
        <w:t xml:space="preserve">a review of </w:t>
      </w:r>
      <w:r w:rsidR="00F00CF9">
        <w:rPr>
          <w:noProof/>
        </w:rPr>
        <w:t xml:space="preserve">the </w:t>
      </w:r>
      <w:hyperlink r:id="rId24" w:history="1">
        <w:r w:rsidR="00F00CF9" w:rsidRPr="004D37E2">
          <w:rPr>
            <w:rStyle w:val="Hyperlink"/>
            <w:noProof/>
          </w:rPr>
          <w:t>Ecodesign</w:t>
        </w:r>
        <w:r w:rsidR="00E80809" w:rsidRPr="004D37E2">
          <w:rPr>
            <w:rStyle w:val="Hyperlink"/>
            <w:noProof/>
          </w:rPr>
          <w:t xml:space="preserve"> Implementing</w:t>
        </w:r>
        <w:r w:rsidR="00F00CF9" w:rsidRPr="004D37E2">
          <w:rPr>
            <w:rStyle w:val="Hyperlink"/>
            <w:noProof/>
          </w:rPr>
          <w:t xml:space="preserve"> Regulation</w:t>
        </w:r>
      </w:hyperlink>
      <w:r w:rsidR="00F00CF9">
        <w:rPr>
          <w:noProof/>
        </w:rPr>
        <w:t xml:space="preserve"> for External Power Supplies (EPS). The main options put forward are to:</w:t>
      </w:r>
    </w:p>
    <w:p w14:paraId="104924C4" w14:textId="5DB9B313" w:rsidR="00F00CF9" w:rsidRDefault="00F00CF9" w:rsidP="00F00CF9">
      <w:pPr>
        <w:pStyle w:val="ListParagraph"/>
        <w:numPr>
          <w:ilvl w:val="0"/>
          <w:numId w:val="42"/>
        </w:numPr>
        <w:rPr>
          <w:noProof/>
        </w:rPr>
      </w:pPr>
      <w:r>
        <w:rPr>
          <w:noProof/>
        </w:rPr>
        <w:t>Inform consumers by marking the “common chargers” with a corresponding logo and pictogram.</w:t>
      </w:r>
    </w:p>
    <w:p w14:paraId="071AA97B" w14:textId="5C970F8B" w:rsidR="00F00CF9" w:rsidRDefault="00F00CF9" w:rsidP="00F00CF9">
      <w:pPr>
        <w:pStyle w:val="ListParagraph"/>
        <w:numPr>
          <w:ilvl w:val="0"/>
          <w:numId w:val="42"/>
        </w:numPr>
        <w:rPr>
          <w:noProof/>
        </w:rPr>
      </w:pPr>
      <w:r>
        <w:rPr>
          <w:noProof/>
        </w:rPr>
        <w:t>Prevent non-compliant proprietary chargers being sold with RED devices.</w:t>
      </w:r>
    </w:p>
    <w:p w14:paraId="2A3C2A2E" w14:textId="0BA8CB51" w:rsidR="00F00CF9" w:rsidRDefault="00E80809" w:rsidP="00F00CF9">
      <w:pPr>
        <w:pStyle w:val="ListParagraph"/>
        <w:numPr>
          <w:ilvl w:val="0"/>
          <w:numId w:val="42"/>
        </w:numPr>
        <w:rPr>
          <w:noProof/>
        </w:rPr>
      </w:pPr>
      <w:r>
        <w:rPr>
          <w:noProof/>
        </w:rPr>
        <w:t>Scale up the benefits of interoperability by extending the scope of “common chargers” to equipment other than the RED devices.</w:t>
      </w:r>
    </w:p>
    <w:p w14:paraId="658CAA0E" w14:textId="01BBDEC0" w:rsidR="00E80809" w:rsidRDefault="00E80809" w:rsidP="00E80809">
      <w:pPr>
        <w:rPr>
          <w:noProof/>
        </w:rPr>
      </w:pPr>
      <w:r>
        <w:rPr>
          <w:noProof/>
        </w:rPr>
        <w:t xml:space="preserve">The regulatory review is </w:t>
      </w:r>
      <w:r w:rsidR="00EF694D">
        <w:rPr>
          <w:noProof/>
        </w:rPr>
        <w:t>expected</w:t>
      </w:r>
      <w:r>
        <w:rPr>
          <w:noProof/>
        </w:rPr>
        <w:t xml:space="preserve"> to be completed in 2024. </w:t>
      </w:r>
    </w:p>
    <w:p w14:paraId="4F816EE7" w14:textId="36543F29" w:rsidR="005F4005" w:rsidRPr="00FC48CF" w:rsidRDefault="00832C82" w:rsidP="005F4005">
      <w:pPr>
        <w:rPr>
          <w:noProof/>
          <w:lang w:val="en-IE"/>
        </w:rPr>
      </w:pPr>
      <w:r>
        <w:rPr>
          <w:noProof/>
          <w:lang w:val="en-IE"/>
        </w:rPr>
        <w:t>T</w:t>
      </w:r>
      <w:r w:rsidR="005F4005" w:rsidRPr="00FC48CF">
        <w:rPr>
          <w:noProof/>
          <w:lang w:val="en-IE"/>
        </w:rPr>
        <w:t>he Commission will report whether</w:t>
      </w:r>
      <w:r w:rsidR="00DA715E">
        <w:rPr>
          <w:noProof/>
          <w:lang w:val="en-IE"/>
        </w:rPr>
        <w:t xml:space="preserve"> </w:t>
      </w:r>
      <w:r w:rsidR="005F4005" w:rsidRPr="00FC48CF">
        <w:rPr>
          <w:noProof/>
          <w:lang w:val="en-IE"/>
        </w:rPr>
        <w:t xml:space="preserve">an extension of the unbundling requirements and/or mandatory unbundling </w:t>
      </w:r>
      <w:r w:rsidR="002C59C0" w:rsidRPr="002F0513">
        <w:rPr>
          <w:noProof/>
          <w:lang w:val="en-IE"/>
        </w:rPr>
        <w:t xml:space="preserve">to cables </w:t>
      </w:r>
      <w:r w:rsidR="005F4005" w:rsidRPr="00FC48CF">
        <w:rPr>
          <w:noProof/>
          <w:lang w:val="en-IE"/>
        </w:rPr>
        <w:t>should be considered.</w:t>
      </w:r>
    </w:p>
    <w:p w14:paraId="5C7C310B" w14:textId="3161C4AC" w:rsidR="000E45B8" w:rsidRPr="00FC48CF" w:rsidRDefault="000E45B8" w:rsidP="000E45B8">
      <w:pPr>
        <w:pStyle w:val="Heading1"/>
        <w:rPr>
          <w:noProof/>
          <w:color w:val="auto"/>
          <w:lang w:val="en-IE"/>
        </w:rPr>
      </w:pPr>
      <w:bookmarkStart w:id="37" w:name="_Toc152772487"/>
      <w:bookmarkStart w:id="38" w:name="_Toc151122111"/>
      <w:bookmarkStart w:id="39" w:name="_Toc156461232"/>
      <w:bookmarkStart w:id="40" w:name="_Hlk150270998"/>
      <w:r w:rsidRPr="00FC48CF">
        <w:rPr>
          <w:noProof/>
          <w:color w:val="auto"/>
          <w:lang w:val="en-IE"/>
        </w:rPr>
        <w:t>Non-legislative developments</w:t>
      </w:r>
      <w:bookmarkEnd w:id="37"/>
      <w:bookmarkEnd w:id="38"/>
      <w:bookmarkEnd w:id="39"/>
    </w:p>
    <w:p w14:paraId="384E7FD4" w14:textId="77777777" w:rsidR="00037988" w:rsidRPr="00FC48CF" w:rsidRDefault="00037988" w:rsidP="00037988">
      <w:pPr>
        <w:pStyle w:val="Heading2"/>
        <w:rPr>
          <w:noProof/>
          <w:color w:val="auto"/>
          <w:lang w:val="en-IE"/>
        </w:rPr>
      </w:pPr>
      <w:bookmarkStart w:id="41" w:name="_Toc152772488"/>
      <w:bookmarkStart w:id="42" w:name="_Toc151122112"/>
      <w:bookmarkStart w:id="43" w:name="_Toc156461233"/>
      <w:bookmarkEnd w:id="40"/>
      <w:r w:rsidRPr="00FC48CF">
        <w:rPr>
          <w:noProof/>
          <w:color w:val="auto"/>
          <w:lang w:val="en-IE"/>
        </w:rPr>
        <w:t>RED notified bodies</w:t>
      </w:r>
      <w:bookmarkEnd w:id="41"/>
      <w:bookmarkEnd w:id="42"/>
      <w:bookmarkEnd w:id="43"/>
    </w:p>
    <w:p w14:paraId="05EADF46" w14:textId="6CBDCF80" w:rsidR="00B756DC" w:rsidRPr="00FC48CF" w:rsidRDefault="5524900D" w:rsidP="24177189">
      <w:pPr>
        <w:rPr>
          <w:noProof/>
          <w:lang w:val="en-IE"/>
        </w:rPr>
      </w:pPr>
      <w:r w:rsidRPr="00FC48CF">
        <w:rPr>
          <w:noProof/>
          <w:lang w:val="en-IE"/>
        </w:rPr>
        <w:t xml:space="preserve">One of the main consequences of the </w:t>
      </w:r>
      <w:r w:rsidR="7388A037" w:rsidRPr="00FC48CF">
        <w:rPr>
          <w:noProof/>
          <w:lang w:val="en-IE"/>
        </w:rPr>
        <w:t xml:space="preserve">increasing </w:t>
      </w:r>
      <w:r w:rsidR="00656CD6" w:rsidRPr="00FC48CF">
        <w:rPr>
          <w:noProof/>
          <w:lang w:val="en-IE"/>
        </w:rPr>
        <w:t xml:space="preserve">number of </w:t>
      </w:r>
      <w:r w:rsidR="000E24EA" w:rsidRPr="002F0513">
        <w:rPr>
          <w:noProof/>
          <w:lang w:val="en-IE"/>
        </w:rPr>
        <w:t>the RED</w:t>
      </w:r>
      <w:r w:rsidR="000E24EA">
        <w:rPr>
          <w:noProof/>
          <w:lang w:val="en-IE"/>
        </w:rPr>
        <w:t>’s</w:t>
      </w:r>
      <w:r w:rsidR="000E24EA" w:rsidRPr="002F0513">
        <w:rPr>
          <w:noProof/>
          <w:lang w:val="en-IE"/>
        </w:rPr>
        <w:t xml:space="preserve"> </w:t>
      </w:r>
      <w:r w:rsidR="00656CD6" w:rsidRPr="00FC48CF">
        <w:rPr>
          <w:noProof/>
          <w:lang w:val="en-IE"/>
        </w:rPr>
        <w:t>requirements</w:t>
      </w:r>
      <w:r w:rsidR="7388A037" w:rsidRPr="00FC48CF">
        <w:rPr>
          <w:noProof/>
          <w:lang w:val="en-IE"/>
        </w:rPr>
        <w:t xml:space="preserve"> </w:t>
      </w:r>
      <w:r w:rsidRPr="00FC48CF">
        <w:rPr>
          <w:noProof/>
          <w:lang w:val="en-IE"/>
        </w:rPr>
        <w:t>is t</w:t>
      </w:r>
      <w:r w:rsidR="7388A037" w:rsidRPr="00FC48CF">
        <w:rPr>
          <w:noProof/>
          <w:lang w:val="en-IE"/>
        </w:rPr>
        <w:t xml:space="preserve">hat notifying authorities </w:t>
      </w:r>
      <w:r w:rsidRPr="00FC48CF">
        <w:rPr>
          <w:noProof/>
          <w:lang w:val="en-IE"/>
        </w:rPr>
        <w:t>have</w:t>
      </w:r>
      <w:r w:rsidR="7388A037" w:rsidRPr="00FC48CF">
        <w:rPr>
          <w:noProof/>
          <w:lang w:val="en-IE"/>
        </w:rPr>
        <w:t xml:space="preserve"> to assess the competence of notified bodies </w:t>
      </w:r>
      <w:r w:rsidR="00072060">
        <w:rPr>
          <w:noProof/>
          <w:lang w:val="en-IE"/>
        </w:rPr>
        <w:t xml:space="preserve">to meet </w:t>
      </w:r>
      <w:r w:rsidR="7388A037" w:rsidRPr="00FC48CF">
        <w:rPr>
          <w:noProof/>
          <w:lang w:val="en-IE"/>
        </w:rPr>
        <w:t>the newly activated essential requirements.</w:t>
      </w:r>
    </w:p>
    <w:p w14:paraId="368ACC1F" w14:textId="52E669A8" w:rsidR="00037988" w:rsidRPr="00FC48CF" w:rsidRDefault="7388A037" w:rsidP="00037988">
      <w:pPr>
        <w:rPr>
          <w:noProof/>
          <w:lang w:val="en-IE"/>
        </w:rPr>
      </w:pPr>
      <w:r w:rsidRPr="00FC48CF">
        <w:rPr>
          <w:noProof/>
          <w:lang w:val="en-IE"/>
        </w:rPr>
        <w:t xml:space="preserve">The </w:t>
      </w:r>
      <w:r w:rsidR="00281CAB">
        <w:rPr>
          <w:noProof/>
          <w:lang w:val="en-IE"/>
        </w:rPr>
        <w:t>NANDO system</w:t>
      </w:r>
      <w:r w:rsidRPr="00FC48CF">
        <w:rPr>
          <w:noProof/>
          <w:lang w:val="en-IE"/>
        </w:rPr>
        <w:t xml:space="preserve"> </w:t>
      </w:r>
      <w:r w:rsidR="00072060">
        <w:rPr>
          <w:noProof/>
          <w:lang w:val="en-IE"/>
        </w:rPr>
        <w:t>h</w:t>
      </w:r>
      <w:r w:rsidRPr="002F0513">
        <w:rPr>
          <w:noProof/>
          <w:lang w:val="en-IE"/>
        </w:rPr>
        <w:t xml:space="preserve">as </w:t>
      </w:r>
      <w:r w:rsidR="00072060">
        <w:rPr>
          <w:noProof/>
          <w:lang w:val="en-IE"/>
        </w:rPr>
        <w:t>been</w:t>
      </w:r>
      <w:r w:rsidRPr="00FC48CF">
        <w:rPr>
          <w:noProof/>
          <w:lang w:val="en-IE"/>
        </w:rPr>
        <w:t xml:space="preserve"> adapted </w:t>
      </w:r>
      <w:r w:rsidR="303AA2ED" w:rsidRPr="00FC48CF">
        <w:rPr>
          <w:noProof/>
          <w:lang w:val="en-IE"/>
        </w:rPr>
        <w:t xml:space="preserve">to show which essential requirements a notified body </w:t>
      </w:r>
      <w:r w:rsidR="00942890">
        <w:rPr>
          <w:noProof/>
          <w:lang w:val="en-IE"/>
        </w:rPr>
        <w:t>can</w:t>
      </w:r>
      <w:r w:rsidR="00072060">
        <w:rPr>
          <w:noProof/>
          <w:lang w:val="en-IE"/>
        </w:rPr>
        <w:t xml:space="preserve"> meet</w:t>
      </w:r>
      <w:r w:rsidRPr="00FC48CF">
        <w:rPr>
          <w:noProof/>
          <w:lang w:val="en-IE"/>
        </w:rPr>
        <w:t xml:space="preserve">. </w:t>
      </w:r>
    </w:p>
    <w:p w14:paraId="7F8AEEC6" w14:textId="550FF3E8" w:rsidR="00326C97" w:rsidRPr="00FC48CF" w:rsidRDefault="52EF708C" w:rsidP="00326C97">
      <w:pPr>
        <w:pStyle w:val="Heading2"/>
        <w:rPr>
          <w:noProof/>
          <w:color w:val="auto"/>
          <w:lang w:val="en-IE"/>
        </w:rPr>
      </w:pPr>
      <w:bookmarkStart w:id="44" w:name="_Toc152772489"/>
      <w:bookmarkStart w:id="45" w:name="_Toc151122113"/>
      <w:bookmarkStart w:id="46" w:name="_Toc156461234"/>
      <w:r w:rsidRPr="00FC48CF">
        <w:rPr>
          <w:noProof/>
          <w:color w:val="auto"/>
          <w:lang w:val="en-IE"/>
        </w:rPr>
        <w:t>R</w:t>
      </w:r>
      <w:r w:rsidR="00656CD6" w:rsidRPr="00FC48CF">
        <w:rPr>
          <w:noProof/>
          <w:color w:val="auto"/>
          <w:lang w:val="en-IE"/>
        </w:rPr>
        <w:t>adio</w:t>
      </w:r>
      <w:r w:rsidR="001C459E" w:rsidRPr="00FC48CF">
        <w:rPr>
          <w:noProof/>
          <w:color w:val="auto"/>
          <w:lang w:val="en-IE"/>
        </w:rPr>
        <w:t xml:space="preserve"> </w:t>
      </w:r>
      <w:r w:rsidR="00656CD6" w:rsidRPr="00FC48CF">
        <w:rPr>
          <w:noProof/>
          <w:color w:val="auto"/>
          <w:lang w:val="en-IE"/>
        </w:rPr>
        <w:t xml:space="preserve">equipment </w:t>
      </w:r>
      <w:r w:rsidR="001C459E" w:rsidRPr="00FC48CF">
        <w:rPr>
          <w:noProof/>
          <w:color w:val="auto"/>
          <w:lang w:val="en-IE"/>
        </w:rPr>
        <w:t>not subject</w:t>
      </w:r>
      <w:r w:rsidR="00656CD6" w:rsidRPr="00FC48CF">
        <w:rPr>
          <w:noProof/>
          <w:color w:val="auto"/>
          <w:lang w:val="en-IE"/>
        </w:rPr>
        <w:t xml:space="preserve"> to national restrictions</w:t>
      </w:r>
      <w:bookmarkEnd w:id="44"/>
      <w:bookmarkEnd w:id="45"/>
      <w:bookmarkEnd w:id="46"/>
    </w:p>
    <w:p w14:paraId="73C2EB19" w14:textId="295518E6" w:rsidR="00321EDA" w:rsidRPr="00FC48CF" w:rsidRDefault="00326C97" w:rsidP="00212513">
      <w:pPr>
        <w:rPr>
          <w:noProof/>
          <w:lang w:val="en-IE"/>
        </w:rPr>
      </w:pPr>
      <w:r w:rsidRPr="00FC48CF">
        <w:rPr>
          <w:noProof/>
          <w:lang w:val="en-IE"/>
        </w:rPr>
        <w:t>In accordance with Article</w:t>
      </w:r>
      <w:r w:rsidR="006E04A8">
        <w:rPr>
          <w:noProof/>
          <w:lang w:val="en-IE"/>
        </w:rPr>
        <w:t> </w:t>
      </w:r>
      <w:r w:rsidRPr="00FC48CF">
        <w:rPr>
          <w:noProof/>
          <w:lang w:val="en-IE"/>
        </w:rPr>
        <w:t>1(3) of Commission Decision 2000/299/EC</w:t>
      </w:r>
      <w:r w:rsidR="0077133E" w:rsidRPr="002F0513">
        <w:rPr>
          <w:noProof/>
          <w:lang w:val="en-IE"/>
        </w:rPr>
        <w:t> </w:t>
      </w:r>
      <w:r w:rsidRPr="00FC48CF">
        <w:rPr>
          <w:rStyle w:val="FootnoteReference"/>
          <w:noProof/>
          <w:lang w:val="en-IE"/>
        </w:rPr>
        <w:footnoteReference w:id="12"/>
      </w:r>
      <w:r w:rsidRPr="00FC48CF">
        <w:rPr>
          <w:noProof/>
          <w:lang w:val="en-IE"/>
        </w:rPr>
        <w:t xml:space="preserve">, the Commission published in 2020 a list of equipment </w:t>
      </w:r>
      <w:r w:rsidR="00072060">
        <w:rPr>
          <w:noProof/>
          <w:lang w:val="en-IE"/>
        </w:rPr>
        <w:t xml:space="preserve">that </w:t>
      </w:r>
      <w:r w:rsidRPr="002F0513">
        <w:rPr>
          <w:noProof/>
          <w:lang w:val="en-IE"/>
        </w:rPr>
        <w:t>fall</w:t>
      </w:r>
      <w:r w:rsidR="00072060">
        <w:rPr>
          <w:noProof/>
          <w:lang w:val="en-IE"/>
        </w:rPr>
        <w:t>s</w:t>
      </w:r>
      <w:r w:rsidRPr="00FC48CF">
        <w:rPr>
          <w:noProof/>
          <w:lang w:val="en-IE"/>
        </w:rPr>
        <w:t xml:space="preserve"> within the scope of </w:t>
      </w:r>
      <w:r w:rsidR="0077133E" w:rsidRPr="002F0513">
        <w:rPr>
          <w:noProof/>
          <w:lang w:val="en-IE"/>
        </w:rPr>
        <w:t>‘</w:t>
      </w:r>
      <w:hyperlink r:id="rId25" w:history="1">
        <w:r w:rsidRPr="00A14D95">
          <w:rPr>
            <w:rStyle w:val="Hyperlink"/>
            <w:noProof/>
            <w:lang w:val="en-IE"/>
          </w:rPr>
          <w:t>Class 1</w:t>
        </w:r>
      </w:hyperlink>
      <w:r w:rsidR="0077133E" w:rsidRPr="002F0513">
        <w:rPr>
          <w:noProof/>
          <w:lang w:val="en-IE"/>
        </w:rPr>
        <w:t>’ </w:t>
      </w:r>
      <w:r w:rsidR="00072060">
        <w:rPr>
          <w:noProof/>
          <w:lang w:val="en-IE"/>
        </w:rPr>
        <w:t>(</w:t>
      </w:r>
      <w:r w:rsidR="00656CD6" w:rsidRPr="00FC48CF">
        <w:rPr>
          <w:noProof/>
          <w:lang w:val="en-IE"/>
        </w:rPr>
        <w:t>i</w:t>
      </w:r>
      <w:r w:rsidR="00321EDA" w:rsidRPr="00FC48CF">
        <w:rPr>
          <w:noProof/>
          <w:lang w:val="en-IE"/>
        </w:rPr>
        <w:t>.</w:t>
      </w:r>
      <w:r w:rsidR="00656CD6" w:rsidRPr="00FC48CF">
        <w:rPr>
          <w:noProof/>
          <w:lang w:val="en-IE"/>
        </w:rPr>
        <w:t>e</w:t>
      </w:r>
      <w:r w:rsidR="00321EDA" w:rsidRPr="00FC48CF">
        <w:rPr>
          <w:noProof/>
          <w:lang w:val="en-IE"/>
        </w:rPr>
        <w:t>.</w:t>
      </w:r>
      <w:r w:rsidR="00656CD6" w:rsidRPr="00FC48CF">
        <w:rPr>
          <w:noProof/>
          <w:lang w:val="en-IE"/>
        </w:rPr>
        <w:t xml:space="preserve"> equipment that can be </w:t>
      </w:r>
      <w:r w:rsidR="00321EDA" w:rsidRPr="00FC48CF">
        <w:rPr>
          <w:noProof/>
          <w:lang w:val="en-IE"/>
        </w:rPr>
        <w:t>placed on the market and put into service without restrictions</w:t>
      </w:r>
      <w:r w:rsidR="00072060">
        <w:rPr>
          <w:noProof/>
          <w:lang w:val="en-IE"/>
        </w:rPr>
        <w:t>)</w:t>
      </w:r>
      <w:r w:rsidR="00B756DC" w:rsidRPr="002F0513">
        <w:rPr>
          <w:noProof/>
          <w:lang w:val="en-IE"/>
        </w:rPr>
        <w:t>.</w:t>
      </w:r>
      <w:r w:rsidR="005B56ED" w:rsidRPr="00FC48CF">
        <w:rPr>
          <w:noProof/>
          <w:lang w:val="en-IE"/>
        </w:rPr>
        <w:t xml:space="preserve"> </w:t>
      </w:r>
      <w:r w:rsidR="00B756DC" w:rsidRPr="00FC48CF">
        <w:rPr>
          <w:noProof/>
          <w:lang w:val="en-IE"/>
        </w:rPr>
        <w:t>This list is currently being updated</w:t>
      </w:r>
      <w:r w:rsidR="00D909A8" w:rsidRPr="00FC48CF">
        <w:rPr>
          <w:noProof/>
          <w:lang w:val="en-IE"/>
        </w:rPr>
        <w:t xml:space="preserve"> in order to reflect the modifications </w:t>
      </w:r>
      <w:r w:rsidR="00AA128B">
        <w:rPr>
          <w:noProof/>
          <w:lang w:val="en-IE"/>
        </w:rPr>
        <w:t>to</w:t>
      </w:r>
      <w:r w:rsidR="00D909A8" w:rsidRPr="00FC48CF">
        <w:rPr>
          <w:noProof/>
          <w:lang w:val="en-IE"/>
        </w:rPr>
        <w:t xml:space="preserve"> the EU and national radio </w:t>
      </w:r>
      <w:r w:rsidR="00D909A8" w:rsidRPr="00FC48CF">
        <w:rPr>
          <w:noProof/>
        </w:rPr>
        <w:t>spectrum access</w:t>
      </w:r>
      <w:r w:rsidR="00D909A8" w:rsidRPr="00FC48CF">
        <w:rPr>
          <w:noProof/>
          <w:lang w:val="en-IE"/>
        </w:rPr>
        <w:t xml:space="preserve"> regulations</w:t>
      </w:r>
      <w:r w:rsidR="00B756DC" w:rsidRPr="00FC48CF">
        <w:rPr>
          <w:noProof/>
          <w:lang w:val="en-IE"/>
        </w:rPr>
        <w:t>.</w:t>
      </w:r>
    </w:p>
    <w:p w14:paraId="74344B89" w14:textId="5D5DD50B" w:rsidR="00BA5C47" w:rsidRPr="00FC48CF" w:rsidRDefault="00D154CE" w:rsidP="00321EDA">
      <w:pPr>
        <w:pStyle w:val="Heading2"/>
        <w:rPr>
          <w:noProof/>
          <w:color w:val="auto"/>
          <w:lang w:val="en-IE"/>
        </w:rPr>
      </w:pPr>
      <w:bookmarkStart w:id="47" w:name="_Toc152772490"/>
      <w:bookmarkStart w:id="48" w:name="_Toc151122114"/>
      <w:bookmarkStart w:id="49" w:name="_Toc156461235"/>
      <w:r w:rsidRPr="00FC48CF">
        <w:rPr>
          <w:noProof/>
          <w:color w:val="auto"/>
          <w:lang w:val="en-IE"/>
        </w:rPr>
        <w:t xml:space="preserve">Update </w:t>
      </w:r>
      <w:r w:rsidR="004A3914" w:rsidRPr="00FC48CF">
        <w:rPr>
          <w:noProof/>
          <w:color w:val="auto"/>
          <w:lang w:val="en-IE"/>
        </w:rPr>
        <w:t xml:space="preserve">of the </w:t>
      </w:r>
      <w:r w:rsidRPr="00FC48CF">
        <w:rPr>
          <w:noProof/>
          <w:color w:val="auto"/>
          <w:lang w:val="en-IE"/>
        </w:rPr>
        <w:t xml:space="preserve">RED </w:t>
      </w:r>
      <w:r w:rsidR="0022052E" w:rsidRPr="00FC48CF">
        <w:rPr>
          <w:noProof/>
          <w:color w:val="auto"/>
          <w:lang w:val="en-IE"/>
        </w:rPr>
        <w:t>guide</w:t>
      </w:r>
      <w:bookmarkEnd w:id="47"/>
      <w:bookmarkEnd w:id="48"/>
      <w:bookmarkEnd w:id="49"/>
    </w:p>
    <w:p w14:paraId="525F86E8" w14:textId="1C9613FB" w:rsidR="00CD6593" w:rsidRPr="00FC48CF" w:rsidRDefault="22C2C3C9" w:rsidP="00642F3A">
      <w:pPr>
        <w:rPr>
          <w:noProof/>
          <w:lang w:val="en-IE"/>
        </w:rPr>
      </w:pPr>
      <w:r w:rsidRPr="00FC48CF">
        <w:rPr>
          <w:noProof/>
          <w:lang w:val="en-IE"/>
        </w:rPr>
        <w:t xml:space="preserve">The RED guide </w:t>
      </w:r>
      <w:r w:rsidR="0F68E6CE" w:rsidRPr="00FC48CF">
        <w:rPr>
          <w:noProof/>
          <w:lang w:val="en-IE"/>
        </w:rPr>
        <w:t xml:space="preserve">is a non-binding document that </w:t>
      </w:r>
      <w:r w:rsidR="00673F05" w:rsidRPr="00673F05">
        <w:rPr>
          <w:noProof/>
          <w:lang w:val="en-IE"/>
        </w:rPr>
        <w:t>that helps market surveillance authorities, industry and notified bodies to implement the RED consistently</w:t>
      </w:r>
      <w:r w:rsidR="0F68E6CE" w:rsidRPr="00FC48CF">
        <w:rPr>
          <w:noProof/>
          <w:lang w:val="en-IE"/>
        </w:rPr>
        <w:t>.</w:t>
      </w:r>
    </w:p>
    <w:p w14:paraId="382894D7" w14:textId="2AA4755F" w:rsidR="00642F3A" w:rsidRPr="00FC48CF" w:rsidRDefault="0F68E6CE" w:rsidP="00673F05">
      <w:pPr>
        <w:rPr>
          <w:noProof/>
          <w:lang w:val="en-IE"/>
        </w:rPr>
      </w:pPr>
      <w:r w:rsidRPr="00FC48CF">
        <w:rPr>
          <w:noProof/>
          <w:lang w:val="en-IE"/>
        </w:rPr>
        <w:lastRenderedPageBreak/>
        <w:t xml:space="preserve">The latest version of the RED guide was issued in December 2018 and is publicly </w:t>
      </w:r>
      <w:hyperlink r:id="rId26" w:history="1">
        <w:r w:rsidRPr="00A14D95">
          <w:rPr>
            <w:rStyle w:val="Hyperlink"/>
            <w:noProof/>
            <w:lang w:val="en-IE"/>
          </w:rPr>
          <w:t>available</w:t>
        </w:r>
      </w:hyperlink>
      <w:r w:rsidRPr="002F0513">
        <w:rPr>
          <w:noProof/>
          <w:lang w:val="en-IE"/>
        </w:rPr>
        <w:t xml:space="preserve">. </w:t>
      </w:r>
      <w:r w:rsidR="00985524">
        <w:rPr>
          <w:noProof/>
          <w:lang w:val="en-IE"/>
        </w:rPr>
        <w:t>A</w:t>
      </w:r>
      <w:r w:rsidR="00985524" w:rsidRPr="002F0513">
        <w:rPr>
          <w:noProof/>
          <w:lang w:val="en-IE"/>
        </w:rPr>
        <w:t xml:space="preserve">n update of the RED guide is </w:t>
      </w:r>
      <w:r w:rsidR="001360B6">
        <w:rPr>
          <w:noProof/>
          <w:lang w:val="en-IE"/>
        </w:rPr>
        <w:t xml:space="preserve">currently </w:t>
      </w:r>
      <w:r w:rsidR="00985524" w:rsidRPr="002F0513">
        <w:rPr>
          <w:noProof/>
          <w:lang w:val="en-IE"/>
        </w:rPr>
        <w:t>being considered</w:t>
      </w:r>
      <w:r w:rsidR="001360B6">
        <w:rPr>
          <w:noProof/>
          <w:lang w:val="en-IE"/>
        </w:rPr>
        <w:t>.</w:t>
      </w:r>
    </w:p>
    <w:p w14:paraId="450F3A17" w14:textId="523ADB10" w:rsidR="00BA5C47" w:rsidRPr="00FC48CF" w:rsidRDefault="00CD6593" w:rsidP="00CD6593">
      <w:pPr>
        <w:pStyle w:val="Heading1"/>
        <w:rPr>
          <w:noProof/>
          <w:color w:val="auto"/>
          <w:lang w:val="en-IE"/>
        </w:rPr>
      </w:pPr>
      <w:bookmarkStart w:id="50" w:name="_Toc152772491"/>
      <w:bookmarkStart w:id="51" w:name="_Toc151122115"/>
      <w:bookmarkStart w:id="52" w:name="_Toc156461236"/>
      <w:r w:rsidRPr="00FC48CF">
        <w:rPr>
          <w:noProof/>
          <w:color w:val="auto"/>
          <w:lang w:val="en-IE"/>
        </w:rPr>
        <w:t>Harmonised</w:t>
      </w:r>
      <w:r w:rsidRPr="00FC48CF">
        <w:rPr>
          <w:b w:val="0"/>
          <w:noProof/>
          <w:color w:val="auto"/>
          <w:lang w:val="en-IE"/>
        </w:rPr>
        <w:t xml:space="preserve"> </w:t>
      </w:r>
      <w:r w:rsidRPr="00FC48CF">
        <w:rPr>
          <w:noProof/>
          <w:color w:val="auto"/>
          <w:lang w:val="en-IE"/>
        </w:rPr>
        <w:t>s</w:t>
      </w:r>
      <w:r w:rsidR="00BA5C47" w:rsidRPr="00FC48CF">
        <w:rPr>
          <w:noProof/>
          <w:color w:val="auto"/>
          <w:lang w:val="en-IE"/>
        </w:rPr>
        <w:t>tandards</w:t>
      </w:r>
      <w:r w:rsidRPr="00FC48CF">
        <w:rPr>
          <w:noProof/>
          <w:color w:val="auto"/>
          <w:lang w:val="en-IE"/>
        </w:rPr>
        <w:t xml:space="preserve"> in support of the RED</w:t>
      </w:r>
      <w:bookmarkEnd w:id="50"/>
      <w:bookmarkEnd w:id="51"/>
      <w:bookmarkEnd w:id="52"/>
    </w:p>
    <w:p w14:paraId="6C35465E" w14:textId="4CDFA525" w:rsidR="00642F3A" w:rsidRPr="00FC48CF" w:rsidRDefault="00642F3A" w:rsidP="00642F3A">
      <w:pPr>
        <w:pStyle w:val="Heading2"/>
        <w:rPr>
          <w:noProof/>
          <w:color w:val="auto"/>
          <w:lang w:val="en-IE"/>
        </w:rPr>
      </w:pPr>
      <w:bookmarkStart w:id="53" w:name="_Ref139891685"/>
      <w:bookmarkStart w:id="54" w:name="_Toc152772492"/>
      <w:bookmarkStart w:id="55" w:name="_Toc151122116"/>
      <w:bookmarkStart w:id="56" w:name="_Toc156461237"/>
      <w:bookmarkStart w:id="57" w:name="_Hlk153204084"/>
      <w:r w:rsidRPr="00FC48CF">
        <w:rPr>
          <w:noProof/>
          <w:color w:val="auto"/>
          <w:lang w:val="en-IE"/>
        </w:rPr>
        <w:t>Citations of standards</w:t>
      </w:r>
      <w:bookmarkEnd w:id="53"/>
      <w:bookmarkEnd w:id="54"/>
      <w:bookmarkEnd w:id="55"/>
      <w:bookmarkEnd w:id="56"/>
    </w:p>
    <w:p w14:paraId="0CDC86FB" w14:textId="004BCC8D" w:rsidR="00C21426" w:rsidRDefault="23EB28B7" w:rsidP="00642F3A">
      <w:pPr>
        <w:rPr>
          <w:noProof/>
          <w:lang w:val="en-IE"/>
        </w:rPr>
      </w:pPr>
      <w:r w:rsidRPr="7A33909E">
        <w:rPr>
          <w:noProof/>
          <w:lang w:val="en-IE"/>
        </w:rPr>
        <w:t xml:space="preserve">Since 2018, the Commission </w:t>
      </w:r>
      <w:r w:rsidR="0048538B">
        <w:rPr>
          <w:noProof/>
          <w:lang w:val="en-IE"/>
        </w:rPr>
        <w:t xml:space="preserve">has </w:t>
      </w:r>
      <w:r w:rsidRPr="7A33909E">
        <w:rPr>
          <w:noProof/>
          <w:lang w:val="en-IE"/>
        </w:rPr>
        <w:t xml:space="preserve">published references </w:t>
      </w:r>
      <w:r w:rsidR="00421D39">
        <w:rPr>
          <w:noProof/>
          <w:lang w:val="en-IE"/>
        </w:rPr>
        <w:t>of</w:t>
      </w:r>
      <w:r w:rsidR="0048538B">
        <w:rPr>
          <w:noProof/>
          <w:lang w:val="en-IE"/>
        </w:rPr>
        <w:t xml:space="preserve"> </w:t>
      </w:r>
      <w:r w:rsidR="000E45B8">
        <w:rPr>
          <w:noProof/>
          <w:lang w:val="en-IE"/>
        </w:rPr>
        <w:t>72</w:t>
      </w:r>
      <w:r w:rsidRPr="7A33909E">
        <w:rPr>
          <w:noProof/>
          <w:lang w:val="en-IE"/>
        </w:rPr>
        <w:t xml:space="preserve"> harmonised standards in the </w:t>
      </w:r>
      <w:r w:rsidRPr="00582B16">
        <w:rPr>
          <w:noProof/>
          <w:lang w:val="en-IE"/>
        </w:rPr>
        <w:t>Official Journal</w:t>
      </w:r>
      <w:r w:rsidR="0FAB7718" w:rsidRPr="00582B16">
        <w:rPr>
          <w:noProof/>
          <w:lang w:val="en-IE"/>
        </w:rPr>
        <w:t xml:space="preserve"> </w:t>
      </w:r>
      <w:r w:rsidR="0F878431" w:rsidRPr="00582B16">
        <w:rPr>
          <w:noProof/>
          <w:lang w:val="en-IE"/>
        </w:rPr>
        <w:t>of the European Union</w:t>
      </w:r>
      <w:r w:rsidR="00E7664C">
        <w:rPr>
          <w:noProof/>
          <w:lang w:val="en-IE"/>
        </w:rPr>
        <w:t xml:space="preserve"> (OJEU)</w:t>
      </w:r>
      <w:r w:rsidR="002B51F2">
        <w:rPr>
          <w:noProof/>
          <w:lang w:val="en-IE"/>
        </w:rPr>
        <w:t xml:space="preserve">. Standards published </w:t>
      </w:r>
      <w:r w:rsidR="00662222">
        <w:rPr>
          <w:noProof/>
          <w:lang w:val="en-IE"/>
        </w:rPr>
        <w:t>in the OJEU</w:t>
      </w:r>
      <w:r w:rsidR="005269CF">
        <w:rPr>
          <w:noProof/>
          <w:lang w:val="en-IE"/>
        </w:rPr>
        <w:t xml:space="preserve"> L series</w:t>
      </w:r>
      <w:r w:rsidR="00662222">
        <w:rPr>
          <w:noProof/>
          <w:lang w:val="en-IE"/>
        </w:rPr>
        <w:t xml:space="preserve"> provide</w:t>
      </w:r>
      <w:r w:rsidR="0F878431" w:rsidRPr="7A33909E">
        <w:rPr>
          <w:noProof/>
          <w:lang w:val="en-IE"/>
        </w:rPr>
        <w:t xml:space="preserve"> with presumption of conformity to the RED essential requirements when properly used</w:t>
      </w:r>
      <w:r w:rsidRPr="7A33909E">
        <w:rPr>
          <w:noProof/>
          <w:lang w:val="en-IE"/>
        </w:rPr>
        <w:t>.</w:t>
      </w:r>
    </w:p>
    <w:p w14:paraId="0DA9C123" w14:textId="3097BD07" w:rsidR="005B156A" w:rsidRDefault="005B156A" w:rsidP="00642F3A">
      <w:pPr>
        <w:rPr>
          <w:noProof/>
          <w:lang w:val="en-IE"/>
        </w:rPr>
      </w:pPr>
      <w:r>
        <w:rPr>
          <w:noProof/>
          <w:lang w:val="en-IE"/>
        </w:rPr>
        <w:t xml:space="preserve">A number of discussions of legal nature have taken place with the relevant technical committees of </w:t>
      </w:r>
      <w:r w:rsidR="00995448">
        <w:rPr>
          <w:noProof/>
          <w:lang w:val="en-IE"/>
        </w:rPr>
        <w:t>CEN, CENELEC</w:t>
      </w:r>
      <w:r w:rsidR="00E4415F">
        <w:rPr>
          <w:noProof/>
        </w:rPr>
        <w:t xml:space="preserve"> and the European Telecommunications Standards Institute (ETSI)</w:t>
      </w:r>
      <w:r>
        <w:rPr>
          <w:noProof/>
          <w:lang w:val="en-IE"/>
        </w:rPr>
        <w:t xml:space="preserve">. The </w:t>
      </w:r>
      <w:r w:rsidR="00177657">
        <w:rPr>
          <w:noProof/>
          <w:lang w:val="en-IE"/>
        </w:rPr>
        <w:t xml:space="preserve">following </w:t>
      </w:r>
      <w:r>
        <w:rPr>
          <w:noProof/>
          <w:lang w:val="en-IE"/>
        </w:rPr>
        <w:t xml:space="preserve">main topics have been </w:t>
      </w:r>
      <w:r w:rsidR="00177657">
        <w:rPr>
          <w:noProof/>
          <w:lang w:val="en-IE"/>
        </w:rPr>
        <w:t xml:space="preserve">proactively </w:t>
      </w:r>
      <w:r>
        <w:rPr>
          <w:noProof/>
          <w:lang w:val="en-IE"/>
        </w:rPr>
        <w:t xml:space="preserve">clarified by the Commission </w:t>
      </w:r>
      <w:r w:rsidR="005E10EC">
        <w:rPr>
          <w:noProof/>
          <w:lang w:val="en-IE"/>
        </w:rPr>
        <w:t xml:space="preserve">services </w:t>
      </w:r>
      <w:r w:rsidR="002C257B">
        <w:rPr>
          <w:noProof/>
          <w:lang w:val="en-IE"/>
        </w:rPr>
        <w:t>so</w:t>
      </w:r>
      <w:r>
        <w:rPr>
          <w:noProof/>
          <w:lang w:val="en-IE"/>
        </w:rPr>
        <w:t xml:space="preserve"> that the standardisation could </w:t>
      </w:r>
      <w:r w:rsidR="002F28B9">
        <w:rPr>
          <w:noProof/>
          <w:lang w:val="en-IE"/>
        </w:rPr>
        <w:t>continue to develop</w:t>
      </w:r>
      <w:r>
        <w:rPr>
          <w:noProof/>
          <w:lang w:val="en-IE"/>
        </w:rPr>
        <w:t>:</w:t>
      </w:r>
    </w:p>
    <w:p w14:paraId="3DC27993" w14:textId="5882ACC6" w:rsidR="005B156A" w:rsidRDefault="001F668A" w:rsidP="005B156A">
      <w:pPr>
        <w:pStyle w:val="ListParagraph"/>
        <w:numPr>
          <w:ilvl w:val="0"/>
          <w:numId w:val="34"/>
        </w:numPr>
        <w:rPr>
          <w:noProof/>
          <w:lang w:val="en-IE"/>
        </w:rPr>
      </w:pPr>
      <w:r>
        <w:rPr>
          <w:noProof/>
          <w:lang w:val="en-IE"/>
        </w:rPr>
        <w:t>I</w:t>
      </w:r>
      <w:r w:rsidR="005B156A" w:rsidRPr="002F0513">
        <w:rPr>
          <w:noProof/>
          <w:lang w:val="en-IE"/>
        </w:rPr>
        <w:t>mplementation</w:t>
      </w:r>
      <w:r w:rsidR="005B156A">
        <w:rPr>
          <w:noProof/>
          <w:lang w:val="en-IE"/>
        </w:rPr>
        <w:t xml:space="preserve"> of receiver parameters to increase the resilience of radio equipment and avoid the production of harmful interferences</w:t>
      </w:r>
      <w:r>
        <w:rPr>
          <w:noProof/>
          <w:lang w:val="en-IE"/>
        </w:rPr>
        <w:t>.</w:t>
      </w:r>
    </w:p>
    <w:p w14:paraId="0AD2B024" w14:textId="762AFCAF" w:rsidR="005B156A" w:rsidRDefault="001F668A" w:rsidP="005B156A">
      <w:pPr>
        <w:pStyle w:val="ListParagraph"/>
        <w:numPr>
          <w:ilvl w:val="0"/>
          <w:numId w:val="34"/>
        </w:numPr>
        <w:rPr>
          <w:noProof/>
          <w:lang w:val="en-IE"/>
        </w:rPr>
      </w:pPr>
      <w:r>
        <w:rPr>
          <w:noProof/>
          <w:lang w:val="en-IE"/>
        </w:rPr>
        <w:t>O</w:t>
      </w:r>
      <w:r w:rsidR="0F878431" w:rsidRPr="002F0513">
        <w:rPr>
          <w:noProof/>
          <w:lang w:val="en-IE"/>
        </w:rPr>
        <w:t>bjectivity</w:t>
      </w:r>
      <w:r w:rsidR="0F878431" w:rsidRPr="7A33909E">
        <w:rPr>
          <w:noProof/>
          <w:lang w:val="en-IE"/>
        </w:rPr>
        <w:t xml:space="preserve"> and verifiability of standards to avoid giving an excessive degree of freedom to the manufacturer to implement technical specifications</w:t>
      </w:r>
      <w:r>
        <w:rPr>
          <w:noProof/>
          <w:lang w:val="en-IE"/>
        </w:rPr>
        <w:t>.</w:t>
      </w:r>
    </w:p>
    <w:p w14:paraId="0DDB8766" w14:textId="37E0707C" w:rsidR="005B156A" w:rsidRDefault="001F668A" w:rsidP="005B156A">
      <w:pPr>
        <w:pStyle w:val="ListParagraph"/>
        <w:numPr>
          <w:ilvl w:val="0"/>
          <w:numId w:val="34"/>
        </w:numPr>
        <w:rPr>
          <w:noProof/>
          <w:lang w:val="en-IE"/>
        </w:rPr>
      </w:pPr>
      <w:r>
        <w:rPr>
          <w:noProof/>
          <w:lang w:val="en-IE"/>
        </w:rPr>
        <w:t>I</w:t>
      </w:r>
      <w:r w:rsidR="005B156A">
        <w:rPr>
          <w:noProof/>
          <w:lang w:val="en-IE"/>
        </w:rPr>
        <w:t>nnovation and competitiveness of the testing industry in the EU</w:t>
      </w:r>
      <w:r w:rsidR="003E2502">
        <w:rPr>
          <w:noProof/>
          <w:lang w:val="en-IE"/>
        </w:rPr>
        <w:t>.</w:t>
      </w:r>
    </w:p>
    <w:p w14:paraId="4E7FEB00" w14:textId="42D2B0C2" w:rsidR="005B156A" w:rsidRDefault="003E2502" w:rsidP="005B156A">
      <w:pPr>
        <w:pStyle w:val="ListParagraph"/>
        <w:numPr>
          <w:ilvl w:val="0"/>
          <w:numId w:val="34"/>
        </w:numPr>
        <w:rPr>
          <w:noProof/>
          <w:lang w:val="en-IE"/>
        </w:rPr>
      </w:pPr>
      <w:r>
        <w:rPr>
          <w:noProof/>
          <w:lang w:val="en-IE"/>
        </w:rPr>
        <w:t>T</w:t>
      </w:r>
      <w:r w:rsidR="005B156A" w:rsidRPr="002F0513">
        <w:rPr>
          <w:noProof/>
          <w:lang w:val="en-IE"/>
        </w:rPr>
        <w:t>olerances</w:t>
      </w:r>
      <w:r w:rsidR="005B156A">
        <w:rPr>
          <w:noProof/>
          <w:lang w:val="en-IE"/>
        </w:rPr>
        <w:t xml:space="preserve"> and measurement uncertainties to avoid artificial modifications of the technical limits and to foster more accurate measurements.</w:t>
      </w:r>
    </w:p>
    <w:p w14:paraId="52D96D59" w14:textId="2EF7A7B7" w:rsidR="00642F3A" w:rsidRPr="00FC48CF" w:rsidRDefault="00642F3A" w:rsidP="00642F3A">
      <w:pPr>
        <w:pStyle w:val="Heading2"/>
        <w:rPr>
          <w:noProof/>
          <w:color w:val="auto"/>
          <w:lang w:val="en-IE"/>
        </w:rPr>
      </w:pPr>
      <w:bookmarkStart w:id="58" w:name="_Ref128066219"/>
      <w:bookmarkStart w:id="59" w:name="_Toc152772493"/>
      <w:bookmarkStart w:id="60" w:name="_Toc151122117"/>
      <w:bookmarkStart w:id="61" w:name="_Toc156461238"/>
      <w:bookmarkEnd w:id="57"/>
      <w:r w:rsidRPr="00FC48CF">
        <w:rPr>
          <w:noProof/>
          <w:color w:val="auto"/>
          <w:lang w:val="en-IE"/>
        </w:rPr>
        <w:t>Standardisation requests</w:t>
      </w:r>
      <w:bookmarkEnd w:id="58"/>
      <w:bookmarkEnd w:id="59"/>
      <w:bookmarkEnd w:id="60"/>
      <w:bookmarkEnd w:id="61"/>
    </w:p>
    <w:p w14:paraId="6DE9DBBD" w14:textId="243593D3" w:rsidR="003844EA" w:rsidRPr="003844EA" w:rsidRDefault="003844EA" w:rsidP="003844EA">
      <w:pPr>
        <w:rPr>
          <w:noProof/>
          <w:lang w:val="en-IE"/>
        </w:rPr>
      </w:pPr>
      <w:r>
        <w:rPr>
          <w:noProof/>
          <w:lang w:val="en-IE"/>
        </w:rPr>
        <w:t>Since 2018,</w:t>
      </w:r>
      <w:r w:rsidR="00E9735F">
        <w:rPr>
          <w:noProof/>
          <w:lang w:val="en-IE"/>
        </w:rPr>
        <w:t xml:space="preserve"> the Commission </w:t>
      </w:r>
      <w:r w:rsidR="002F28B9">
        <w:rPr>
          <w:noProof/>
          <w:lang w:val="en-IE"/>
        </w:rPr>
        <w:t>has</w:t>
      </w:r>
      <w:r w:rsidR="00E9735F" w:rsidRPr="002F0513">
        <w:rPr>
          <w:noProof/>
          <w:lang w:val="en-IE"/>
        </w:rPr>
        <w:t xml:space="preserve"> </w:t>
      </w:r>
      <w:r w:rsidR="00E9735F">
        <w:rPr>
          <w:noProof/>
          <w:lang w:val="en-IE"/>
        </w:rPr>
        <w:t>adopted</w:t>
      </w:r>
      <w:r>
        <w:rPr>
          <w:noProof/>
          <w:lang w:val="en-IE"/>
        </w:rPr>
        <w:t xml:space="preserve"> two standardisation requests </w:t>
      </w:r>
      <w:r w:rsidR="00E9735F">
        <w:rPr>
          <w:noProof/>
          <w:lang w:val="en-IE"/>
        </w:rPr>
        <w:t xml:space="preserve">for harmonised standards supporting the </w:t>
      </w:r>
      <w:r w:rsidR="3BB9BF5D" w:rsidRPr="1263050F">
        <w:rPr>
          <w:noProof/>
          <w:lang w:val="en-IE"/>
        </w:rPr>
        <w:t>RED</w:t>
      </w:r>
      <w:r>
        <w:rPr>
          <w:noProof/>
          <w:lang w:val="en-IE"/>
        </w:rPr>
        <w:t xml:space="preserve">. </w:t>
      </w:r>
    </w:p>
    <w:p w14:paraId="7A44CA11" w14:textId="2E6CA1AF" w:rsidR="00642F3A" w:rsidRPr="00FC48CF" w:rsidRDefault="003844EA" w:rsidP="00642F3A">
      <w:pPr>
        <w:pStyle w:val="Heading3"/>
        <w:rPr>
          <w:noProof/>
          <w:color w:val="auto"/>
          <w:lang w:val="en-IE"/>
        </w:rPr>
      </w:pPr>
      <w:bookmarkStart w:id="62" w:name="_Ref141882380"/>
      <w:bookmarkStart w:id="63" w:name="_Toc151122118"/>
      <w:bookmarkStart w:id="64" w:name="_Toc152772494"/>
      <w:bookmarkStart w:id="65" w:name="_Toc156461239"/>
      <w:r w:rsidRPr="00FC48CF">
        <w:rPr>
          <w:noProof/>
          <w:color w:val="auto"/>
          <w:lang w:val="en-IE"/>
        </w:rPr>
        <w:t>Access to emergency services from smartphones –</w:t>
      </w:r>
      <w:r w:rsidR="00675F6B" w:rsidRPr="00FC48CF">
        <w:rPr>
          <w:noProof/>
          <w:color w:val="auto"/>
          <w:lang w:val="en-IE"/>
        </w:rPr>
        <w:t xml:space="preserve"> </w:t>
      </w:r>
      <w:r w:rsidRPr="00FC48CF">
        <w:rPr>
          <w:noProof/>
          <w:color w:val="auto"/>
          <w:lang w:val="en-IE"/>
        </w:rPr>
        <w:t>Article</w:t>
      </w:r>
      <w:r w:rsidR="00DD1697">
        <w:rPr>
          <w:noProof/>
          <w:color w:val="auto"/>
          <w:lang w:val="en-IE"/>
        </w:rPr>
        <w:t> </w:t>
      </w:r>
      <w:r w:rsidRPr="00FC48CF">
        <w:rPr>
          <w:noProof/>
          <w:color w:val="auto"/>
          <w:lang w:val="en-IE"/>
        </w:rPr>
        <w:t>3</w:t>
      </w:r>
      <w:r w:rsidR="005423CB" w:rsidRPr="00FC48CF">
        <w:rPr>
          <w:noProof/>
          <w:lang w:val="en-IE"/>
        </w:rPr>
        <w:t>(</w:t>
      </w:r>
      <w:r w:rsidRPr="00FC48CF">
        <w:rPr>
          <w:noProof/>
          <w:color w:val="auto"/>
          <w:lang w:val="en-IE"/>
        </w:rPr>
        <w:t>3</w:t>
      </w:r>
      <w:r w:rsidR="006E04A8">
        <w:rPr>
          <w:noProof/>
          <w:color w:val="auto"/>
          <w:lang w:val="en-IE"/>
        </w:rPr>
        <w:t>)</w:t>
      </w:r>
      <w:r>
        <w:rPr>
          <w:noProof/>
          <w:lang w:val="en-IE"/>
        </w:rPr>
        <w:t>(</w:t>
      </w:r>
      <w:r w:rsidRPr="00FC48CF">
        <w:rPr>
          <w:noProof/>
          <w:color w:val="auto"/>
          <w:lang w:val="en-IE"/>
        </w:rPr>
        <w:t>g)</w:t>
      </w:r>
      <w:bookmarkEnd w:id="62"/>
      <w:bookmarkEnd w:id="63"/>
      <w:r w:rsidR="00675F6B" w:rsidRPr="00FC48CF">
        <w:rPr>
          <w:noProof/>
          <w:color w:val="auto"/>
          <w:lang w:val="en-IE"/>
        </w:rPr>
        <w:t xml:space="preserve"> of the RED</w:t>
      </w:r>
      <w:bookmarkEnd w:id="64"/>
      <w:bookmarkEnd w:id="65"/>
    </w:p>
    <w:p w14:paraId="33DCEE28" w14:textId="40B641F2" w:rsidR="006C5BE2" w:rsidRPr="00E62BA6" w:rsidRDefault="005269CF" w:rsidP="003844EA">
      <w:pPr>
        <w:rPr>
          <w:noProof/>
          <w:lang w:val="en-IE"/>
        </w:rPr>
      </w:pPr>
      <w:r w:rsidRPr="00FC48CF">
        <w:rPr>
          <w:noProof/>
          <w:lang w:val="en-IE"/>
        </w:rPr>
        <w:t>To</w:t>
      </w:r>
      <w:r w:rsidR="00FA40BA" w:rsidRPr="00FC48CF">
        <w:rPr>
          <w:noProof/>
          <w:lang w:val="en-IE"/>
        </w:rPr>
        <w:t xml:space="preserve"> </w:t>
      </w:r>
      <w:r w:rsidR="003844EA" w:rsidRPr="00FC48CF">
        <w:rPr>
          <w:noProof/>
          <w:lang w:val="en-IE"/>
        </w:rPr>
        <w:t xml:space="preserve">support the implementation </w:t>
      </w:r>
      <w:r w:rsidR="573809A7" w:rsidRPr="00FC48CF">
        <w:rPr>
          <w:noProof/>
          <w:lang w:val="en-IE"/>
        </w:rPr>
        <w:t xml:space="preserve">of </w:t>
      </w:r>
      <w:r w:rsidR="00FA40BA" w:rsidRPr="00FC48CF">
        <w:rPr>
          <w:noProof/>
          <w:lang w:val="en-IE"/>
        </w:rPr>
        <w:t>Delegated Regulation</w:t>
      </w:r>
      <w:r w:rsidR="00923F25">
        <w:rPr>
          <w:noProof/>
          <w:lang w:val="en-IE"/>
        </w:rPr>
        <w:t> </w:t>
      </w:r>
      <w:r w:rsidR="00FA40BA" w:rsidRPr="00FC48CF">
        <w:rPr>
          <w:noProof/>
          <w:lang w:val="en-IE"/>
        </w:rPr>
        <w:t>(EU)</w:t>
      </w:r>
      <w:r w:rsidR="00923F25">
        <w:rPr>
          <w:noProof/>
          <w:lang w:val="en-IE"/>
        </w:rPr>
        <w:t> </w:t>
      </w:r>
      <w:r w:rsidR="00FA40BA" w:rsidRPr="00FC48CF">
        <w:rPr>
          <w:noProof/>
          <w:lang w:val="en-IE"/>
        </w:rPr>
        <w:t>2019/320</w:t>
      </w:r>
      <w:r w:rsidR="003844EA" w:rsidRPr="00FC48CF">
        <w:rPr>
          <w:noProof/>
          <w:lang w:val="en-IE"/>
        </w:rPr>
        <w:t xml:space="preserve">, the Commission </w:t>
      </w:r>
      <w:r w:rsidR="43E7145C" w:rsidRPr="00FC48CF">
        <w:rPr>
          <w:noProof/>
          <w:lang w:val="en-IE"/>
        </w:rPr>
        <w:t xml:space="preserve">adopted </w:t>
      </w:r>
      <w:r w:rsidR="003844EA" w:rsidRPr="00FC48CF">
        <w:rPr>
          <w:noProof/>
          <w:lang w:val="en-IE"/>
        </w:rPr>
        <w:t>a standardisation request</w:t>
      </w:r>
      <w:r w:rsidR="0077133E" w:rsidRPr="002F0513">
        <w:rPr>
          <w:noProof/>
          <w:lang w:val="en-IE"/>
        </w:rPr>
        <w:t> </w:t>
      </w:r>
      <w:r w:rsidR="003844EA" w:rsidRPr="00FC48CF">
        <w:rPr>
          <w:rStyle w:val="FootnoteReference"/>
          <w:noProof/>
          <w:lang w:val="en-IE"/>
        </w:rPr>
        <w:footnoteReference w:id="13"/>
      </w:r>
      <w:r w:rsidR="003844EA" w:rsidRPr="00FC48CF">
        <w:rPr>
          <w:noProof/>
          <w:lang w:val="en-IE"/>
        </w:rPr>
        <w:t xml:space="preserve"> addressed to </w:t>
      </w:r>
      <w:r w:rsidR="3463B1F7" w:rsidRPr="00FC48CF">
        <w:rPr>
          <w:noProof/>
          <w:lang w:val="en-IE"/>
        </w:rPr>
        <w:t>ETSI</w:t>
      </w:r>
      <w:r w:rsidR="00E62BA6">
        <w:rPr>
          <w:noProof/>
          <w:lang w:val="en-IE"/>
        </w:rPr>
        <w:t>, who</w:t>
      </w:r>
      <w:r w:rsidR="003844EA" w:rsidRPr="00FC48CF">
        <w:rPr>
          <w:noProof/>
          <w:lang w:val="en-IE"/>
        </w:rPr>
        <w:t xml:space="preserve"> decided</w:t>
      </w:r>
      <w:r w:rsidR="00FA40BA" w:rsidRPr="00FC48CF">
        <w:rPr>
          <w:noProof/>
          <w:lang w:val="en-IE"/>
        </w:rPr>
        <w:t xml:space="preserve"> </w:t>
      </w:r>
      <w:r w:rsidR="003844EA" w:rsidRPr="00FC48CF">
        <w:rPr>
          <w:noProof/>
          <w:lang w:val="en-IE"/>
        </w:rPr>
        <w:t>not to accept</w:t>
      </w:r>
      <w:r w:rsidR="005B156A" w:rsidRPr="00FC48CF">
        <w:rPr>
          <w:noProof/>
          <w:lang w:val="en-IE"/>
        </w:rPr>
        <w:t xml:space="preserve">. </w:t>
      </w:r>
    </w:p>
    <w:p w14:paraId="525227D1" w14:textId="7898F0F4" w:rsidR="003844EA" w:rsidRPr="00FC48CF" w:rsidRDefault="003844EA" w:rsidP="003844EA">
      <w:pPr>
        <w:rPr>
          <w:noProof/>
          <w:lang w:val="en-IE"/>
        </w:rPr>
      </w:pPr>
      <w:r w:rsidRPr="00FC48CF">
        <w:rPr>
          <w:noProof/>
          <w:lang w:val="en-IE"/>
        </w:rPr>
        <w:t>To ensure a consistent approach</w:t>
      </w:r>
      <w:r w:rsidR="00FA40BA" w:rsidRPr="00FC48CF">
        <w:rPr>
          <w:noProof/>
          <w:lang w:val="en-IE"/>
        </w:rPr>
        <w:t xml:space="preserve"> and </w:t>
      </w:r>
      <w:r w:rsidR="002F28B9">
        <w:rPr>
          <w:noProof/>
          <w:lang w:val="en-IE"/>
        </w:rPr>
        <w:t>given</w:t>
      </w:r>
      <w:r w:rsidR="00FA40BA" w:rsidRPr="00FC48CF">
        <w:rPr>
          <w:noProof/>
          <w:lang w:val="en-IE"/>
        </w:rPr>
        <w:t xml:space="preserve"> that participation of a notified body will be </w:t>
      </w:r>
      <w:r w:rsidR="001F55B0">
        <w:rPr>
          <w:noProof/>
          <w:lang w:val="en-IE"/>
        </w:rPr>
        <w:t>required</w:t>
      </w:r>
      <w:r w:rsidR="00FA40BA" w:rsidRPr="00FC48CF">
        <w:rPr>
          <w:noProof/>
          <w:lang w:val="en-IE"/>
        </w:rPr>
        <w:t xml:space="preserve"> in order to perform the conformity assessment</w:t>
      </w:r>
      <w:r w:rsidRPr="00FC48CF">
        <w:rPr>
          <w:noProof/>
          <w:lang w:val="en-IE"/>
        </w:rPr>
        <w:t xml:space="preserve">, the Commission </w:t>
      </w:r>
      <w:r w:rsidR="002F28B9">
        <w:rPr>
          <w:noProof/>
          <w:lang w:val="en-IE"/>
        </w:rPr>
        <w:t xml:space="preserve">has </w:t>
      </w:r>
      <w:r w:rsidRPr="00FC48CF">
        <w:rPr>
          <w:noProof/>
          <w:lang w:val="en-IE"/>
        </w:rPr>
        <w:t xml:space="preserve">published </w:t>
      </w:r>
      <w:hyperlink r:id="rId27" w:history="1">
        <w:r w:rsidRPr="00A14D95">
          <w:rPr>
            <w:rStyle w:val="Hyperlink"/>
            <w:noProof/>
            <w:lang w:val="en-IE"/>
          </w:rPr>
          <w:t>guidelines</w:t>
        </w:r>
      </w:hyperlink>
      <w:r w:rsidRPr="00FC48CF">
        <w:rPr>
          <w:noProof/>
          <w:lang w:val="en-IE"/>
        </w:rPr>
        <w:t xml:space="preserve"> for notified bodies</w:t>
      </w:r>
      <w:r w:rsidR="00574B10">
        <w:rPr>
          <w:noProof/>
          <w:lang w:val="en-IE"/>
        </w:rPr>
        <w:t>.</w:t>
      </w:r>
    </w:p>
    <w:p w14:paraId="3C08ED1B" w14:textId="67425C2D" w:rsidR="00642F3A" w:rsidRPr="00FC48CF" w:rsidRDefault="4CD299CF" w:rsidP="00642F3A">
      <w:pPr>
        <w:pStyle w:val="Heading3"/>
        <w:rPr>
          <w:noProof/>
          <w:color w:val="auto"/>
          <w:lang w:val="en-IE"/>
        </w:rPr>
      </w:pPr>
      <w:bookmarkStart w:id="66" w:name="_Ref142055475"/>
      <w:bookmarkStart w:id="67" w:name="_Toc151122119"/>
      <w:bookmarkStart w:id="68" w:name="_Toc152772495"/>
      <w:bookmarkStart w:id="69" w:name="_Toc156461240"/>
      <w:r w:rsidRPr="00FC48CF">
        <w:rPr>
          <w:noProof/>
          <w:color w:val="auto"/>
          <w:lang w:val="en-IE"/>
        </w:rPr>
        <w:lastRenderedPageBreak/>
        <w:t>C</w:t>
      </w:r>
      <w:r w:rsidR="7B5FBF56" w:rsidRPr="00FC48CF">
        <w:rPr>
          <w:noProof/>
          <w:color w:val="auto"/>
          <w:lang w:val="en-IE"/>
        </w:rPr>
        <w:t>ybersecurity</w:t>
      </w:r>
      <w:r w:rsidRPr="00FC48CF">
        <w:rPr>
          <w:noProof/>
          <w:color w:val="auto"/>
          <w:lang w:val="en-IE"/>
        </w:rPr>
        <w:t xml:space="preserve"> –</w:t>
      </w:r>
      <w:r w:rsidR="00675F6B" w:rsidRPr="00FC48CF">
        <w:rPr>
          <w:noProof/>
          <w:color w:val="auto"/>
          <w:lang w:val="en-IE"/>
        </w:rPr>
        <w:t xml:space="preserve"> </w:t>
      </w:r>
      <w:r w:rsidRPr="00FC48CF">
        <w:rPr>
          <w:noProof/>
          <w:color w:val="auto"/>
          <w:lang w:val="en-IE"/>
        </w:rPr>
        <w:t>Article</w:t>
      </w:r>
      <w:r w:rsidR="00DD1697">
        <w:rPr>
          <w:noProof/>
          <w:color w:val="auto"/>
          <w:lang w:val="en-IE"/>
        </w:rPr>
        <w:t> </w:t>
      </w:r>
      <w:r w:rsidRPr="00FC48CF">
        <w:rPr>
          <w:noProof/>
          <w:color w:val="auto"/>
          <w:lang w:val="en-IE"/>
        </w:rPr>
        <w:t>3</w:t>
      </w:r>
      <w:r w:rsidR="00D979E0" w:rsidRPr="002F0513">
        <w:rPr>
          <w:noProof/>
          <w:color w:val="auto"/>
          <w:lang w:val="en-IE"/>
        </w:rPr>
        <w:t>(</w:t>
      </w:r>
      <w:r w:rsidRPr="00FC48CF">
        <w:rPr>
          <w:noProof/>
          <w:color w:val="auto"/>
          <w:lang w:val="en-IE"/>
        </w:rPr>
        <w:t>3</w:t>
      </w:r>
      <w:r w:rsidR="00D979E0" w:rsidRPr="002F0513">
        <w:rPr>
          <w:noProof/>
          <w:color w:val="auto"/>
          <w:lang w:val="en-IE"/>
        </w:rPr>
        <w:t>)</w:t>
      </w:r>
      <w:r w:rsidRPr="7A33909E">
        <w:rPr>
          <w:noProof/>
          <w:lang w:val="en-IE"/>
        </w:rPr>
        <w:t>(</w:t>
      </w:r>
      <w:r w:rsidRPr="00FC48CF">
        <w:rPr>
          <w:noProof/>
          <w:color w:val="auto"/>
          <w:lang w:val="en-IE"/>
        </w:rPr>
        <w:t>d), (e) and (f)</w:t>
      </w:r>
      <w:bookmarkEnd w:id="66"/>
      <w:bookmarkEnd w:id="67"/>
      <w:r w:rsidR="00675F6B" w:rsidRPr="00FC48CF">
        <w:rPr>
          <w:noProof/>
          <w:color w:val="auto"/>
          <w:lang w:val="en-IE"/>
        </w:rPr>
        <w:t xml:space="preserve"> of the RED</w:t>
      </w:r>
      <w:bookmarkEnd w:id="68"/>
      <w:bookmarkEnd w:id="69"/>
    </w:p>
    <w:p w14:paraId="55931022" w14:textId="79CB9CE7" w:rsidR="00A3702D" w:rsidRDefault="00A3702D" w:rsidP="00A3702D">
      <w:pPr>
        <w:rPr>
          <w:noProof/>
          <w:lang w:val="en-IE"/>
        </w:rPr>
      </w:pPr>
      <w:r w:rsidRPr="00986403">
        <w:rPr>
          <w:noProof/>
          <w:lang w:val="en-IE"/>
        </w:rPr>
        <w:t xml:space="preserve">The Commission </w:t>
      </w:r>
      <w:r w:rsidR="00561F3C">
        <w:rPr>
          <w:noProof/>
          <w:lang w:val="en-IE"/>
        </w:rPr>
        <w:t xml:space="preserve">has supported </w:t>
      </w:r>
      <w:r w:rsidRPr="00986403">
        <w:rPr>
          <w:noProof/>
          <w:lang w:val="en-IE"/>
        </w:rPr>
        <w:t xml:space="preserve">manufacturers </w:t>
      </w:r>
      <w:r w:rsidR="00561F3C">
        <w:rPr>
          <w:noProof/>
          <w:lang w:val="en-IE"/>
        </w:rPr>
        <w:t xml:space="preserve">in </w:t>
      </w:r>
      <w:r w:rsidRPr="002F0513">
        <w:rPr>
          <w:noProof/>
          <w:lang w:val="en-IE"/>
        </w:rPr>
        <w:t>comply</w:t>
      </w:r>
      <w:r w:rsidR="00561F3C">
        <w:rPr>
          <w:noProof/>
          <w:lang w:val="en-IE"/>
        </w:rPr>
        <w:t>ing</w:t>
      </w:r>
      <w:r w:rsidRPr="00986403">
        <w:rPr>
          <w:noProof/>
          <w:lang w:val="en-IE"/>
        </w:rPr>
        <w:t xml:space="preserve"> with the new requirements</w:t>
      </w:r>
      <w:r w:rsidR="00FA40BA">
        <w:rPr>
          <w:noProof/>
          <w:lang w:val="en-IE"/>
        </w:rPr>
        <w:t xml:space="preserve"> on cybersecurity</w:t>
      </w:r>
      <w:r w:rsidRPr="00986403">
        <w:rPr>
          <w:noProof/>
          <w:lang w:val="en-IE"/>
        </w:rPr>
        <w:t xml:space="preserve"> by </w:t>
      </w:r>
      <w:r w:rsidRPr="002F0513">
        <w:rPr>
          <w:noProof/>
          <w:lang w:val="en-IE"/>
        </w:rPr>
        <w:t>request</w:t>
      </w:r>
      <w:r w:rsidR="00561F3C">
        <w:rPr>
          <w:noProof/>
          <w:lang w:val="en-IE"/>
        </w:rPr>
        <w:t>ing</w:t>
      </w:r>
      <w:r>
        <w:rPr>
          <w:noProof/>
          <w:lang w:val="en-IE"/>
        </w:rPr>
        <w:t xml:space="preserve"> </w:t>
      </w:r>
      <w:r w:rsidR="00B94B37">
        <w:rPr>
          <w:noProof/>
          <w:lang w:val="en-IE"/>
        </w:rPr>
        <w:t>CEN</w:t>
      </w:r>
      <w:r w:rsidR="00EF0AFA">
        <w:rPr>
          <w:noProof/>
          <w:lang w:val="en-IE"/>
        </w:rPr>
        <w:t>-CENELEC</w:t>
      </w:r>
      <w:r w:rsidRPr="00986403">
        <w:rPr>
          <w:noProof/>
          <w:lang w:val="en-IE"/>
        </w:rPr>
        <w:t xml:space="preserve"> to develop </w:t>
      </w:r>
      <w:r w:rsidR="00D50652">
        <w:rPr>
          <w:noProof/>
          <w:lang w:val="en-IE"/>
        </w:rPr>
        <w:t>three</w:t>
      </w:r>
      <w:r w:rsidR="00B94B37">
        <w:rPr>
          <w:noProof/>
          <w:lang w:val="en-IE"/>
        </w:rPr>
        <w:t xml:space="preserve"> harmonised </w:t>
      </w:r>
      <w:r w:rsidRPr="00986403">
        <w:rPr>
          <w:noProof/>
          <w:lang w:val="en-IE"/>
        </w:rPr>
        <w:t>standards</w:t>
      </w:r>
      <w:r w:rsidR="0077133E" w:rsidRPr="002F0513">
        <w:rPr>
          <w:noProof/>
          <w:lang w:val="en-IE"/>
        </w:rPr>
        <w:t> </w:t>
      </w:r>
      <w:r w:rsidRPr="00371C91">
        <w:rPr>
          <w:rStyle w:val="FootnoteReference"/>
          <w:noProof/>
          <w:lang w:val="en-IE"/>
        </w:rPr>
        <w:footnoteReference w:id="14"/>
      </w:r>
      <w:r w:rsidR="00D50652">
        <w:rPr>
          <w:noProof/>
          <w:lang w:val="en-IE"/>
        </w:rPr>
        <w:t xml:space="preserve">. </w:t>
      </w:r>
      <w:r w:rsidR="00AC2582">
        <w:rPr>
          <w:noProof/>
          <w:lang w:val="en-IE"/>
        </w:rPr>
        <w:t>CEN</w:t>
      </w:r>
      <w:r w:rsidR="00EF0AFA">
        <w:rPr>
          <w:noProof/>
          <w:lang w:val="en-IE"/>
        </w:rPr>
        <w:t>-CENELEC</w:t>
      </w:r>
      <w:r w:rsidR="00AC2582">
        <w:rPr>
          <w:noProof/>
          <w:lang w:val="en-IE"/>
        </w:rPr>
        <w:t xml:space="preserve"> accepted the request in September 2022. </w:t>
      </w:r>
    </w:p>
    <w:p w14:paraId="052F9117" w14:textId="34E54A0E" w:rsidR="00F71BE8" w:rsidRPr="00FC48CF" w:rsidRDefault="00F71BE8" w:rsidP="00F71BE8">
      <w:pPr>
        <w:pStyle w:val="Heading2"/>
        <w:rPr>
          <w:noProof/>
          <w:color w:val="auto"/>
          <w:lang w:val="en-IE"/>
        </w:rPr>
      </w:pPr>
      <w:bookmarkStart w:id="70" w:name="_Ref142054335"/>
      <w:bookmarkStart w:id="71" w:name="_Toc152772496"/>
      <w:bookmarkStart w:id="72" w:name="_Toc151122120"/>
      <w:bookmarkStart w:id="73" w:name="_Toc156461241"/>
      <w:r w:rsidRPr="00FC48CF">
        <w:rPr>
          <w:noProof/>
          <w:color w:val="auto"/>
          <w:lang w:val="en-IE"/>
        </w:rPr>
        <w:t>Harmonised standards in support of Article</w:t>
      </w:r>
      <w:r w:rsidR="00DD1697">
        <w:rPr>
          <w:noProof/>
          <w:color w:val="auto"/>
          <w:lang w:val="en-IE"/>
        </w:rPr>
        <w:t> </w:t>
      </w:r>
      <w:r w:rsidRPr="00FC48CF">
        <w:rPr>
          <w:noProof/>
          <w:color w:val="auto"/>
          <w:lang w:val="en-IE"/>
        </w:rPr>
        <w:t>3</w:t>
      </w:r>
      <w:r w:rsidR="005423CB">
        <w:rPr>
          <w:noProof/>
          <w:lang w:val="en-IE"/>
        </w:rPr>
        <w:t>(</w:t>
      </w:r>
      <w:r w:rsidRPr="00FC48CF">
        <w:rPr>
          <w:noProof/>
          <w:color w:val="auto"/>
          <w:lang w:val="en-IE"/>
        </w:rPr>
        <w:t>1</w:t>
      </w:r>
      <w:r w:rsidR="005423CB" w:rsidRPr="00FC48CF">
        <w:rPr>
          <w:noProof/>
          <w:lang w:val="en-IE"/>
        </w:rPr>
        <w:t>)</w:t>
      </w:r>
      <w:r w:rsidRPr="00FC48CF">
        <w:rPr>
          <w:noProof/>
          <w:color w:val="auto"/>
          <w:lang w:val="en-IE"/>
        </w:rPr>
        <w:t xml:space="preserve"> of the RED</w:t>
      </w:r>
      <w:bookmarkEnd w:id="70"/>
      <w:bookmarkEnd w:id="71"/>
      <w:bookmarkEnd w:id="72"/>
      <w:bookmarkEnd w:id="73"/>
    </w:p>
    <w:p w14:paraId="03A009EA" w14:textId="1DCA57C3" w:rsidR="00F71BE8" w:rsidRPr="00986403" w:rsidRDefault="00F71BE8" w:rsidP="00A3702D">
      <w:pPr>
        <w:rPr>
          <w:noProof/>
          <w:lang w:val="en-IE"/>
        </w:rPr>
      </w:pPr>
      <w:r>
        <w:rPr>
          <w:noProof/>
          <w:lang w:val="en-IE"/>
        </w:rPr>
        <w:t xml:space="preserve">There </w:t>
      </w:r>
      <w:r w:rsidR="001360B6">
        <w:rPr>
          <w:noProof/>
          <w:lang w:val="en-IE"/>
        </w:rPr>
        <w:t xml:space="preserve">only a few </w:t>
      </w:r>
      <w:r>
        <w:rPr>
          <w:noProof/>
          <w:lang w:val="en-IE"/>
        </w:rPr>
        <w:t xml:space="preserve">harmonised </w:t>
      </w:r>
      <w:r w:rsidRPr="7A33909E">
        <w:rPr>
          <w:noProof/>
          <w:lang w:val="en-IE"/>
        </w:rPr>
        <w:t>standards in support of Article</w:t>
      </w:r>
      <w:r w:rsidR="00DD1697">
        <w:rPr>
          <w:noProof/>
          <w:lang w:val="en-IE"/>
        </w:rPr>
        <w:t> </w:t>
      </w:r>
      <w:r w:rsidRPr="7A33909E">
        <w:rPr>
          <w:noProof/>
          <w:lang w:val="en-IE"/>
        </w:rPr>
        <w:t>3</w:t>
      </w:r>
      <w:r w:rsidR="0077133E" w:rsidRPr="002F0513">
        <w:rPr>
          <w:noProof/>
          <w:lang w:val="en-IE"/>
        </w:rPr>
        <w:t>(</w:t>
      </w:r>
      <w:r w:rsidRPr="7A33909E">
        <w:rPr>
          <w:noProof/>
          <w:lang w:val="en-IE"/>
        </w:rPr>
        <w:t>1</w:t>
      </w:r>
      <w:r w:rsidR="005423CB">
        <w:rPr>
          <w:noProof/>
          <w:lang w:val="en-IE"/>
        </w:rPr>
        <w:t>)</w:t>
      </w:r>
      <w:r w:rsidR="00915E2E">
        <w:rPr>
          <w:rStyle w:val="FootnoteReference"/>
          <w:noProof/>
          <w:lang w:val="en-IE"/>
        </w:rPr>
        <w:footnoteReference w:id="15"/>
      </w:r>
      <w:r w:rsidRPr="7A33909E">
        <w:rPr>
          <w:noProof/>
          <w:lang w:val="en-IE"/>
        </w:rPr>
        <w:t xml:space="preserve"> of the RED</w:t>
      </w:r>
      <w:r>
        <w:rPr>
          <w:noProof/>
          <w:lang w:val="en-IE"/>
        </w:rPr>
        <w:t xml:space="preserve">. </w:t>
      </w:r>
      <w:r w:rsidR="001360B6">
        <w:rPr>
          <w:noProof/>
          <w:lang w:val="en-IE"/>
        </w:rPr>
        <w:t xml:space="preserve">This is </w:t>
      </w:r>
      <w:r w:rsidR="005269CF">
        <w:rPr>
          <w:noProof/>
          <w:lang w:val="en-IE"/>
        </w:rPr>
        <w:t>because</w:t>
      </w:r>
      <w:r w:rsidR="00E25561">
        <w:rPr>
          <w:noProof/>
          <w:lang w:val="en-IE"/>
        </w:rPr>
        <w:t xml:space="preserve"> </w:t>
      </w:r>
      <w:r w:rsidR="001E44B4">
        <w:rPr>
          <w:noProof/>
          <w:lang w:val="en-IE"/>
        </w:rPr>
        <w:t>they</w:t>
      </w:r>
      <w:r w:rsidRPr="7A33909E">
        <w:rPr>
          <w:noProof/>
          <w:lang w:val="en-IE"/>
        </w:rPr>
        <w:t xml:space="preserve"> have </w:t>
      </w:r>
      <w:r w:rsidR="001360B6">
        <w:rPr>
          <w:noProof/>
          <w:lang w:val="en-IE"/>
        </w:rPr>
        <w:t xml:space="preserve">either </w:t>
      </w:r>
      <w:r w:rsidRPr="7A33909E">
        <w:rPr>
          <w:noProof/>
          <w:lang w:val="en-IE"/>
        </w:rPr>
        <w:t xml:space="preserve">not been </w:t>
      </w:r>
      <w:r w:rsidR="00E7664C">
        <w:rPr>
          <w:noProof/>
          <w:lang w:val="en-IE"/>
        </w:rPr>
        <w:t>pro</w:t>
      </w:r>
      <w:r w:rsidR="001360B6">
        <w:rPr>
          <w:noProof/>
          <w:lang w:val="en-IE"/>
        </w:rPr>
        <w:t xml:space="preserve">posed for citation </w:t>
      </w:r>
      <w:r w:rsidRPr="7A33909E">
        <w:rPr>
          <w:noProof/>
          <w:lang w:val="en-IE"/>
        </w:rPr>
        <w:t xml:space="preserve">by the European </w:t>
      </w:r>
      <w:r w:rsidR="00E7664C">
        <w:rPr>
          <w:noProof/>
          <w:lang w:val="en-IE"/>
        </w:rPr>
        <w:t>s</w:t>
      </w:r>
      <w:r w:rsidRPr="002F0513">
        <w:rPr>
          <w:noProof/>
          <w:lang w:val="en-IE"/>
        </w:rPr>
        <w:t xml:space="preserve">tandardisation </w:t>
      </w:r>
      <w:r w:rsidR="00E7664C">
        <w:rPr>
          <w:noProof/>
          <w:lang w:val="en-IE"/>
        </w:rPr>
        <w:t>o</w:t>
      </w:r>
      <w:r w:rsidRPr="002F0513">
        <w:rPr>
          <w:noProof/>
          <w:lang w:val="en-IE"/>
        </w:rPr>
        <w:t>rganisations</w:t>
      </w:r>
      <w:r w:rsidRPr="7A33909E">
        <w:rPr>
          <w:noProof/>
          <w:lang w:val="en-IE"/>
        </w:rPr>
        <w:t xml:space="preserve"> or because they d</w:t>
      </w:r>
      <w:r w:rsidR="001360B6">
        <w:rPr>
          <w:noProof/>
          <w:lang w:val="en-IE"/>
        </w:rPr>
        <w:t>id</w:t>
      </w:r>
      <w:r w:rsidRPr="7A33909E">
        <w:rPr>
          <w:noProof/>
          <w:lang w:val="en-IE"/>
        </w:rPr>
        <w:t xml:space="preserve"> not meet the </w:t>
      </w:r>
      <w:r w:rsidR="001360B6">
        <w:rPr>
          <w:noProof/>
          <w:lang w:val="en-IE"/>
        </w:rPr>
        <w:t xml:space="preserve">RED </w:t>
      </w:r>
      <w:r w:rsidRPr="7A33909E">
        <w:rPr>
          <w:noProof/>
          <w:lang w:val="en-IE"/>
        </w:rPr>
        <w:t>legal requirements</w:t>
      </w:r>
      <w:r w:rsidR="00043328">
        <w:rPr>
          <w:noProof/>
          <w:lang w:val="en-IE"/>
        </w:rPr>
        <w:t xml:space="preserve"> </w:t>
      </w:r>
      <w:r w:rsidR="001360B6">
        <w:rPr>
          <w:noProof/>
          <w:lang w:val="en-IE"/>
        </w:rPr>
        <w:t>to be cited</w:t>
      </w:r>
      <w:r w:rsidRPr="7A33909E">
        <w:rPr>
          <w:noProof/>
          <w:lang w:val="en-IE"/>
        </w:rPr>
        <w:t xml:space="preserve">. In any case, the involvement of a notified body is not </w:t>
      </w:r>
      <w:r w:rsidR="00E7664C">
        <w:rPr>
          <w:noProof/>
          <w:lang w:val="en-IE"/>
        </w:rPr>
        <w:t>required in order</w:t>
      </w:r>
      <w:r w:rsidRPr="7A33909E">
        <w:rPr>
          <w:noProof/>
          <w:lang w:val="en-IE"/>
        </w:rPr>
        <w:t xml:space="preserve"> to demonstrate conformity with these essential requirements.</w:t>
      </w:r>
    </w:p>
    <w:p w14:paraId="4BE24313" w14:textId="6D7064EB" w:rsidR="00BA5C47" w:rsidRPr="00FC48CF" w:rsidRDefault="00002616" w:rsidP="00FC0E22">
      <w:pPr>
        <w:pStyle w:val="Heading1"/>
        <w:rPr>
          <w:noProof/>
          <w:color w:val="auto"/>
          <w:lang w:val="en-IE"/>
        </w:rPr>
      </w:pPr>
      <w:bookmarkStart w:id="74" w:name="_Toc152772497"/>
      <w:bookmarkStart w:id="75" w:name="_Toc151122121"/>
      <w:bookmarkStart w:id="76" w:name="_Toc156461242"/>
      <w:r w:rsidRPr="00FC48CF">
        <w:rPr>
          <w:noProof/>
          <w:color w:val="auto"/>
          <w:lang w:val="en-IE"/>
        </w:rPr>
        <w:t>Member States’</w:t>
      </w:r>
      <w:r w:rsidR="00215E0E" w:rsidRPr="00FC48CF">
        <w:rPr>
          <w:noProof/>
          <w:color w:val="auto"/>
          <w:lang w:val="en-IE"/>
        </w:rPr>
        <w:t xml:space="preserve"> activities</w:t>
      </w:r>
      <w:bookmarkEnd w:id="74"/>
      <w:bookmarkEnd w:id="75"/>
      <w:bookmarkEnd w:id="76"/>
    </w:p>
    <w:p w14:paraId="751B8877" w14:textId="5BDED859" w:rsidR="00B66F09" w:rsidRPr="00FC48CF" w:rsidRDefault="00B66F09" w:rsidP="00A81DA1">
      <w:pPr>
        <w:pStyle w:val="Heading2"/>
        <w:rPr>
          <w:noProof/>
          <w:color w:val="auto"/>
          <w:lang w:val="en-IE"/>
        </w:rPr>
      </w:pPr>
      <w:bookmarkStart w:id="77" w:name="_Toc151122122"/>
      <w:bookmarkStart w:id="78" w:name="_Toc152772498"/>
      <w:bookmarkStart w:id="79" w:name="_Toc156461243"/>
      <w:r w:rsidRPr="00FC48CF">
        <w:rPr>
          <w:noProof/>
          <w:color w:val="auto"/>
          <w:lang w:val="en-IE"/>
        </w:rPr>
        <w:t>Member States’ report</w:t>
      </w:r>
      <w:r w:rsidR="00FB7B15" w:rsidRPr="00FC48CF">
        <w:rPr>
          <w:noProof/>
          <w:color w:val="auto"/>
          <w:lang w:val="en-IE"/>
        </w:rPr>
        <w:t>s</w:t>
      </w:r>
      <w:r w:rsidRPr="00FC48CF">
        <w:rPr>
          <w:noProof/>
          <w:color w:val="auto"/>
          <w:lang w:val="en-IE"/>
        </w:rPr>
        <w:t xml:space="preserve"> under Article</w:t>
      </w:r>
      <w:r w:rsidR="00DD1697">
        <w:rPr>
          <w:noProof/>
          <w:color w:val="auto"/>
          <w:lang w:val="en-IE"/>
        </w:rPr>
        <w:t> </w:t>
      </w:r>
      <w:r w:rsidRPr="00FC48CF">
        <w:rPr>
          <w:noProof/>
          <w:color w:val="auto"/>
          <w:lang w:val="en-IE"/>
        </w:rPr>
        <w:t>47</w:t>
      </w:r>
      <w:r w:rsidR="0077133E" w:rsidRPr="002F0513">
        <w:rPr>
          <w:noProof/>
          <w:color w:val="auto"/>
          <w:lang w:val="en-IE"/>
        </w:rPr>
        <w:t>(</w:t>
      </w:r>
      <w:r w:rsidRPr="00FC48CF">
        <w:rPr>
          <w:noProof/>
          <w:color w:val="auto"/>
          <w:lang w:val="en-IE"/>
        </w:rPr>
        <w:t>1</w:t>
      </w:r>
      <w:bookmarkEnd w:id="77"/>
      <w:r w:rsidR="005423CB" w:rsidRPr="00FC48CF">
        <w:rPr>
          <w:noProof/>
          <w:lang w:val="en-IE"/>
        </w:rPr>
        <w:t>)</w:t>
      </w:r>
      <w:r w:rsidR="00675F6B" w:rsidRPr="00FC48CF">
        <w:rPr>
          <w:noProof/>
          <w:color w:val="auto"/>
          <w:lang w:val="en-IE"/>
        </w:rPr>
        <w:t xml:space="preserve"> of the RED</w:t>
      </w:r>
      <w:bookmarkEnd w:id="78"/>
      <w:bookmarkEnd w:id="79"/>
    </w:p>
    <w:p w14:paraId="1BA7AE21" w14:textId="4C8B7956" w:rsidR="0020025A" w:rsidRDefault="00191C65" w:rsidP="0020025A">
      <w:pPr>
        <w:rPr>
          <w:noProof/>
          <w:lang w:val="en-IE"/>
        </w:rPr>
      </w:pPr>
      <w:r>
        <w:rPr>
          <w:noProof/>
          <w:lang w:val="en-IE"/>
        </w:rPr>
        <w:t xml:space="preserve">The </w:t>
      </w:r>
      <w:r w:rsidR="55F6D0A1" w:rsidRPr="7A33909E">
        <w:rPr>
          <w:noProof/>
          <w:lang w:val="en-IE"/>
        </w:rPr>
        <w:t xml:space="preserve">Member States submitted reports </w:t>
      </w:r>
      <w:r w:rsidR="001E44B4">
        <w:rPr>
          <w:noProof/>
          <w:lang w:val="en-IE"/>
        </w:rPr>
        <w:t xml:space="preserve">on the implementation of the RED </w:t>
      </w:r>
      <w:r w:rsidR="24845252" w:rsidRPr="7A33909E">
        <w:rPr>
          <w:noProof/>
          <w:lang w:val="en-IE"/>
        </w:rPr>
        <w:t>in 2021 and 2023</w:t>
      </w:r>
      <w:r w:rsidR="001E44B4">
        <w:rPr>
          <w:noProof/>
          <w:lang w:val="en-IE"/>
        </w:rPr>
        <w:t>, highlighting the following points</w:t>
      </w:r>
      <w:r>
        <w:rPr>
          <w:noProof/>
          <w:lang w:val="en-IE"/>
        </w:rPr>
        <w:t>.</w:t>
      </w:r>
    </w:p>
    <w:p w14:paraId="337EA79B" w14:textId="16175C9F" w:rsidR="007A75DE" w:rsidRDefault="001360B6" w:rsidP="007A75DE">
      <w:pPr>
        <w:pStyle w:val="ListParagraph"/>
        <w:numPr>
          <w:ilvl w:val="0"/>
          <w:numId w:val="41"/>
        </w:numPr>
        <w:rPr>
          <w:noProof/>
          <w:lang w:val="en-IE"/>
        </w:rPr>
      </w:pPr>
      <w:r>
        <w:rPr>
          <w:noProof/>
          <w:lang w:val="en-IE"/>
        </w:rPr>
        <w:t xml:space="preserve">Most Member States informed </w:t>
      </w:r>
      <w:r w:rsidRPr="001360B6">
        <w:rPr>
          <w:noProof/>
          <w:lang w:val="en-IE"/>
        </w:rPr>
        <w:t xml:space="preserve">stakeholders and other authorities </w:t>
      </w:r>
      <w:r>
        <w:rPr>
          <w:noProof/>
          <w:lang w:val="en-IE"/>
        </w:rPr>
        <w:t>on</w:t>
      </w:r>
      <w:r w:rsidR="007A75DE" w:rsidRPr="7A33909E">
        <w:rPr>
          <w:noProof/>
          <w:lang w:val="en-IE"/>
        </w:rPr>
        <w:t xml:space="preserve"> RED’s latest developments.</w:t>
      </w:r>
    </w:p>
    <w:p w14:paraId="7CBC2D7B" w14:textId="4E6D48F8" w:rsidR="007A75DE" w:rsidRPr="007A75DE" w:rsidRDefault="007A75DE" w:rsidP="007A75DE">
      <w:pPr>
        <w:pStyle w:val="ListParagraph"/>
        <w:numPr>
          <w:ilvl w:val="0"/>
          <w:numId w:val="41"/>
        </w:numPr>
        <w:rPr>
          <w:noProof/>
          <w:lang w:val="en-IE"/>
        </w:rPr>
      </w:pPr>
      <w:r w:rsidRPr="007A75DE">
        <w:rPr>
          <w:noProof/>
          <w:lang w:val="en-IE"/>
        </w:rPr>
        <w:t xml:space="preserve">No issue </w:t>
      </w:r>
      <w:r w:rsidR="001360B6">
        <w:rPr>
          <w:noProof/>
          <w:lang w:val="en-IE"/>
        </w:rPr>
        <w:t xml:space="preserve">was reported </w:t>
      </w:r>
      <w:r w:rsidRPr="007A75DE">
        <w:rPr>
          <w:noProof/>
          <w:lang w:val="en-IE"/>
        </w:rPr>
        <w:t xml:space="preserve">regarding </w:t>
      </w:r>
      <w:r w:rsidR="001360B6">
        <w:rPr>
          <w:noProof/>
          <w:lang w:val="en-IE"/>
        </w:rPr>
        <w:t xml:space="preserve">cross-sectors </w:t>
      </w:r>
      <w:r w:rsidRPr="007A75DE">
        <w:rPr>
          <w:noProof/>
          <w:lang w:val="en-IE"/>
        </w:rPr>
        <w:t>cooperation of authorities.</w:t>
      </w:r>
    </w:p>
    <w:p w14:paraId="0CE12F5E" w14:textId="462BF527" w:rsidR="007A75DE" w:rsidRDefault="00B85CDD" w:rsidP="007A75DE">
      <w:pPr>
        <w:pStyle w:val="ListParagraph"/>
        <w:numPr>
          <w:ilvl w:val="0"/>
          <w:numId w:val="41"/>
        </w:numPr>
        <w:rPr>
          <w:noProof/>
          <w:lang w:val="en-IE"/>
        </w:rPr>
      </w:pPr>
      <w:r>
        <w:rPr>
          <w:noProof/>
          <w:lang w:val="en-IE"/>
        </w:rPr>
        <w:t>Some</w:t>
      </w:r>
      <w:r w:rsidR="005C6B07" w:rsidRPr="0020025A">
        <w:rPr>
          <w:noProof/>
          <w:lang w:val="en-IE"/>
        </w:rPr>
        <w:t xml:space="preserve"> authorities participate in</w:t>
      </w:r>
      <w:r w:rsidR="00722D15">
        <w:rPr>
          <w:noProof/>
          <w:lang w:val="en-IE"/>
        </w:rPr>
        <w:t xml:space="preserve"> national and European standardisation bodies</w:t>
      </w:r>
      <w:r w:rsidR="005C6B07" w:rsidRPr="00B66F09">
        <w:rPr>
          <w:noProof/>
          <w:lang w:val="en-IE"/>
        </w:rPr>
        <w:t xml:space="preserve">. Other forums for cooperation on standards include </w:t>
      </w:r>
      <w:r w:rsidR="005C014C">
        <w:rPr>
          <w:noProof/>
          <w:lang w:val="en-IE"/>
        </w:rPr>
        <w:t>the Telecommunication Conformity Assessment and Market Surveillance Committee (</w:t>
      </w:r>
      <w:r w:rsidR="005C6B07" w:rsidRPr="00B66F09">
        <w:rPr>
          <w:noProof/>
          <w:lang w:val="en-IE"/>
        </w:rPr>
        <w:t>TCAM</w:t>
      </w:r>
      <w:r w:rsidR="005C014C">
        <w:rPr>
          <w:noProof/>
          <w:lang w:val="en-IE"/>
        </w:rPr>
        <w:t>)</w:t>
      </w:r>
      <w:r w:rsidR="005C6B07" w:rsidRPr="00B66F09">
        <w:rPr>
          <w:noProof/>
          <w:lang w:val="en-IE"/>
        </w:rPr>
        <w:t xml:space="preserve">, </w:t>
      </w:r>
      <w:r w:rsidR="005269CF">
        <w:rPr>
          <w:noProof/>
          <w:lang w:val="en-IE"/>
        </w:rPr>
        <w:t>the RED administrative co-operation group (</w:t>
      </w:r>
      <w:r w:rsidR="005C6B07">
        <w:rPr>
          <w:noProof/>
          <w:lang w:val="en-IE"/>
        </w:rPr>
        <w:t>ADCO</w:t>
      </w:r>
      <w:r w:rsidR="005C6B07" w:rsidRPr="00B66F09">
        <w:rPr>
          <w:noProof/>
          <w:lang w:val="en-IE"/>
        </w:rPr>
        <w:t xml:space="preserve"> RED</w:t>
      </w:r>
      <w:r w:rsidR="005269CF">
        <w:rPr>
          <w:noProof/>
          <w:lang w:val="en-IE"/>
        </w:rPr>
        <w:t>)</w:t>
      </w:r>
      <w:r w:rsidR="005C6B07" w:rsidRPr="00B66F09">
        <w:rPr>
          <w:noProof/>
          <w:lang w:val="en-IE"/>
        </w:rPr>
        <w:t xml:space="preserve"> and the Committee o</w:t>
      </w:r>
      <w:r w:rsidR="005C6B07">
        <w:rPr>
          <w:noProof/>
          <w:lang w:val="en-IE"/>
        </w:rPr>
        <w:t>n</w:t>
      </w:r>
      <w:r w:rsidR="005C6B07" w:rsidRPr="00B66F09">
        <w:rPr>
          <w:noProof/>
          <w:lang w:val="en-IE"/>
        </w:rPr>
        <w:t xml:space="preserve"> Standards</w:t>
      </w:r>
      <w:r w:rsidR="005C6B07">
        <w:rPr>
          <w:noProof/>
          <w:lang w:val="en-IE"/>
        </w:rPr>
        <w:t>.</w:t>
      </w:r>
    </w:p>
    <w:p w14:paraId="2CF8D9B7" w14:textId="3B4596F8" w:rsidR="005C6B07" w:rsidRDefault="005C6B07" w:rsidP="007A75DE">
      <w:pPr>
        <w:pStyle w:val="ListParagraph"/>
        <w:numPr>
          <w:ilvl w:val="0"/>
          <w:numId w:val="41"/>
        </w:numPr>
        <w:rPr>
          <w:noProof/>
          <w:lang w:val="en-IE"/>
        </w:rPr>
      </w:pPr>
      <w:r w:rsidRPr="7FF07507">
        <w:rPr>
          <w:noProof/>
          <w:lang w:val="en-IE"/>
        </w:rPr>
        <w:t xml:space="preserve">To assess conformity assessment bodies that are seeking to </w:t>
      </w:r>
      <w:r w:rsidR="00125610">
        <w:rPr>
          <w:noProof/>
          <w:lang w:val="en-IE"/>
        </w:rPr>
        <w:t>become notified bodies</w:t>
      </w:r>
      <w:r w:rsidRPr="7FF07507">
        <w:rPr>
          <w:noProof/>
          <w:lang w:val="en-IE"/>
        </w:rPr>
        <w:t>, most Member States rely on national accreditation bodies (NABs</w:t>
      </w:r>
      <w:r w:rsidRPr="002F0513">
        <w:rPr>
          <w:noProof/>
          <w:lang w:val="en-IE"/>
        </w:rPr>
        <w:t>)</w:t>
      </w:r>
      <w:r w:rsidR="00D979E0" w:rsidRPr="002F0513">
        <w:rPr>
          <w:noProof/>
          <w:lang w:val="en-IE"/>
        </w:rPr>
        <w:t> </w:t>
      </w:r>
      <w:r w:rsidRPr="7FF07507">
        <w:rPr>
          <w:rStyle w:val="FootnoteReference"/>
          <w:noProof/>
          <w:lang w:val="en-IE"/>
        </w:rPr>
        <w:footnoteReference w:id="16"/>
      </w:r>
      <w:r w:rsidRPr="7FF07507">
        <w:rPr>
          <w:noProof/>
          <w:lang w:val="en-IE"/>
        </w:rPr>
        <w:t xml:space="preserve">. </w:t>
      </w:r>
      <w:r w:rsidR="00C5660A">
        <w:rPr>
          <w:noProof/>
          <w:lang w:val="en-IE"/>
        </w:rPr>
        <w:t>Some</w:t>
      </w:r>
      <w:r>
        <w:rPr>
          <w:noProof/>
          <w:lang w:val="en-IE"/>
        </w:rPr>
        <w:t xml:space="preserve"> Member </w:t>
      </w:r>
      <w:r w:rsidR="005C014C">
        <w:rPr>
          <w:noProof/>
          <w:lang w:val="en-IE"/>
        </w:rPr>
        <w:t>S</w:t>
      </w:r>
      <w:r>
        <w:rPr>
          <w:noProof/>
          <w:lang w:val="en-IE"/>
        </w:rPr>
        <w:t xml:space="preserve">tates </w:t>
      </w:r>
      <w:r w:rsidR="00C5660A">
        <w:rPr>
          <w:noProof/>
          <w:lang w:val="en-IE"/>
        </w:rPr>
        <w:t xml:space="preserve">have </w:t>
      </w:r>
      <w:r>
        <w:rPr>
          <w:noProof/>
          <w:lang w:val="en-IE"/>
        </w:rPr>
        <w:t xml:space="preserve">suggested establishing </w:t>
      </w:r>
      <w:r w:rsidRPr="196E7876">
        <w:rPr>
          <w:noProof/>
          <w:lang w:val="en-IE"/>
        </w:rPr>
        <w:t xml:space="preserve">a coordination mechanism </w:t>
      </w:r>
      <w:r>
        <w:rPr>
          <w:noProof/>
          <w:lang w:val="en-IE"/>
        </w:rPr>
        <w:t xml:space="preserve">even at </w:t>
      </w:r>
      <w:r w:rsidR="00C5660A">
        <w:rPr>
          <w:noProof/>
          <w:lang w:val="en-IE"/>
        </w:rPr>
        <w:t xml:space="preserve">the </w:t>
      </w:r>
      <w:r w:rsidR="00E4415F">
        <w:rPr>
          <w:noProof/>
          <w:lang w:val="en-IE"/>
        </w:rPr>
        <w:t>European Co-operation for Accreditation (</w:t>
      </w:r>
      <w:r>
        <w:rPr>
          <w:noProof/>
          <w:lang w:val="en-IE"/>
        </w:rPr>
        <w:t>EA</w:t>
      </w:r>
      <w:r w:rsidR="00E4415F">
        <w:rPr>
          <w:noProof/>
          <w:lang w:val="en-IE"/>
        </w:rPr>
        <w:t>)</w:t>
      </w:r>
      <w:r w:rsidR="00E4415F">
        <w:rPr>
          <w:rStyle w:val="CommentReference"/>
          <w:noProof/>
        </w:rPr>
        <w:t xml:space="preserve"> </w:t>
      </w:r>
      <w:r>
        <w:rPr>
          <w:noProof/>
          <w:lang w:val="en-IE"/>
        </w:rPr>
        <w:t>and h</w:t>
      </w:r>
      <w:r w:rsidRPr="196E7876">
        <w:rPr>
          <w:noProof/>
          <w:lang w:val="en-IE"/>
        </w:rPr>
        <w:t>armonis</w:t>
      </w:r>
      <w:r>
        <w:rPr>
          <w:noProof/>
          <w:lang w:val="en-IE"/>
        </w:rPr>
        <w:t>ing</w:t>
      </w:r>
      <w:r w:rsidRPr="196E7876">
        <w:rPr>
          <w:noProof/>
          <w:lang w:val="en-IE"/>
        </w:rPr>
        <w:t xml:space="preserve"> the </w:t>
      </w:r>
      <w:r w:rsidR="00591DAF">
        <w:rPr>
          <w:noProof/>
          <w:lang w:val="en-IE"/>
        </w:rPr>
        <w:t>assessment</w:t>
      </w:r>
      <w:r w:rsidRPr="196E7876">
        <w:rPr>
          <w:noProof/>
          <w:lang w:val="en-IE"/>
        </w:rPr>
        <w:t xml:space="preserve"> of notified bodies across </w:t>
      </w:r>
      <w:r w:rsidR="00C5660A">
        <w:rPr>
          <w:noProof/>
          <w:lang w:val="en-IE"/>
        </w:rPr>
        <w:t>the EU</w:t>
      </w:r>
      <w:r w:rsidR="00C5660A" w:rsidRPr="002F0513">
        <w:rPr>
          <w:noProof/>
          <w:lang w:val="en-IE"/>
        </w:rPr>
        <w:t xml:space="preserve"> </w:t>
      </w:r>
      <w:r w:rsidRPr="196E7876">
        <w:rPr>
          <w:noProof/>
          <w:lang w:val="en-IE"/>
        </w:rPr>
        <w:t>by only allowing assessment via accreditation.</w:t>
      </w:r>
    </w:p>
    <w:p w14:paraId="2051CEC1" w14:textId="17353FE2" w:rsidR="00801B7F" w:rsidRDefault="00801B7F" w:rsidP="007A75DE">
      <w:pPr>
        <w:pStyle w:val="ListParagraph"/>
        <w:numPr>
          <w:ilvl w:val="0"/>
          <w:numId w:val="41"/>
        </w:numPr>
        <w:rPr>
          <w:noProof/>
          <w:lang w:val="en-IE"/>
        </w:rPr>
      </w:pPr>
      <w:r>
        <w:rPr>
          <w:noProof/>
          <w:lang w:val="en-IE"/>
        </w:rPr>
        <w:t>The emerging risks</w:t>
      </w:r>
      <w:r w:rsidR="008B5502">
        <w:rPr>
          <w:noProof/>
          <w:lang w:val="en-IE"/>
        </w:rPr>
        <w:t xml:space="preserve"> and challenges</w:t>
      </w:r>
      <w:r>
        <w:rPr>
          <w:noProof/>
          <w:lang w:val="en-IE"/>
        </w:rPr>
        <w:t xml:space="preserve"> include artificial intelligence, reconfigurable radio systems, refurbished products, </w:t>
      </w:r>
      <w:r w:rsidR="008B5502">
        <w:rPr>
          <w:noProof/>
          <w:lang w:val="en-IE"/>
        </w:rPr>
        <w:t xml:space="preserve">drones, digital labelling, imports from </w:t>
      </w:r>
      <w:r w:rsidR="009A1204">
        <w:rPr>
          <w:noProof/>
          <w:lang w:val="en-IE"/>
        </w:rPr>
        <w:t>non-EU countries</w:t>
      </w:r>
      <w:r w:rsidR="008B5502">
        <w:rPr>
          <w:noProof/>
          <w:lang w:val="en-IE"/>
        </w:rPr>
        <w:t xml:space="preserve">, </w:t>
      </w:r>
      <w:r w:rsidR="00BC49D3">
        <w:rPr>
          <w:noProof/>
          <w:lang w:val="en-IE"/>
        </w:rPr>
        <w:t>regular revision of legislation and standards, capacity to perform tests, e-commerce and installation of products.</w:t>
      </w:r>
    </w:p>
    <w:p w14:paraId="2E169CF6" w14:textId="0BFB51E9" w:rsidR="00A81DA1" w:rsidRPr="00FC48CF" w:rsidRDefault="00104F4C" w:rsidP="00A81DA1">
      <w:pPr>
        <w:pStyle w:val="Heading2"/>
        <w:rPr>
          <w:noProof/>
          <w:color w:val="auto"/>
          <w:lang w:val="en-IE"/>
        </w:rPr>
      </w:pPr>
      <w:bookmarkStart w:id="80" w:name="_Toc152772499"/>
      <w:bookmarkStart w:id="81" w:name="_Toc151122123"/>
      <w:bookmarkStart w:id="82" w:name="_Toc156461244"/>
      <w:r w:rsidRPr="00FC48CF">
        <w:rPr>
          <w:noProof/>
          <w:color w:val="auto"/>
          <w:lang w:val="en-IE"/>
        </w:rPr>
        <w:lastRenderedPageBreak/>
        <w:t xml:space="preserve">Update of activities of </w:t>
      </w:r>
      <w:r w:rsidR="00A81DA1" w:rsidRPr="00FC48CF">
        <w:rPr>
          <w:noProof/>
          <w:color w:val="auto"/>
          <w:lang w:val="en-IE"/>
        </w:rPr>
        <w:t>ADCO</w:t>
      </w:r>
      <w:r w:rsidR="00485D0C" w:rsidRPr="00FC48CF">
        <w:rPr>
          <w:noProof/>
          <w:color w:val="auto"/>
          <w:lang w:val="en-IE"/>
        </w:rPr>
        <w:t xml:space="preserve"> RED</w:t>
      </w:r>
      <w:bookmarkEnd w:id="80"/>
      <w:bookmarkEnd w:id="81"/>
      <w:bookmarkEnd w:id="82"/>
    </w:p>
    <w:p w14:paraId="131E8C1D" w14:textId="77BD6F33" w:rsidR="00044A75" w:rsidRPr="00FC48CF" w:rsidRDefault="00044A75" w:rsidP="00E4606B">
      <w:pPr>
        <w:rPr>
          <w:noProof/>
          <w:lang w:val="en-IE"/>
        </w:rPr>
      </w:pPr>
      <w:r w:rsidRPr="00FC48CF">
        <w:rPr>
          <w:noProof/>
          <w:lang w:val="en-IE"/>
        </w:rPr>
        <w:t xml:space="preserve">Since 2011, ADCO RED </w:t>
      </w:r>
      <w:r w:rsidR="00C5660A">
        <w:rPr>
          <w:noProof/>
          <w:lang w:val="en-IE"/>
        </w:rPr>
        <w:t>has been</w:t>
      </w:r>
      <w:r w:rsidRPr="00FC48CF">
        <w:rPr>
          <w:noProof/>
          <w:lang w:val="en-IE"/>
        </w:rPr>
        <w:t xml:space="preserve"> publishing </w:t>
      </w:r>
      <w:r w:rsidR="00C5660A">
        <w:rPr>
          <w:noProof/>
          <w:lang w:val="en-IE"/>
        </w:rPr>
        <w:t xml:space="preserve">annual </w:t>
      </w:r>
      <w:r w:rsidRPr="00FC48CF">
        <w:rPr>
          <w:noProof/>
          <w:lang w:val="en-IE"/>
        </w:rPr>
        <w:t>statistics on market surveillance activities</w:t>
      </w:r>
      <w:r w:rsidRPr="002F0513">
        <w:rPr>
          <w:noProof/>
          <w:lang w:val="en-IE"/>
        </w:rPr>
        <w:t>.</w:t>
      </w:r>
      <w:r w:rsidRPr="00FC48CF">
        <w:rPr>
          <w:noProof/>
          <w:lang w:val="en-IE"/>
        </w:rPr>
        <w:t xml:space="preserve"> The number of inspections </w:t>
      </w:r>
      <w:r w:rsidR="00C5660A">
        <w:rPr>
          <w:noProof/>
          <w:lang w:val="en-IE"/>
        </w:rPr>
        <w:t xml:space="preserve">rose </w:t>
      </w:r>
      <w:r w:rsidRPr="00FC48CF">
        <w:rPr>
          <w:noProof/>
          <w:lang w:val="en-IE"/>
        </w:rPr>
        <w:t xml:space="preserve">to </w:t>
      </w:r>
      <w:r w:rsidRPr="002F0513">
        <w:rPr>
          <w:noProof/>
          <w:lang w:val="en-IE"/>
        </w:rPr>
        <w:t>11491</w:t>
      </w:r>
      <w:r w:rsidRPr="00FC48CF">
        <w:rPr>
          <w:noProof/>
          <w:lang w:val="en-IE"/>
        </w:rPr>
        <w:t xml:space="preserve"> in 2022 with a non-compliance rate of about 60%. This result does not represent the overall compliance of radio equipment on the market because most </w:t>
      </w:r>
      <w:r w:rsidRPr="002F0513">
        <w:rPr>
          <w:noProof/>
          <w:lang w:val="en-IE"/>
        </w:rPr>
        <w:t>MSA</w:t>
      </w:r>
      <w:r w:rsidR="00F247CE" w:rsidRPr="002F0513">
        <w:rPr>
          <w:noProof/>
          <w:lang w:val="en-IE"/>
        </w:rPr>
        <w:t>s</w:t>
      </w:r>
      <w:r w:rsidRPr="00FC48CF">
        <w:rPr>
          <w:noProof/>
          <w:lang w:val="en-IE"/>
        </w:rPr>
        <w:t xml:space="preserve"> concentrate the inspections in problematic sectors. </w:t>
      </w:r>
    </w:p>
    <w:p w14:paraId="15F1DF06" w14:textId="5268AA0F" w:rsidR="00044A75" w:rsidRPr="00FC48CF" w:rsidRDefault="00D4597B" w:rsidP="00E4606B">
      <w:pPr>
        <w:rPr>
          <w:noProof/>
          <w:lang w:val="en-IE"/>
        </w:rPr>
      </w:pPr>
      <w:r w:rsidRPr="00FC48CF">
        <w:rPr>
          <w:noProof/>
          <w:lang w:val="en-IE"/>
        </w:rPr>
        <w:t>Between</w:t>
      </w:r>
      <w:r w:rsidR="00044A75" w:rsidRPr="00FC48CF">
        <w:rPr>
          <w:noProof/>
          <w:lang w:val="en-IE"/>
        </w:rPr>
        <w:t xml:space="preserve"> 2018 and 2022, ADCO RED carried out two campaigns (IoT</w:t>
      </w:r>
      <w:r w:rsidR="00543385">
        <w:rPr>
          <w:noProof/>
          <w:lang w:val="en-IE"/>
        </w:rPr>
        <w:t xml:space="preserve"> devices</w:t>
      </w:r>
      <w:r w:rsidR="00044A75" w:rsidRPr="00FC48CF">
        <w:rPr>
          <w:noProof/>
          <w:lang w:val="en-IE"/>
        </w:rPr>
        <w:t xml:space="preserve"> and </w:t>
      </w:r>
      <w:r w:rsidR="00667880">
        <w:rPr>
          <w:noProof/>
          <w:lang w:val="en-IE"/>
        </w:rPr>
        <w:t>private mobile radio</w:t>
      </w:r>
      <w:r w:rsidR="00044A75" w:rsidRPr="00FC48CF">
        <w:rPr>
          <w:noProof/>
          <w:lang w:val="en-IE"/>
        </w:rPr>
        <w:t xml:space="preserve"> </w:t>
      </w:r>
      <w:r w:rsidR="00667880">
        <w:rPr>
          <w:noProof/>
          <w:lang w:val="en-IE"/>
        </w:rPr>
        <w:t>(</w:t>
      </w:r>
      <w:r w:rsidR="00044A75" w:rsidRPr="00FC48CF">
        <w:rPr>
          <w:noProof/>
          <w:lang w:val="en-IE"/>
        </w:rPr>
        <w:t>PMR</w:t>
      </w:r>
      <w:r w:rsidR="00667880">
        <w:rPr>
          <w:noProof/>
          <w:lang w:val="en-IE"/>
        </w:rPr>
        <w:t>)</w:t>
      </w:r>
      <w:r w:rsidR="00044A75" w:rsidRPr="00FC48CF">
        <w:rPr>
          <w:noProof/>
          <w:lang w:val="en-IE"/>
        </w:rPr>
        <w:t xml:space="preserve"> and PMR 446 products).</w:t>
      </w:r>
    </w:p>
    <w:p w14:paraId="7B059C47" w14:textId="2E1A9BDD" w:rsidR="00044A75" w:rsidRPr="00FC48CF" w:rsidRDefault="00044A75" w:rsidP="00E4606B">
      <w:pPr>
        <w:rPr>
          <w:noProof/>
          <w:lang w:val="en-IE"/>
        </w:rPr>
      </w:pPr>
      <w:r w:rsidRPr="00FC48CF">
        <w:rPr>
          <w:noProof/>
          <w:lang w:val="en-IE"/>
        </w:rPr>
        <w:t>In 2021</w:t>
      </w:r>
      <w:r w:rsidR="00D4597B" w:rsidRPr="00FC48CF">
        <w:rPr>
          <w:noProof/>
          <w:lang w:val="en-IE"/>
        </w:rPr>
        <w:t>,</w:t>
      </w:r>
      <w:r w:rsidRPr="00FC48CF">
        <w:rPr>
          <w:noProof/>
          <w:lang w:val="en-IE"/>
        </w:rPr>
        <w:t xml:space="preserve"> ADCO RED started its participation </w:t>
      </w:r>
      <w:r w:rsidR="00D4597B" w:rsidRPr="00FC48CF">
        <w:rPr>
          <w:noProof/>
          <w:lang w:val="en-IE"/>
        </w:rPr>
        <w:t>in the</w:t>
      </w:r>
      <w:r w:rsidRPr="00FC48CF">
        <w:rPr>
          <w:noProof/>
          <w:lang w:val="en-IE"/>
        </w:rPr>
        <w:t xml:space="preserve"> EU</w:t>
      </w:r>
      <w:r w:rsidR="0008133B">
        <w:rPr>
          <w:noProof/>
          <w:lang w:val="en-IE"/>
        </w:rPr>
        <w:t>-</w:t>
      </w:r>
      <w:r w:rsidRPr="00FC48CF">
        <w:rPr>
          <w:noProof/>
          <w:lang w:val="en-IE"/>
        </w:rPr>
        <w:t>funded joint actions: JAHARP 2020 (</w:t>
      </w:r>
      <w:r w:rsidR="0008133B">
        <w:rPr>
          <w:noProof/>
          <w:lang w:val="en-IE"/>
        </w:rPr>
        <w:t>s</w:t>
      </w:r>
      <w:r w:rsidRPr="002F0513">
        <w:rPr>
          <w:noProof/>
          <w:lang w:val="en-IE"/>
        </w:rPr>
        <w:t xml:space="preserve">pecific </w:t>
      </w:r>
      <w:r w:rsidR="0008133B">
        <w:rPr>
          <w:noProof/>
          <w:lang w:val="en-IE"/>
        </w:rPr>
        <w:t>a</w:t>
      </w:r>
      <w:r w:rsidRPr="002F0513">
        <w:rPr>
          <w:noProof/>
          <w:lang w:val="en-IE"/>
        </w:rPr>
        <w:t xml:space="preserve">bsorption </w:t>
      </w:r>
      <w:r w:rsidR="0008133B">
        <w:rPr>
          <w:noProof/>
          <w:lang w:val="en-IE"/>
        </w:rPr>
        <w:t>r</w:t>
      </w:r>
      <w:r w:rsidRPr="002F0513">
        <w:rPr>
          <w:noProof/>
          <w:lang w:val="en-IE"/>
        </w:rPr>
        <w:t>ate</w:t>
      </w:r>
      <w:r w:rsidRPr="00FC48CF">
        <w:rPr>
          <w:noProof/>
          <w:lang w:val="en-IE"/>
        </w:rPr>
        <w:t xml:space="preserve"> (SAR) on connected devices, IoT</w:t>
      </w:r>
      <w:r w:rsidR="0008133B">
        <w:rPr>
          <w:noProof/>
          <w:lang w:val="en-IE"/>
        </w:rPr>
        <w:t>-</w:t>
      </w:r>
      <w:r w:rsidRPr="00FC48CF">
        <w:rPr>
          <w:noProof/>
          <w:lang w:val="en-IE"/>
        </w:rPr>
        <w:t xml:space="preserve">connected devices in cooperation with customs, </w:t>
      </w:r>
      <w:r w:rsidR="0008133B">
        <w:rPr>
          <w:noProof/>
          <w:lang w:val="en-IE"/>
        </w:rPr>
        <w:t>and a</w:t>
      </w:r>
      <w:r w:rsidRPr="002F0513">
        <w:rPr>
          <w:noProof/>
          <w:lang w:val="en-IE"/>
        </w:rPr>
        <w:t xml:space="preserve"> </w:t>
      </w:r>
      <w:r w:rsidRPr="00FC48CF">
        <w:rPr>
          <w:noProof/>
          <w:lang w:val="en-IE"/>
        </w:rPr>
        <w:t>harmonised approach for the assessment of the administrative requirements for product sectors under Regulation</w:t>
      </w:r>
      <w:r w:rsidR="00980849" w:rsidRPr="002F0513">
        <w:rPr>
          <w:noProof/>
          <w:lang w:val="en-IE"/>
        </w:rPr>
        <w:t> </w:t>
      </w:r>
      <w:r w:rsidRPr="00FC48CF">
        <w:rPr>
          <w:noProof/>
          <w:lang w:val="en-IE"/>
        </w:rPr>
        <w:t>(EU)</w:t>
      </w:r>
      <w:r w:rsidR="00980849" w:rsidRPr="002F0513">
        <w:rPr>
          <w:noProof/>
          <w:lang w:val="en-IE"/>
        </w:rPr>
        <w:t> </w:t>
      </w:r>
      <w:r w:rsidRPr="00FC48CF">
        <w:rPr>
          <w:noProof/>
          <w:lang w:val="en-IE"/>
        </w:rPr>
        <w:t>2019/1020</w:t>
      </w:r>
      <w:r w:rsidRPr="002F0513">
        <w:rPr>
          <w:noProof/>
          <w:lang w:val="en-IE"/>
        </w:rPr>
        <w:t>)</w:t>
      </w:r>
      <w:r w:rsidR="0008133B">
        <w:rPr>
          <w:noProof/>
          <w:lang w:val="en-IE"/>
        </w:rPr>
        <w:t>;</w:t>
      </w:r>
      <w:r w:rsidRPr="00FC48CF">
        <w:rPr>
          <w:noProof/>
          <w:lang w:val="en-IE"/>
        </w:rPr>
        <w:t xml:space="preserve"> and JAHARP 2021 (</w:t>
      </w:r>
      <w:r w:rsidR="000A4E05">
        <w:rPr>
          <w:noProof/>
          <w:lang w:val="en-IE"/>
        </w:rPr>
        <w:t xml:space="preserve">Wireless Local Area Network </w:t>
      </w:r>
      <w:r w:rsidRPr="00FC48CF">
        <w:rPr>
          <w:noProof/>
          <w:lang w:val="en-IE"/>
        </w:rPr>
        <w:t>WLAN 5GHz and radio equipment in cars).</w:t>
      </w:r>
    </w:p>
    <w:p w14:paraId="15C02C83" w14:textId="2C634CD5" w:rsidR="00044A75" w:rsidRPr="00FC48CF" w:rsidRDefault="00044A75" w:rsidP="00D70B4A">
      <w:pPr>
        <w:rPr>
          <w:noProof/>
          <w:lang w:val="en-IE"/>
        </w:rPr>
      </w:pPr>
      <w:r w:rsidRPr="00FC48CF">
        <w:rPr>
          <w:noProof/>
          <w:lang w:val="en-IE"/>
        </w:rPr>
        <w:t xml:space="preserve">ADCO RED has prepared and published several guides or </w:t>
      </w:r>
      <w:r w:rsidR="005F07C3">
        <w:rPr>
          <w:noProof/>
          <w:lang w:val="en-IE"/>
        </w:rPr>
        <w:t xml:space="preserve">other sources of </w:t>
      </w:r>
      <w:r w:rsidRPr="00FC48CF">
        <w:rPr>
          <w:noProof/>
          <w:lang w:val="en-IE"/>
        </w:rPr>
        <w:t xml:space="preserve">information </w:t>
      </w:r>
      <w:r w:rsidR="00551FDE">
        <w:rPr>
          <w:noProof/>
        </w:rPr>
        <w:t>sources</w:t>
      </w:r>
      <w:r>
        <w:rPr>
          <w:noProof/>
        </w:rPr>
        <w:t xml:space="preserve"> </w:t>
      </w:r>
      <w:r w:rsidRPr="00FC48CF">
        <w:rPr>
          <w:noProof/>
          <w:lang w:val="en-IE"/>
        </w:rPr>
        <w:t>for stakeholders</w:t>
      </w:r>
      <w:r w:rsidR="002748A3">
        <w:rPr>
          <w:noProof/>
          <w:lang w:val="en-IE"/>
        </w:rPr>
        <w:t xml:space="preserve"> on a number of </w:t>
      </w:r>
      <w:r w:rsidR="00BE013C">
        <w:rPr>
          <w:noProof/>
          <w:lang w:val="en-IE"/>
        </w:rPr>
        <w:t xml:space="preserve">topics, including </w:t>
      </w:r>
      <w:r w:rsidR="00BE013C" w:rsidRPr="00FC48CF">
        <w:rPr>
          <w:noProof/>
          <w:lang w:val="en-IE"/>
        </w:rPr>
        <w:t>the applicability of the RED to specific products</w:t>
      </w:r>
      <w:r w:rsidR="00340705" w:rsidRPr="00FC48CF">
        <w:rPr>
          <w:noProof/>
          <w:lang w:val="en-IE"/>
        </w:rPr>
        <w:t>.</w:t>
      </w:r>
    </w:p>
    <w:p w14:paraId="5AD99C5F" w14:textId="71810C33" w:rsidR="00DF2D79" w:rsidRPr="00FC48CF" w:rsidRDefault="00340705" w:rsidP="00DF2D79">
      <w:pPr>
        <w:rPr>
          <w:noProof/>
          <w:lang w:val="en-IE"/>
        </w:rPr>
      </w:pPr>
      <w:r w:rsidRPr="00FC48CF">
        <w:rPr>
          <w:noProof/>
          <w:lang w:val="en-IE"/>
        </w:rPr>
        <w:t>Regarding</w:t>
      </w:r>
      <w:r w:rsidR="001424F5">
        <w:rPr>
          <w:noProof/>
          <w:lang w:val="en-IE"/>
        </w:rPr>
        <w:t xml:space="preserve"> t</w:t>
      </w:r>
      <w:r w:rsidR="001424F5" w:rsidRPr="001424F5">
        <w:rPr>
          <w:noProof/>
          <w:lang w:val="en-IE"/>
        </w:rPr>
        <w:t>he internet-supported information and communication system for the pan-European market surveillance</w:t>
      </w:r>
      <w:r w:rsidRPr="00FC48CF">
        <w:rPr>
          <w:noProof/>
          <w:lang w:val="en-IE"/>
        </w:rPr>
        <w:t xml:space="preserve"> </w:t>
      </w:r>
      <w:r w:rsidR="001424F5">
        <w:rPr>
          <w:noProof/>
          <w:lang w:val="en-IE"/>
        </w:rPr>
        <w:t>(</w:t>
      </w:r>
      <w:r w:rsidRPr="00FC48CF">
        <w:rPr>
          <w:noProof/>
          <w:lang w:val="en-IE"/>
        </w:rPr>
        <w:t>ICSMS</w:t>
      </w:r>
      <w:r w:rsidR="001424F5">
        <w:rPr>
          <w:noProof/>
          <w:lang w:val="en-IE"/>
        </w:rPr>
        <w:t>)</w:t>
      </w:r>
      <w:r w:rsidRPr="00FC48CF">
        <w:rPr>
          <w:noProof/>
          <w:lang w:val="en-IE"/>
        </w:rPr>
        <w:t xml:space="preserve">, </w:t>
      </w:r>
      <w:r w:rsidR="00044A75" w:rsidRPr="00FC48CF">
        <w:rPr>
          <w:noProof/>
          <w:lang w:val="en-IE"/>
        </w:rPr>
        <w:t xml:space="preserve">ADCO RED </w:t>
      </w:r>
      <w:r w:rsidR="002748A3">
        <w:rPr>
          <w:noProof/>
          <w:lang w:val="en-IE"/>
        </w:rPr>
        <w:t xml:space="preserve">has </w:t>
      </w:r>
      <w:r w:rsidR="00044A75" w:rsidRPr="00FC48CF">
        <w:rPr>
          <w:noProof/>
          <w:lang w:val="en-IE"/>
        </w:rPr>
        <w:t xml:space="preserve">worked </w:t>
      </w:r>
      <w:r w:rsidR="002748A3" w:rsidRPr="002F0513">
        <w:rPr>
          <w:noProof/>
          <w:lang w:val="en-IE"/>
        </w:rPr>
        <w:t xml:space="preserve">with the Commission </w:t>
      </w:r>
      <w:r w:rsidR="00044A75" w:rsidRPr="00FC48CF">
        <w:rPr>
          <w:noProof/>
          <w:lang w:val="en-IE"/>
        </w:rPr>
        <w:t xml:space="preserve">on </w:t>
      </w:r>
      <w:r w:rsidR="00044A75" w:rsidRPr="002F0513">
        <w:rPr>
          <w:noProof/>
          <w:lang w:val="en-IE"/>
        </w:rPr>
        <w:t>prepar</w:t>
      </w:r>
      <w:r w:rsidR="002748A3">
        <w:rPr>
          <w:noProof/>
          <w:lang w:val="en-IE"/>
        </w:rPr>
        <w:t>ing</w:t>
      </w:r>
      <w:r w:rsidR="00044A75" w:rsidRPr="00FC48CF">
        <w:rPr>
          <w:noProof/>
          <w:lang w:val="en-IE"/>
        </w:rPr>
        <w:t xml:space="preserve"> the implementation of the RED </w:t>
      </w:r>
      <w:r w:rsidRPr="00FC48CF">
        <w:rPr>
          <w:noProof/>
          <w:lang w:val="en-IE"/>
        </w:rPr>
        <w:t>interface.</w:t>
      </w:r>
    </w:p>
    <w:p w14:paraId="2AEAA782" w14:textId="6817067C" w:rsidR="00A81DA1" w:rsidRPr="00FC48CF" w:rsidRDefault="00A81DA1" w:rsidP="00A81DA1">
      <w:pPr>
        <w:pStyle w:val="Heading2"/>
        <w:rPr>
          <w:noProof/>
          <w:color w:val="auto"/>
          <w:lang w:val="en-IE"/>
        </w:rPr>
      </w:pPr>
      <w:bookmarkStart w:id="83" w:name="_Toc152772500"/>
      <w:bookmarkStart w:id="84" w:name="_Toc151122124"/>
      <w:bookmarkStart w:id="85" w:name="_Toc156461245"/>
      <w:r w:rsidRPr="00FC48CF">
        <w:rPr>
          <w:noProof/>
          <w:color w:val="auto"/>
          <w:lang w:val="en-IE"/>
        </w:rPr>
        <w:t>EU Testing Facility</w:t>
      </w:r>
      <w:bookmarkEnd w:id="83"/>
      <w:bookmarkEnd w:id="84"/>
      <w:bookmarkEnd w:id="85"/>
    </w:p>
    <w:p w14:paraId="0EA8D611" w14:textId="45A03992" w:rsidR="00881874" w:rsidRDefault="00805302" w:rsidP="00CC1E6E">
      <w:pPr>
        <w:rPr>
          <w:noProof/>
          <w:lang w:val="en-IE"/>
        </w:rPr>
      </w:pPr>
      <w:r>
        <w:rPr>
          <w:noProof/>
          <w:lang w:val="en-IE"/>
        </w:rPr>
        <w:t>In accordance with</w:t>
      </w:r>
      <w:r w:rsidR="00CC1E6E" w:rsidRPr="00371C91">
        <w:rPr>
          <w:noProof/>
          <w:lang w:val="en-IE"/>
        </w:rPr>
        <w:t xml:space="preserve"> the</w:t>
      </w:r>
      <w:r w:rsidR="00CC1E6E" w:rsidRPr="00FC48CF">
        <w:rPr>
          <w:noProof/>
          <w:lang w:val="en-IE"/>
        </w:rPr>
        <w:t xml:space="preserve"> procedures for designating </w:t>
      </w:r>
      <w:r w:rsidR="00980849" w:rsidRPr="002F0513">
        <w:rPr>
          <w:noProof/>
          <w:lang w:val="en-IE"/>
        </w:rPr>
        <w:t xml:space="preserve">the </w:t>
      </w:r>
      <w:r w:rsidR="006D2CAA" w:rsidRPr="00881874">
        <w:rPr>
          <w:noProof/>
          <w:lang w:val="en-IE"/>
        </w:rPr>
        <w:t>EU Testing Facilit</w:t>
      </w:r>
      <w:r w:rsidR="004265D5">
        <w:rPr>
          <w:noProof/>
          <w:lang w:val="en-IE"/>
        </w:rPr>
        <w:t>ies</w:t>
      </w:r>
      <w:r w:rsidR="006D2CAA" w:rsidRPr="00FC48CF">
        <w:rPr>
          <w:noProof/>
          <w:lang w:val="en-IE"/>
        </w:rPr>
        <w:t xml:space="preserve"> </w:t>
      </w:r>
      <w:r w:rsidR="004265D5">
        <w:rPr>
          <w:noProof/>
          <w:lang w:val="en-IE"/>
        </w:rPr>
        <w:t>(</w:t>
      </w:r>
      <w:r w:rsidR="00CC1E6E" w:rsidRPr="00FC48CF">
        <w:rPr>
          <w:noProof/>
          <w:lang w:val="en-IE"/>
        </w:rPr>
        <w:t>EUTF</w:t>
      </w:r>
      <w:r w:rsidR="004265D5">
        <w:rPr>
          <w:noProof/>
          <w:lang w:val="en-IE"/>
        </w:rPr>
        <w:t>)</w:t>
      </w:r>
      <w:r w:rsidR="00CC1E6E" w:rsidRPr="00FC48CF">
        <w:rPr>
          <w:noProof/>
          <w:lang w:val="en-IE"/>
        </w:rPr>
        <w:t xml:space="preserve"> set out in </w:t>
      </w:r>
      <w:r w:rsidR="00CC1E6E" w:rsidRPr="00371C91">
        <w:rPr>
          <w:noProof/>
          <w:lang w:val="en-IE"/>
        </w:rPr>
        <w:t>Implementing Regulation</w:t>
      </w:r>
      <w:r w:rsidR="00980849" w:rsidRPr="002F0513">
        <w:rPr>
          <w:noProof/>
          <w:lang w:val="en-IE"/>
        </w:rPr>
        <w:t> </w:t>
      </w:r>
      <w:r w:rsidR="00CC1E6E" w:rsidRPr="00371C91">
        <w:rPr>
          <w:noProof/>
          <w:lang w:val="en-IE"/>
        </w:rPr>
        <w:t>(EU)</w:t>
      </w:r>
      <w:r w:rsidR="00980849" w:rsidRPr="002F0513">
        <w:rPr>
          <w:noProof/>
          <w:lang w:val="en-IE"/>
        </w:rPr>
        <w:t> </w:t>
      </w:r>
      <w:r w:rsidR="00CC1E6E" w:rsidRPr="00371C91">
        <w:rPr>
          <w:noProof/>
          <w:lang w:val="en-IE"/>
        </w:rPr>
        <w:t>2022/1267</w:t>
      </w:r>
      <w:r w:rsidR="00D979E0" w:rsidRPr="002F0513">
        <w:rPr>
          <w:noProof/>
          <w:lang w:val="en-IE"/>
        </w:rPr>
        <w:t> </w:t>
      </w:r>
      <w:r w:rsidR="00962FB8" w:rsidRPr="00371C91">
        <w:rPr>
          <w:rStyle w:val="FootnoteReference"/>
          <w:noProof/>
          <w:lang w:val="en-IE"/>
        </w:rPr>
        <w:footnoteReference w:id="17"/>
      </w:r>
      <w:r w:rsidR="00CC1E6E" w:rsidRPr="00371C91">
        <w:rPr>
          <w:noProof/>
          <w:lang w:val="en-IE"/>
        </w:rPr>
        <w:t>, th</w:t>
      </w:r>
      <w:r w:rsidR="00881874" w:rsidRPr="00371C91">
        <w:rPr>
          <w:noProof/>
          <w:lang w:val="en-IE"/>
        </w:rPr>
        <w:t xml:space="preserve">e Commission </w:t>
      </w:r>
      <w:hyperlink r:id="rId28" w:history="1">
        <w:r w:rsidR="00881874" w:rsidRPr="00A14D95">
          <w:rPr>
            <w:rStyle w:val="Hyperlink"/>
            <w:noProof/>
            <w:lang w:val="en-IE"/>
          </w:rPr>
          <w:t>appointed</w:t>
        </w:r>
      </w:hyperlink>
      <w:r w:rsidR="00881874" w:rsidRPr="00371C91">
        <w:rPr>
          <w:noProof/>
          <w:lang w:val="en-IE"/>
        </w:rPr>
        <w:t xml:space="preserve"> </w:t>
      </w:r>
      <w:r w:rsidR="002748A3">
        <w:rPr>
          <w:noProof/>
          <w:lang w:val="en-IE"/>
        </w:rPr>
        <w:t>Lithuania’s</w:t>
      </w:r>
      <w:r w:rsidR="003F3CF8" w:rsidRPr="00371C91">
        <w:rPr>
          <w:noProof/>
          <w:lang w:val="en-IE"/>
        </w:rPr>
        <w:t xml:space="preserve"> Communications Regulatory Authority </w:t>
      </w:r>
      <w:r w:rsidR="00881874" w:rsidRPr="00371C91">
        <w:rPr>
          <w:noProof/>
          <w:lang w:val="en-IE"/>
        </w:rPr>
        <w:t xml:space="preserve">as </w:t>
      </w:r>
      <w:r w:rsidR="00980849" w:rsidRPr="002F0513">
        <w:rPr>
          <w:noProof/>
          <w:lang w:val="en-IE"/>
        </w:rPr>
        <w:t xml:space="preserve">the </w:t>
      </w:r>
      <w:r w:rsidR="00881874" w:rsidRPr="00371C91">
        <w:rPr>
          <w:noProof/>
          <w:lang w:val="en-IE"/>
        </w:rPr>
        <w:t>EUTF for radio equipment</w:t>
      </w:r>
      <w:r w:rsidR="00CC1E6E" w:rsidRPr="00371C91">
        <w:rPr>
          <w:noProof/>
          <w:lang w:val="en-IE"/>
        </w:rPr>
        <w:t xml:space="preserve">. </w:t>
      </w:r>
      <w:r w:rsidR="00881874" w:rsidRPr="00371C91">
        <w:rPr>
          <w:noProof/>
          <w:lang w:val="en-IE"/>
        </w:rPr>
        <w:t xml:space="preserve">The </w:t>
      </w:r>
      <w:r w:rsidR="00881874" w:rsidRPr="002F0513">
        <w:rPr>
          <w:noProof/>
          <w:lang w:val="en-IE"/>
        </w:rPr>
        <w:t>EUTF</w:t>
      </w:r>
      <w:r w:rsidR="00980849" w:rsidRPr="002F0513">
        <w:rPr>
          <w:noProof/>
          <w:lang w:val="en-IE"/>
        </w:rPr>
        <w:t>s</w:t>
      </w:r>
      <w:r w:rsidR="00881874" w:rsidRPr="002F0513">
        <w:rPr>
          <w:noProof/>
          <w:lang w:val="en-IE"/>
        </w:rPr>
        <w:t xml:space="preserve"> </w:t>
      </w:r>
      <w:r w:rsidR="00980849" w:rsidRPr="002F0513">
        <w:rPr>
          <w:noProof/>
          <w:lang w:val="en-IE"/>
        </w:rPr>
        <w:t>are required</w:t>
      </w:r>
      <w:r w:rsidR="00881874" w:rsidRPr="00371C91">
        <w:rPr>
          <w:noProof/>
          <w:lang w:val="en-IE"/>
        </w:rPr>
        <w:t xml:space="preserve">, within the area of their </w:t>
      </w:r>
      <w:r w:rsidR="776B2590" w:rsidRPr="00371C91">
        <w:rPr>
          <w:noProof/>
          <w:lang w:val="en-IE"/>
        </w:rPr>
        <w:t>designation</w:t>
      </w:r>
      <w:r w:rsidR="00881874" w:rsidRPr="00371C91">
        <w:rPr>
          <w:noProof/>
          <w:lang w:val="en-IE"/>
        </w:rPr>
        <w:t xml:space="preserve">, </w:t>
      </w:r>
      <w:r w:rsidR="00980849" w:rsidRPr="002F0513">
        <w:rPr>
          <w:noProof/>
          <w:lang w:val="en-IE"/>
        </w:rPr>
        <w:t xml:space="preserve">to </w:t>
      </w:r>
      <w:r w:rsidR="00881874" w:rsidRPr="00371C91">
        <w:rPr>
          <w:noProof/>
          <w:lang w:val="en-IE"/>
        </w:rPr>
        <w:t>perform the duties</w:t>
      </w:r>
      <w:r w:rsidR="002C5B4A">
        <w:rPr>
          <w:noProof/>
          <w:lang w:val="en-IE"/>
        </w:rPr>
        <w:t xml:space="preserve"> established by </w:t>
      </w:r>
      <w:r w:rsidR="00675F6B">
        <w:rPr>
          <w:noProof/>
          <w:lang w:val="en-IE"/>
        </w:rPr>
        <w:t>A</w:t>
      </w:r>
      <w:r w:rsidR="002C5B4A">
        <w:rPr>
          <w:noProof/>
          <w:lang w:val="en-IE"/>
        </w:rPr>
        <w:t>rticle</w:t>
      </w:r>
      <w:r w:rsidR="00980849" w:rsidRPr="002F0513">
        <w:rPr>
          <w:noProof/>
          <w:lang w:val="en-IE"/>
        </w:rPr>
        <w:t> </w:t>
      </w:r>
      <w:r w:rsidR="0024673B">
        <w:rPr>
          <w:noProof/>
          <w:lang w:val="en-IE"/>
        </w:rPr>
        <w:t>21</w:t>
      </w:r>
      <w:r w:rsidR="00A83A44">
        <w:rPr>
          <w:noProof/>
          <w:lang w:val="en-IE"/>
        </w:rPr>
        <w:t xml:space="preserve"> of </w:t>
      </w:r>
      <w:r w:rsidR="0024673B" w:rsidRPr="00881874">
        <w:rPr>
          <w:noProof/>
          <w:lang w:val="en-IE"/>
        </w:rPr>
        <w:t>Regulation</w:t>
      </w:r>
      <w:r w:rsidR="00980849" w:rsidRPr="002F0513">
        <w:rPr>
          <w:noProof/>
          <w:lang w:val="en-IE"/>
        </w:rPr>
        <w:t> </w:t>
      </w:r>
      <w:r w:rsidR="0024673B" w:rsidRPr="00881874">
        <w:rPr>
          <w:noProof/>
          <w:lang w:val="en-IE"/>
        </w:rPr>
        <w:t>(EU)</w:t>
      </w:r>
      <w:r w:rsidR="00980849" w:rsidRPr="002F0513">
        <w:rPr>
          <w:noProof/>
          <w:lang w:val="en-IE"/>
        </w:rPr>
        <w:t> </w:t>
      </w:r>
      <w:r w:rsidR="0024673B" w:rsidRPr="00881874">
        <w:rPr>
          <w:noProof/>
          <w:lang w:val="en-IE"/>
        </w:rPr>
        <w:t>2019/1020</w:t>
      </w:r>
      <w:r w:rsidR="004265D5">
        <w:rPr>
          <w:noProof/>
          <w:lang w:val="en-IE"/>
        </w:rPr>
        <w:t xml:space="preserve"> </w:t>
      </w:r>
      <w:r w:rsidR="004265D5">
        <w:rPr>
          <w:rStyle w:val="FootnoteReference"/>
          <w:noProof/>
          <w:lang w:val="en-IE"/>
        </w:rPr>
        <w:footnoteReference w:id="18"/>
      </w:r>
      <w:r w:rsidR="0024673B">
        <w:rPr>
          <w:noProof/>
          <w:lang w:val="en-IE"/>
        </w:rPr>
        <w:t>.</w:t>
      </w:r>
    </w:p>
    <w:p w14:paraId="7E383F47" w14:textId="11ED4602" w:rsidR="00566AD3" w:rsidRPr="00FC48CF" w:rsidRDefault="00BA5C47" w:rsidP="00162907">
      <w:pPr>
        <w:pStyle w:val="Heading1"/>
        <w:rPr>
          <w:noProof/>
          <w:color w:val="auto"/>
          <w:lang w:val="en-IE"/>
        </w:rPr>
      </w:pPr>
      <w:bookmarkStart w:id="86" w:name="_Toc152772501"/>
      <w:bookmarkStart w:id="87" w:name="_Toc151122125"/>
      <w:bookmarkStart w:id="88" w:name="_Toc156461246"/>
      <w:r w:rsidRPr="00FC48CF">
        <w:rPr>
          <w:noProof/>
          <w:color w:val="auto"/>
          <w:lang w:val="en-IE"/>
        </w:rPr>
        <w:t>Implementation and enforcement</w:t>
      </w:r>
      <w:bookmarkEnd w:id="86"/>
      <w:bookmarkEnd w:id="87"/>
      <w:bookmarkEnd w:id="88"/>
    </w:p>
    <w:p w14:paraId="5A3A0ADC" w14:textId="77777777" w:rsidR="005E12D5" w:rsidRPr="00FC48CF" w:rsidRDefault="005E12D5" w:rsidP="005E12D5">
      <w:pPr>
        <w:pStyle w:val="Heading2"/>
        <w:rPr>
          <w:noProof/>
          <w:color w:val="auto"/>
          <w:lang w:val="en-IE"/>
        </w:rPr>
      </w:pPr>
      <w:bookmarkStart w:id="89" w:name="_Toc152772502"/>
      <w:bookmarkStart w:id="90" w:name="_Toc151122126"/>
      <w:bookmarkStart w:id="91" w:name="_Toc156461247"/>
      <w:r w:rsidRPr="00FC48CF">
        <w:rPr>
          <w:noProof/>
          <w:color w:val="auto"/>
          <w:lang w:val="en-IE"/>
        </w:rPr>
        <w:t>Risk assessment</w:t>
      </w:r>
      <w:bookmarkEnd w:id="89"/>
      <w:bookmarkEnd w:id="90"/>
      <w:bookmarkEnd w:id="91"/>
    </w:p>
    <w:p w14:paraId="6ED730DD" w14:textId="0ACBB43E" w:rsidR="005E12D5" w:rsidRDefault="001A743F" w:rsidP="005E12D5">
      <w:pPr>
        <w:rPr>
          <w:noProof/>
          <w:lang w:val="en-IE"/>
        </w:rPr>
      </w:pPr>
      <w:r w:rsidRPr="001A743F">
        <w:rPr>
          <w:noProof/>
          <w:lang w:val="en-IE"/>
        </w:rPr>
        <w:t xml:space="preserve">Manufacturers of radio equipment must perform risk assessment before </w:t>
      </w:r>
      <w:r w:rsidR="005E12D5">
        <w:rPr>
          <w:noProof/>
          <w:lang w:val="en-IE"/>
        </w:rPr>
        <w:t>carrying out the conformity assessment</w:t>
      </w:r>
      <w:r w:rsidR="004D58E4">
        <w:rPr>
          <w:noProof/>
          <w:lang w:val="en-IE"/>
        </w:rPr>
        <w:t>.</w:t>
      </w:r>
      <w:r w:rsidR="005E12D5">
        <w:rPr>
          <w:noProof/>
          <w:lang w:val="en-IE"/>
        </w:rPr>
        <w:t xml:space="preserve"> In particular, they have to evaluate the risks and </w:t>
      </w:r>
      <w:r w:rsidR="00DB1F0D">
        <w:rPr>
          <w:noProof/>
          <w:lang w:val="en-IE"/>
        </w:rPr>
        <w:t xml:space="preserve">the </w:t>
      </w:r>
      <w:r w:rsidR="005E12D5">
        <w:rPr>
          <w:noProof/>
          <w:lang w:val="en-IE"/>
        </w:rPr>
        <w:t xml:space="preserve">likelihood </w:t>
      </w:r>
      <w:r w:rsidR="00DB1F0D">
        <w:rPr>
          <w:noProof/>
          <w:lang w:val="en-IE"/>
        </w:rPr>
        <w:t xml:space="preserve">of them occurring </w:t>
      </w:r>
      <w:r w:rsidR="005E12D5">
        <w:rPr>
          <w:noProof/>
          <w:lang w:val="en-IE"/>
        </w:rPr>
        <w:t xml:space="preserve">in order to </w:t>
      </w:r>
      <w:r w:rsidR="00DD230F">
        <w:rPr>
          <w:noProof/>
          <w:lang w:val="en-IE"/>
        </w:rPr>
        <w:t xml:space="preserve">carry out </w:t>
      </w:r>
      <w:r w:rsidR="005E12D5">
        <w:rPr>
          <w:noProof/>
          <w:lang w:val="en-IE"/>
        </w:rPr>
        <w:t>concrete technical mitigation measures.</w:t>
      </w:r>
      <w:r w:rsidR="008155F0">
        <w:rPr>
          <w:noProof/>
          <w:lang w:val="en-IE"/>
        </w:rPr>
        <w:t xml:space="preserve"> </w:t>
      </w:r>
      <w:r w:rsidR="005E12D5" w:rsidRPr="7A33909E">
        <w:rPr>
          <w:noProof/>
          <w:lang w:val="en-IE"/>
        </w:rPr>
        <w:t xml:space="preserve">The RED does not establish any </w:t>
      </w:r>
      <w:r w:rsidR="005437CB">
        <w:rPr>
          <w:noProof/>
          <w:lang w:val="en-IE"/>
        </w:rPr>
        <w:t xml:space="preserve">particular </w:t>
      </w:r>
      <w:r w:rsidR="005E12D5" w:rsidRPr="7A33909E">
        <w:rPr>
          <w:noProof/>
          <w:lang w:val="en-IE"/>
        </w:rPr>
        <w:t>risk assessment</w:t>
      </w:r>
      <w:r w:rsidR="005437CB">
        <w:rPr>
          <w:noProof/>
          <w:lang w:val="en-IE"/>
        </w:rPr>
        <w:t xml:space="preserve"> methodology</w:t>
      </w:r>
      <w:r w:rsidR="005E12D5" w:rsidRPr="7A33909E">
        <w:rPr>
          <w:noProof/>
          <w:lang w:val="en-IE"/>
        </w:rPr>
        <w:t>.</w:t>
      </w:r>
    </w:p>
    <w:p w14:paraId="56A38534" w14:textId="18C5B83D" w:rsidR="005E12D5" w:rsidRPr="005E12D5" w:rsidRDefault="00DD230F" w:rsidP="005E12D5">
      <w:pPr>
        <w:rPr>
          <w:noProof/>
          <w:lang w:val="en-IE"/>
        </w:rPr>
      </w:pPr>
      <w:r>
        <w:rPr>
          <w:noProof/>
          <w:lang w:val="en-IE"/>
        </w:rPr>
        <w:lastRenderedPageBreak/>
        <w:t>In a</w:t>
      </w:r>
      <w:r w:rsidR="005E12D5">
        <w:rPr>
          <w:noProof/>
          <w:lang w:val="en-IE"/>
        </w:rPr>
        <w:t xml:space="preserve">ddition, the </w:t>
      </w:r>
      <w:r w:rsidR="006B654E">
        <w:rPr>
          <w:noProof/>
          <w:lang w:val="en-IE"/>
        </w:rPr>
        <w:t xml:space="preserve">evaluation </w:t>
      </w:r>
      <w:r w:rsidR="005E12D5">
        <w:rPr>
          <w:noProof/>
          <w:lang w:val="en-IE"/>
        </w:rPr>
        <w:t xml:space="preserve">of the risk assessment performed by the manufacturers is under the remit of the Member States. </w:t>
      </w:r>
      <w:r w:rsidR="00375E4B">
        <w:rPr>
          <w:noProof/>
          <w:lang w:val="en-IE"/>
        </w:rPr>
        <w:t>A common approach by authorities</w:t>
      </w:r>
      <w:r w:rsidR="006B13D6">
        <w:rPr>
          <w:noProof/>
          <w:lang w:val="en-IE"/>
        </w:rPr>
        <w:t xml:space="preserve"> is, therefore, part of the coordination activities of ADCO RED</w:t>
      </w:r>
      <w:r w:rsidR="005E12D5">
        <w:rPr>
          <w:noProof/>
          <w:lang w:val="en-IE"/>
        </w:rPr>
        <w:t>.</w:t>
      </w:r>
    </w:p>
    <w:p w14:paraId="41B5DB34" w14:textId="1CC05451" w:rsidR="007A3C56" w:rsidRPr="00FC48CF" w:rsidRDefault="007A3C56" w:rsidP="005E12D5">
      <w:pPr>
        <w:pStyle w:val="Heading2"/>
        <w:rPr>
          <w:noProof/>
          <w:color w:val="auto"/>
          <w:lang w:val="en-IE"/>
        </w:rPr>
      </w:pPr>
      <w:bookmarkStart w:id="92" w:name="_Ref128066399"/>
      <w:bookmarkStart w:id="93" w:name="_Toc152772503"/>
      <w:bookmarkStart w:id="94" w:name="_Toc151122127"/>
      <w:bookmarkStart w:id="95" w:name="_Toc156461248"/>
      <w:r w:rsidRPr="00FC48CF">
        <w:rPr>
          <w:noProof/>
          <w:color w:val="auto"/>
          <w:lang w:val="en-IE"/>
        </w:rPr>
        <w:t>Access to emergency services by autonomous maritime radio devices</w:t>
      </w:r>
      <w:bookmarkEnd w:id="92"/>
      <w:r w:rsidRPr="00FC48CF">
        <w:rPr>
          <w:noProof/>
          <w:color w:val="auto"/>
          <w:lang w:val="en-IE"/>
        </w:rPr>
        <w:t xml:space="preserve"> (</w:t>
      </w:r>
      <w:r w:rsidR="00DD230F">
        <w:rPr>
          <w:noProof/>
          <w:color w:val="auto"/>
          <w:lang w:val="en-IE"/>
        </w:rPr>
        <w:t>d</w:t>
      </w:r>
      <w:r w:rsidRPr="002F0513">
        <w:rPr>
          <w:noProof/>
          <w:color w:val="auto"/>
          <w:lang w:val="en-IE"/>
        </w:rPr>
        <w:t xml:space="preserve">elegated </w:t>
      </w:r>
      <w:r w:rsidR="00DD230F">
        <w:rPr>
          <w:noProof/>
          <w:color w:val="auto"/>
          <w:lang w:val="en-IE"/>
        </w:rPr>
        <w:t>r</w:t>
      </w:r>
      <w:r w:rsidRPr="002F0513">
        <w:rPr>
          <w:noProof/>
          <w:color w:val="auto"/>
          <w:lang w:val="en-IE"/>
        </w:rPr>
        <w:t>egulation</w:t>
      </w:r>
      <w:r w:rsidRPr="00FC48CF">
        <w:rPr>
          <w:noProof/>
          <w:color w:val="auto"/>
          <w:lang w:val="en-IE"/>
        </w:rPr>
        <w:t>)</w:t>
      </w:r>
      <w:bookmarkEnd w:id="93"/>
      <w:bookmarkEnd w:id="94"/>
      <w:bookmarkEnd w:id="95"/>
    </w:p>
    <w:p w14:paraId="3A5950A9" w14:textId="24B379A5" w:rsidR="00F27AFF" w:rsidRPr="00FC48CF" w:rsidRDefault="005F1DCB" w:rsidP="007A3C56">
      <w:pPr>
        <w:rPr>
          <w:noProof/>
          <w:lang w:val="en-IE"/>
        </w:rPr>
      </w:pPr>
      <w:r w:rsidRPr="00FC48CF">
        <w:rPr>
          <w:noProof/>
          <w:lang w:val="en-IE"/>
        </w:rPr>
        <w:t>T</w:t>
      </w:r>
      <w:r w:rsidR="007A3C56" w:rsidRPr="00FC48CF">
        <w:rPr>
          <w:noProof/>
          <w:lang w:val="en-IE"/>
        </w:rPr>
        <w:t xml:space="preserve">he </w:t>
      </w:r>
      <w:r w:rsidR="00B4034D" w:rsidRPr="00FC48CF">
        <w:rPr>
          <w:noProof/>
          <w:lang w:val="en-IE"/>
        </w:rPr>
        <w:t>expert group</w:t>
      </w:r>
      <w:r w:rsidRPr="00FC48CF">
        <w:rPr>
          <w:noProof/>
          <w:lang w:val="en-IE"/>
        </w:rPr>
        <w:t xml:space="preserve"> </w:t>
      </w:r>
      <w:r w:rsidR="00DD230F">
        <w:rPr>
          <w:noProof/>
          <w:lang w:val="en-IE"/>
        </w:rPr>
        <w:t xml:space="preserve">has </w:t>
      </w:r>
      <w:r w:rsidR="005F07C3">
        <w:rPr>
          <w:noProof/>
          <w:lang w:val="en-IE"/>
        </w:rPr>
        <w:t>considered</w:t>
      </w:r>
      <w:r w:rsidR="00F27AFF" w:rsidRPr="002F0513">
        <w:rPr>
          <w:noProof/>
          <w:lang w:val="en-IE"/>
        </w:rPr>
        <w:t xml:space="preserve"> </w:t>
      </w:r>
      <w:r w:rsidR="00DD230F">
        <w:rPr>
          <w:noProof/>
          <w:lang w:val="en-IE"/>
        </w:rPr>
        <w:t xml:space="preserve">how to </w:t>
      </w:r>
      <w:r w:rsidRPr="002F0513">
        <w:rPr>
          <w:noProof/>
          <w:lang w:val="en-IE"/>
        </w:rPr>
        <w:t>ensur</w:t>
      </w:r>
      <w:r w:rsidR="00DD230F">
        <w:rPr>
          <w:noProof/>
          <w:lang w:val="en-IE"/>
        </w:rPr>
        <w:t>e</w:t>
      </w:r>
      <w:r w:rsidRPr="00FC48CF">
        <w:rPr>
          <w:noProof/>
          <w:lang w:val="en-IE"/>
        </w:rPr>
        <w:t xml:space="preserve"> the appropriate use of </w:t>
      </w:r>
      <w:r w:rsidR="00F27AFF" w:rsidRPr="00FC48CF">
        <w:rPr>
          <w:noProof/>
          <w:lang w:val="en-IE"/>
        </w:rPr>
        <w:t xml:space="preserve">the automatic identification system (AIS) and the global maritime distress and safety system (GDMSS) for </w:t>
      </w:r>
      <w:r w:rsidR="007A3C56" w:rsidRPr="00FC48CF">
        <w:rPr>
          <w:noProof/>
          <w:lang w:val="en-IE"/>
        </w:rPr>
        <w:t xml:space="preserve">autonomous maritime radio devices (AMRD) to </w:t>
      </w:r>
      <w:r w:rsidR="00F27AFF" w:rsidRPr="00FC48CF">
        <w:rPr>
          <w:noProof/>
          <w:lang w:val="en-IE"/>
        </w:rPr>
        <w:t xml:space="preserve">access </w:t>
      </w:r>
      <w:r w:rsidR="007A3C56" w:rsidRPr="00FC48CF">
        <w:rPr>
          <w:noProof/>
          <w:lang w:val="en-IE"/>
        </w:rPr>
        <w:t>emergency services</w:t>
      </w:r>
      <w:r w:rsidR="00F27AFF" w:rsidRPr="00FC48CF">
        <w:rPr>
          <w:noProof/>
          <w:lang w:val="en-IE"/>
        </w:rPr>
        <w:t>, including</w:t>
      </w:r>
      <w:r w:rsidR="007A3C56" w:rsidRPr="00FC48CF">
        <w:rPr>
          <w:noProof/>
          <w:lang w:val="en-IE"/>
        </w:rPr>
        <w:t xml:space="preserve"> avoiding interference with other maritime </w:t>
      </w:r>
      <w:r w:rsidRPr="00FC48CF">
        <w:rPr>
          <w:noProof/>
          <w:lang w:val="en-IE"/>
        </w:rPr>
        <w:t>equipment</w:t>
      </w:r>
      <w:r w:rsidR="007A3C56" w:rsidRPr="00FC48CF">
        <w:rPr>
          <w:noProof/>
          <w:lang w:val="en-IE"/>
        </w:rPr>
        <w:t xml:space="preserve">. </w:t>
      </w:r>
    </w:p>
    <w:p w14:paraId="2AB01F84" w14:textId="7EFEE426" w:rsidR="007A3C56" w:rsidRPr="00FC48CF" w:rsidRDefault="00DD230F" w:rsidP="007A3C56">
      <w:pPr>
        <w:rPr>
          <w:noProof/>
          <w:lang w:val="en-IE"/>
        </w:rPr>
      </w:pPr>
      <w:r>
        <w:rPr>
          <w:noProof/>
          <w:lang w:val="en-IE"/>
        </w:rPr>
        <w:t>Its p</w:t>
      </w:r>
      <w:r w:rsidR="00B4034D" w:rsidRPr="002F0513">
        <w:rPr>
          <w:noProof/>
          <w:lang w:val="en-IE"/>
        </w:rPr>
        <w:t>reliminary</w:t>
      </w:r>
      <w:r w:rsidR="00B4034D" w:rsidRPr="00FC48CF">
        <w:rPr>
          <w:noProof/>
          <w:lang w:val="en-IE"/>
        </w:rPr>
        <w:t xml:space="preserve"> conclusion is </w:t>
      </w:r>
      <w:r w:rsidR="00F27AFF" w:rsidRPr="00FC48CF">
        <w:rPr>
          <w:noProof/>
          <w:lang w:val="en-IE"/>
        </w:rPr>
        <w:t>that</w:t>
      </w:r>
      <w:r w:rsidR="00787BC3">
        <w:rPr>
          <w:noProof/>
          <w:lang w:val="en-IE"/>
        </w:rPr>
        <w:t xml:space="preserve"> the essential requirements</w:t>
      </w:r>
      <w:r w:rsidR="00F77C22">
        <w:rPr>
          <w:noProof/>
          <w:lang w:val="en-IE"/>
        </w:rPr>
        <w:t xml:space="preserve"> </w:t>
      </w:r>
      <w:r w:rsidR="00F77C22">
        <w:rPr>
          <w:rStyle w:val="FootnoteReference"/>
          <w:noProof/>
          <w:lang w:val="en-IE"/>
        </w:rPr>
        <w:footnoteReference w:id="19"/>
      </w:r>
      <w:r w:rsidR="00787BC3">
        <w:rPr>
          <w:noProof/>
          <w:lang w:val="en-IE"/>
        </w:rPr>
        <w:t xml:space="preserve"> set out in the RED </w:t>
      </w:r>
      <w:r w:rsidR="00811B49">
        <w:rPr>
          <w:noProof/>
          <w:lang w:val="en-IE"/>
        </w:rPr>
        <w:t xml:space="preserve">can address the </w:t>
      </w:r>
      <w:r w:rsidR="00FE2093">
        <w:rPr>
          <w:noProof/>
          <w:lang w:val="en-IE"/>
        </w:rPr>
        <w:t>nature of topics in the recently issued ITU-R</w:t>
      </w:r>
      <w:r w:rsidR="00F77C22">
        <w:rPr>
          <w:noProof/>
          <w:lang w:val="en-IE"/>
        </w:rPr>
        <w:t xml:space="preserve"> </w:t>
      </w:r>
      <w:r w:rsidR="00056420">
        <w:rPr>
          <w:rStyle w:val="FootnoteReference"/>
          <w:noProof/>
        </w:rPr>
        <w:footnoteReference w:id="20"/>
      </w:r>
      <w:r w:rsidR="00FE2093">
        <w:rPr>
          <w:noProof/>
          <w:lang w:val="en-IE"/>
        </w:rPr>
        <w:t xml:space="preserve"> recommendations.</w:t>
      </w:r>
      <w:r w:rsidR="00056420">
        <w:rPr>
          <w:noProof/>
          <w:lang w:val="en-IE"/>
        </w:rPr>
        <w:t xml:space="preserve"> Detailed specifications can be </w:t>
      </w:r>
      <w:r w:rsidR="00F77C22" w:rsidRPr="00FC48CF">
        <w:rPr>
          <w:noProof/>
          <w:lang w:val="en-IE"/>
        </w:rPr>
        <w:t xml:space="preserve">integrated </w:t>
      </w:r>
      <w:r w:rsidR="00F77C22" w:rsidRPr="002F0513">
        <w:rPr>
          <w:noProof/>
          <w:lang w:val="en-IE"/>
        </w:rPr>
        <w:t>in</w:t>
      </w:r>
      <w:r w:rsidR="00F77C22">
        <w:rPr>
          <w:noProof/>
          <w:lang w:val="en-IE"/>
        </w:rPr>
        <w:t>to relevant</w:t>
      </w:r>
      <w:r w:rsidR="00F77C22" w:rsidRPr="00FC48CF">
        <w:rPr>
          <w:noProof/>
          <w:lang w:val="en-IE"/>
        </w:rPr>
        <w:t xml:space="preserve"> harmonised standards</w:t>
      </w:r>
      <w:bookmarkStart w:id="96" w:name="_Hlk150271552"/>
      <w:r w:rsidR="00F27AFF" w:rsidRPr="00FC48CF">
        <w:rPr>
          <w:noProof/>
          <w:lang w:val="en-IE"/>
        </w:rPr>
        <w:t xml:space="preserve">. </w:t>
      </w:r>
    </w:p>
    <w:p w14:paraId="075898E8" w14:textId="664A57B4" w:rsidR="009A3AF6" w:rsidRPr="00FC48CF" w:rsidRDefault="009A3AF6" w:rsidP="003A3BD3">
      <w:pPr>
        <w:pStyle w:val="Heading2"/>
        <w:rPr>
          <w:noProof/>
          <w:color w:val="auto"/>
          <w:lang w:val="en-IE"/>
        </w:rPr>
      </w:pPr>
      <w:bookmarkStart w:id="97" w:name="_Ref139890130"/>
      <w:bookmarkStart w:id="98" w:name="_Toc152772505"/>
      <w:bookmarkStart w:id="99" w:name="_Toc151122129"/>
      <w:bookmarkStart w:id="100" w:name="_Toc156461250"/>
      <w:bookmarkEnd w:id="96"/>
      <w:r w:rsidRPr="00FC48CF">
        <w:rPr>
          <w:noProof/>
          <w:color w:val="auto"/>
          <w:lang w:val="en-IE"/>
        </w:rPr>
        <w:t>Formal objection</w:t>
      </w:r>
      <w:bookmarkEnd w:id="97"/>
      <w:r w:rsidR="003A3BD3" w:rsidRPr="00FC48CF">
        <w:rPr>
          <w:noProof/>
          <w:color w:val="auto"/>
          <w:lang w:val="en-IE"/>
        </w:rPr>
        <w:t xml:space="preserve"> </w:t>
      </w:r>
      <w:r w:rsidR="00D1670E" w:rsidRPr="002F0513">
        <w:rPr>
          <w:noProof/>
          <w:color w:val="auto"/>
          <w:lang w:val="en-IE"/>
        </w:rPr>
        <w:t>to</w:t>
      </w:r>
      <w:r w:rsidR="003A3BD3" w:rsidRPr="00FC48CF">
        <w:rPr>
          <w:noProof/>
          <w:color w:val="auto"/>
          <w:lang w:val="en-IE"/>
        </w:rPr>
        <w:t xml:space="preserve"> </w:t>
      </w:r>
      <w:r w:rsidR="00A83A44" w:rsidRPr="00FC48CF">
        <w:rPr>
          <w:noProof/>
          <w:color w:val="auto"/>
          <w:lang w:val="en-IE"/>
        </w:rPr>
        <w:t xml:space="preserve">the </w:t>
      </w:r>
      <w:r w:rsidR="00543DD7">
        <w:rPr>
          <w:noProof/>
          <w:color w:val="auto"/>
          <w:lang w:val="en-IE"/>
        </w:rPr>
        <w:t>SAR</w:t>
      </w:r>
      <w:r w:rsidR="003A3BD3" w:rsidRPr="00FC48CF">
        <w:rPr>
          <w:noProof/>
          <w:color w:val="auto"/>
          <w:lang w:val="en-IE"/>
        </w:rPr>
        <w:t xml:space="preserve"> measurement standard</w:t>
      </w:r>
      <w:bookmarkEnd w:id="98"/>
      <w:bookmarkEnd w:id="99"/>
      <w:bookmarkEnd w:id="100"/>
    </w:p>
    <w:p w14:paraId="73E2F59E" w14:textId="72E06CE9" w:rsidR="005E29C4" w:rsidRDefault="009A3AF6" w:rsidP="005E29C4">
      <w:pPr>
        <w:rPr>
          <w:noProof/>
          <w:lang w:val="en-IE"/>
        </w:rPr>
      </w:pPr>
      <w:r>
        <w:rPr>
          <w:noProof/>
          <w:lang w:val="en-IE"/>
        </w:rPr>
        <w:t xml:space="preserve">In 2022, France </w:t>
      </w:r>
      <w:r w:rsidRPr="002F0513">
        <w:rPr>
          <w:noProof/>
          <w:lang w:val="en-IE"/>
        </w:rPr>
        <w:t>formal</w:t>
      </w:r>
      <w:r w:rsidR="00772F68">
        <w:rPr>
          <w:noProof/>
          <w:lang w:val="en-IE"/>
        </w:rPr>
        <w:t>ly</w:t>
      </w:r>
      <w:r w:rsidRPr="002F0513">
        <w:rPr>
          <w:noProof/>
          <w:lang w:val="en-IE"/>
        </w:rPr>
        <w:t xml:space="preserve"> object</w:t>
      </w:r>
      <w:r w:rsidR="00772F68">
        <w:rPr>
          <w:noProof/>
          <w:lang w:val="en-IE"/>
        </w:rPr>
        <w:t>ed</w:t>
      </w:r>
      <w:r>
        <w:rPr>
          <w:noProof/>
          <w:lang w:val="en-IE"/>
        </w:rPr>
        <w:t xml:space="preserve"> </w:t>
      </w:r>
      <w:r w:rsidR="00772F68">
        <w:rPr>
          <w:noProof/>
          <w:lang w:val="en-IE"/>
        </w:rPr>
        <w:t xml:space="preserve">to </w:t>
      </w:r>
      <w:r w:rsidR="0024673B">
        <w:rPr>
          <w:noProof/>
          <w:lang w:val="en-IE"/>
        </w:rPr>
        <w:t xml:space="preserve">a </w:t>
      </w:r>
      <w:r w:rsidR="005E29C4">
        <w:rPr>
          <w:noProof/>
          <w:lang w:val="en-IE"/>
        </w:rPr>
        <w:t>harmonised</w:t>
      </w:r>
      <w:r>
        <w:rPr>
          <w:noProof/>
          <w:lang w:val="en-IE"/>
        </w:rPr>
        <w:t xml:space="preserve"> standard</w:t>
      </w:r>
      <w:r w:rsidR="0024673B">
        <w:rPr>
          <w:noProof/>
          <w:lang w:val="en-IE"/>
        </w:rPr>
        <w:t xml:space="preserve"> on SAR measurement</w:t>
      </w:r>
      <w:r w:rsidR="00D979E0" w:rsidRPr="002F0513">
        <w:rPr>
          <w:noProof/>
          <w:lang w:val="en-IE"/>
        </w:rPr>
        <w:t> </w:t>
      </w:r>
      <w:r w:rsidR="009F1AFE">
        <w:rPr>
          <w:rStyle w:val="FootnoteReference"/>
          <w:noProof/>
          <w:lang w:val="en-IE"/>
        </w:rPr>
        <w:footnoteReference w:id="21"/>
      </w:r>
      <w:r>
        <w:rPr>
          <w:noProof/>
          <w:lang w:val="en-IE"/>
        </w:rPr>
        <w:t xml:space="preserve">. </w:t>
      </w:r>
      <w:r w:rsidR="001360B6">
        <w:rPr>
          <w:noProof/>
          <w:lang w:val="en-IE"/>
        </w:rPr>
        <w:t>France</w:t>
      </w:r>
      <w:r w:rsidR="005E29C4" w:rsidRPr="005E29C4">
        <w:rPr>
          <w:noProof/>
          <w:lang w:val="en-IE"/>
        </w:rPr>
        <w:t xml:space="preserve"> </w:t>
      </w:r>
      <w:r w:rsidR="001360B6">
        <w:rPr>
          <w:noProof/>
          <w:lang w:val="en-IE"/>
        </w:rPr>
        <w:t>considers</w:t>
      </w:r>
      <w:r w:rsidR="001360B6" w:rsidRPr="005E29C4">
        <w:rPr>
          <w:noProof/>
          <w:lang w:val="en-IE"/>
        </w:rPr>
        <w:t xml:space="preserve"> </w:t>
      </w:r>
      <w:r w:rsidR="005E29C4" w:rsidRPr="005E29C4">
        <w:rPr>
          <w:noProof/>
          <w:lang w:val="en-IE"/>
        </w:rPr>
        <w:t>that it is</w:t>
      </w:r>
      <w:r w:rsidR="005E29C4">
        <w:rPr>
          <w:noProof/>
          <w:lang w:val="en-IE"/>
        </w:rPr>
        <w:t xml:space="preserve"> </w:t>
      </w:r>
      <w:r w:rsidR="005E29C4" w:rsidRPr="005E29C4">
        <w:rPr>
          <w:noProof/>
          <w:lang w:val="en-IE"/>
        </w:rPr>
        <w:t xml:space="preserve">necessary to revise </w:t>
      </w:r>
      <w:r w:rsidR="005E29C4">
        <w:rPr>
          <w:noProof/>
          <w:lang w:val="en-IE"/>
        </w:rPr>
        <w:t xml:space="preserve">this standard </w:t>
      </w:r>
      <w:r w:rsidR="005F1DCB">
        <w:rPr>
          <w:noProof/>
          <w:lang w:val="en-IE"/>
        </w:rPr>
        <w:t>because the current version</w:t>
      </w:r>
      <w:r w:rsidR="00772F68">
        <w:rPr>
          <w:noProof/>
          <w:lang w:val="en-IE"/>
        </w:rPr>
        <w:t xml:space="preserve"> allows </w:t>
      </w:r>
      <w:r w:rsidR="005F1DCB">
        <w:rPr>
          <w:noProof/>
          <w:lang w:val="en-IE"/>
        </w:rPr>
        <w:t xml:space="preserve">the manufacturer </w:t>
      </w:r>
      <w:r w:rsidR="00772F68">
        <w:rPr>
          <w:noProof/>
          <w:lang w:val="en-IE"/>
        </w:rPr>
        <w:t xml:space="preserve">to </w:t>
      </w:r>
      <w:r w:rsidR="005F1DCB">
        <w:rPr>
          <w:noProof/>
          <w:lang w:val="en-IE"/>
        </w:rPr>
        <w:t>freely cho</w:t>
      </w:r>
      <w:r w:rsidR="4AE3662D">
        <w:rPr>
          <w:noProof/>
          <w:lang w:val="en-IE"/>
        </w:rPr>
        <w:t>o</w:t>
      </w:r>
      <w:r w:rsidR="005F1DCB">
        <w:rPr>
          <w:noProof/>
          <w:lang w:val="en-IE"/>
        </w:rPr>
        <w:t>se a measurement distance between 0 and 5</w:t>
      </w:r>
      <w:r w:rsidR="0075085F" w:rsidRPr="002F0513">
        <w:rPr>
          <w:noProof/>
          <w:lang w:val="en-IE"/>
        </w:rPr>
        <w:t> </w:t>
      </w:r>
      <w:r w:rsidR="005F1DCB">
        <w:rPr>
          <w:noProof/>
          <w:lang w:val="en-IE"/>
        </w:rPr>
        <w:t>mm</w:t>
      </w:r>
      <w:r w:rsidR="005E29C4" w:rsidRPr="005E29C4">
        <w:rPr>
          <w:noProof/>
          <w:lang w:val="en-IE"/>
        </w:rPr>
        <w:t>.</w:t>
      </w:r>
      <w:r w:rsidR="003905EB">
        <w:rPr>
          <w:noProof/>
          <w:lang w:val="en-IE"/>
        </w:rPr>
        <w:t xml:space="preserve"> </w:t>
      </w:r>
      <w:r w:rsidR="001360B6">
        <w:rPr>
          <w:noProof/>
          <w:lang w:val="en-IE"/>
        </w:rPr>
        <w:t xml:space="preserve">It </w:t>
      </w:r>
      <w:r w:rsidR="003905EB">
        <w:rPr>
          <w:noProof/>
          <w:lang w:val="en-IE"/>
        </w:rPr>
        <w:t>consider</w:t>
      </w:r>
      <w:r w:rsidR="001360B6">
        <w:rPr>
          <w:noProof/>
          <w:lang w:val="en-IE"/>
        </w:rPr>
        <w:t>s</w:t>
      </w:r>
      <w:r w:rsidR="003905EB">
        <w:rPr>
          <w:noProof/>
          <w:lang w:val="en-IE"/>
        </w:rPr>
        <w:t xml:space="preserve"> that the standard should </w:t>
      </w:r>
      <w:r w:rsidR="00772F68">
        <w:rPr>
          <w:noProof/>
          <w:lang w:val="en-IE"/>
        </w:rPr>
        <w:t>specify</w:t>
      </w:r>
      <w:r w:rsidR="003905EB" w:rsidRPr="002F0513">
        <w:rPr>
          <w:noProof/>
          <w:lang w:val="en-IE"/>
        </w:rPr>
        <w:t xml:space="preserve"> </w:t>
      </w:r>
      <w:r w:rsidR="00772F68">
        <w:rPr>
          <w:noProof/>
          <w:lang w:val="en-IE"/>
        </w:rPr>
        <w:t xml:space="preserve">the </w:t>
      </w:r>
      <w:r w:rsidR="006B4C80">
        <w:rPr>
          <w:noProof/>
          <w:lang w:val="en-IE"/>
        </w:rPr>
        <w:t>measurement</w:t>
      </w:r>
      <w:r w:rsidR="003905EB">
        <w:rPr>
          <w:noProof/>
          <w:lang w:val="en-IE"/>
        </w:rPr>
        <w:t xml:space="preserve"> distance </w:t>
      </w:r>
      <w:r w:rsidR="00772F68">
        <w:rPr>
          <w:noProof/>
          <w:lang w:val="en-IE"/>
        </w:rPr>
        <w:t xml:space="preserve">at </w:t>
      </w:r>
      <w:r w:rsidR="003905EB">
        <w:rPr>
          <w:noProof/>
          <w:lang w:val="en-IE"/>
        </w:rPr>
        <w:t xml:space="preserve">which the maximum level is reached. </w:t>
      </w:r>
      <w:r w:rsidR="006B4C80">
        <w:rPr>
          <w:noProof/>
          <w:lang w:val="en-IE"/>
        </w:rPr>
        <w:t>T</w:t>
      </w:r>
      <w:r w:rsidR="003905EB" w:rsidRPr="002F0513">
        <w:rPr>
          <w:noProof/>
          <w:lang w:val="en-IE"/>
        </w:rPr>
        <w:t>he</w:t>
      </w:r>
      <w:r w:rsidR="003905EB">
        <w:rPr>
          <w:noProof/>
          <w:lang w:val="en-IE"/>
        </w:rPr>
        <w:t xml:space="preserve"> current approach</w:t>
      </w:r>
      <w:r w:rsidR="006B4C80">
        <w:rPr>
          <w:noProof/>
          <w:lang w:val="en-IE"/>
        </w:rPr>
        <w:t xml:space="preserve"> allows</w:t>
      </w:r>
      <w:r w:rsidR="003905EB">
        <w:rPr>
          <w:noProof/>
          <w:lang w:val="en-IE"/>
        </w:rPr>
        <w:t xml:space="preserve"> the manufacturer </w:t>
      </w:r>
      <w:r w:rsidR="006B4C80">
        <w:rPr>
          <w:noProof/>
          <w:lang w:val="en-IE"/>
        </w:rPr>
        <w:t xml:space="preserve">to </w:t>
      </w:r>
      <w:r w:rsidR="003905EB">
        <w:rPr>
          <w:noProof/>
          <w:lang w:val="en-IE"/>
        </w:rPr>
        <w:t xml:space="preserve">use a distance with </w:t>
      </w:r>
      <w:r w:rsidR="006B4C80">
        <w:rPr>
          <w:noProof/>
          <w:lang w:val="en-IE"/>
        </w:rPr>
        <w:t>a</w:t>
      </w:r>
      <w:r w:rsidR="003905EB" w:rsidRPr="002F0513">
        <w:rPr>
          <w:noProof/>
          <w:lang w:val="en-IE"/>
        </w:rPr>
        <w:t xml:space="preserve"> </w:t>
      </w:r>
      <w:r w:rsidR="003905EB">
        <w:rPr>
          <w:noProof/>
          <w:lang w:val="en-IE"/>
        </w:rPr>
        <w:t>lower SAR level.</w:t>
      </w:r>
    </w:p>
    <w:p w14:paraId="1BF915BA" w14:textId="263DBF3B" w:rsidR="009A3AF6" w:rsidRDefault="003905EB" w:rsidP="005E29C4">
      <w:pPr>
        <w:rPr>
          <w:noProof/>
          <w:lang w:val="en-IE"/>
        </w:rPr>
      </w:pPr>
      <w:r w:rsidRPr="0E79FF77">
        <w:rPr>
          <w:noProof/>
          <w:lang w:val="en-IE"/>
        </w:rPr>
        <w:t xml:space="preserve">The Commission requested a technical report </w:t>
      </w:r>
      <w:r w:rsidR="53972677" w:rsidRPr="0E79FF77">
        <w:rPr>
          <w:noProof/>
          <w:lang w:val="en-IE"/>
        </w:rPr>
        <w:t>from</w:t>
      </w:r>
      <w:r w:rsidRPr="0E79FF77">
        <w:rPr>
          <w:noProof/>
          <w:lang w:val="en-IE"/>
        </w:rPr>
        <w:t xml:space="preserve"> CENELEC</w:t>
      </w:r>
      <w:r w:rsidR="006B4C80">
        <w:rPr>
          <w:noProof/>
          <w:lang w:val="en-IE"/>
        </w:rPr>
        <w:t>, which</w:t>
      </w:r>
      <w:r w:rsidRPr="0E79FF77">
        <w:rPr>
          <w:noProof/>
          <w:lang w:val="en-IE"/>
        </w:rPr>
        <w:t xml:space="preserve"> </w:t>
      </w:r>
      <w:r w:rsidR="00D35EC4" w:rsidRPr="0E79FF77">
        <w:rPr>
          <w:noProof/>
          <w:lang w:val="en-IE"/>
        </w:rPr>
        <w:t>concluded</w:t>
      </w:r>
      <w:r w:rsidR="009A3AF6" w:rsidRPr="0E79FF77">
        <w:rPr>
          <w:noProof/>
          <w:lang w:val="en-IE"/>
        </w:rPr>
        <w:t xml:space="preserve"> that </w:t>
      </w:r>
      <w:r w:rsidR="005F1DCB" w:rsidRPr="0E79FF77">
        <w:rPr>
          <w:noProof/>
          <w:lang w:val="en-IE"/>
        </w:rPr>
        <w:t xml:space="preserve">the highest </w:t>
      </w:r>
      <w:r w:rsidR="009A3AF6" w:rsidRPr="0E79FF77">
        <w:rPr>
          <w:noProof/>
          <w:lang w:val="en-IE"/>
        </w:rPr>
        <w:t xml:space="preserve">SAR </w:t>
      </w:r>
      <w:r w:rsidR="006B4C80">
        <w:rPr>
          <w:noProof/>
          <w:lang w:val="en-IE"/>
        </w:rPr>
        <w:t xml:space="preserve">usually </w:t>
      </w:r>
      <w:r w:rsidR="009A3AF6" w:rsidRPr="0E79FF77">
        <w:rPr>
          <w:noProof/>
          <w:lang w:val="en-IE"/>
        </w:rPr>
        <w:t xml:space="preserve">occurs at a distance of </w:t>
      </w:r>
      <w:r w:rsidR="006B4C80">
        <w:rPr>
          <w:noProof/>
          <w:lang w:val="en-IE"/>
        </w:rPr>
        <w:t>0 mm</w:t>
      </w:r>
      <w:r w:rsidR="009A3AF6" w:rsidRPr="0E79FF77">
        <w:rPr>
          <w:noProof/>
          <w:lang w:val="en-IE"/>
        </w:rPr>
        <w:t xml:space="preserve">. </w:t>
      </w:r>
      <w:r w:rsidR="005F1DCB" w:rsidRPr="0E79FF77">
        <w:rPr>
          <w:noProof/>
          <w:lang w:val="en-IE"/>
        </w:rPr>
        <w:t>The expert group on radio equipment has broadly</w:t>
      </w:r>
      <w:r w:rsidR="00C34C50">
        <w:rPr>
          <w:noProof/>
          <w:lang w:val="en-IE"/>
        </w:rPr>
        <w:t xml:space="preserve"> agreed with this approach</w:t>
      </w:r>
      <w:r w:rsidR="005F1DCB" w:rsidRPr="0E79FF77">
        <w:rPr>
          <w:noProof/>
          <w:lang w:val="en-IE"/>
        </w:rPr>
        <w:t>. CENELEC</w:t>
      </w:r>
      <w:r w:rsidR="00F370C4">
        <w:rPr>
          <w:noProof/>
          <w:lang w:val="en-IE"/>
        </w:rPr>
        <w:t xml:space="preserve"> </w:t>
      </w:r>
      <w:r w:rsidR="00FD740A">
        <w:rPr>
          <w:noProof/>
          <w:lang w:val="en-IE"/>
        </w:rPr>
        <w:t>will update the relevant standard accordingly</w:t>
      </w:r>
      <w:r w:rsidR="005F1DCB" w:rsidRPr="0E79FF77">
        <w:rPr>
          <w:noProof/>
          <w:lang w:val="en-IE"/>
        </w:rPr>
        <w:t>.</w:t>
      </w:r>
    </w:p>
    <w:p w14:paraId="76A7CF1E" w14:textId="1F8CF256" w:rsidR="000C23B5" w:rsidRPr="00FC48CF" w:rsidRDefault="000C23B5" w:rsidP="009A3AF6">
      <w:pPr>
        <w:pStyle w:val="Heading2"/>
        <w:rPr>
          <w:noProof/>
          <w:color w:val="auto"/>
          <w:lang w:val="en-IE"/>
        </w:rPr>
      </w:pPr>
      <w:bookmarkStart w:id="101" w:name="_Ref139890904"/>
      <w:bookmarkStart w:id="102" w:name="_Ref139891534"/>
      <w:bookmarkStart w:id="103" w:name="_Toc152772506"/>
      <w:bookmarkStart w:id="104" w:name="_Toc151122130"/>
      <w:bookmarkStart w:id="105" w:name="_Toc156461251"/>
      <w:r w:rsidRPr="00FC48CF">
        <w:rPr>
          <w:noProof/>
          <w:color w:val="auto"/>
          <w:lang w:val="en-IE"/>
        </w:rPr>
        <w:t>Radio equipment in vehicles</w:t>
      </w:r>
      <w:bookmarkEnd w:id="101"/>
      <w:bookmarkEnd w:id="102"/>
      <w:bookmarkEnd w:id="103"/>
      <w:bookmarkEnd w:id="104"/>
      <w:bookmarkEnd w:id="105"/>
    </w:p>
    <w:p w14:paraId="6027ED3F" w14:textId="1E7BD26F" w:rsidR="0020158B" w:rsidRPr="0020158B" w:rsidRDefault="00C50688" w:rsidP="0020158B">
      <w:pPr>
        <w:rPr>
          <w:noProof/>
          <w:lang w:val="en-IE"/>
        </w:rPr>
      </w:pPr>
      <w:r>
        <w:rPr>
          <w:noProof/>
          <w:lang w:val="en-IE"/>
        </w:rPr>
        <w:t>T</w:t>
      </w:r>
      <w:r w:rsidR="00F83A0C" w:rsidRPr="7D11B24B">
        <w:rPr>
          <w:noProof/>
          <w:lang w:val="en-IE"/>
        </w:rPr>
        <w:t xml:space="preserve">he Commission </w:t>
      </w:r>
      <w:r w:rsidR="004C2559">
        <w:rPr>
          <w:noProof/>
          <w:lang w:val="en-IE"/>
        </w:rPr>
        <w:t>has drawn attention</w:t>
      </w:r>
      <w:r w:rsidR="00F83A0C" w:rsidRPr="7D11B24B">
        <w:rPr>
          <w:noProof/>
          <w:lang w:val="en-IE"/>
        </w:rPr>
        <w:t xml:space="preserve"> to the fact that vehicle manufacturers must ensure</w:t>
      </w:r>
      <w:r w:rsidR="004C2559">
        <w:rPr>
          <w:noProof/>
          <w:lang w:val="en-IE"/>
        </w:rPr>
        <w:t xml:space="preserve"> (</w:t>
      </w:r>
      <w:r w:rsidR="009F1AFE">
        <w:rPr>
          <w:noProof/>
          <w:lang w:val="en-IE"/>
        </w:rPr>
        <w:t>via a risk assessment</w:t>
      </w:r>
      <w:r w:rsidR="004C2559">
        <w:rPr>
          <w:noProof/>
          <w:lang w:val="en-IE"/>
        </w:rPr>
        <w:t>)</w:t>
      </w:r>
      <w:r w:rsidR="00F83A0C" w:rsidRPr="7D11B24B">
        <w:rPr>
          <w:noProof/>
          <w:lang w:val="en-IE"/>
        </w:rPr>
        <w:t xml:space="preserve"> that the RED-compliance of </w:t>
      </w:r>
      <w:r w:rsidR="00294FBE">
        <w:rPr>
          <w:noProof/>
          <w:lang w:val="en-IE"/>
        </w:rPr>
        <w:t>a</w:t>
      </w:r>
      <w:r w:rsidR="00294FBE" w:rsidRPr="7D11B24B">
        <w:rPr>
          <w:noProof/>
          <w:lang w:val="en-IE"/>
        </w:rPr>
        <w:t xml:space="preserve"> </w:t>
      </w:r>
      <w:r w:rsidR="00F83A0C" w:rsidRPr="7D11B24B">
        <w:rPr>
          <w:noProof/>
          <w:lang w:val="en-IE"/>
        </w:rPr>
        <w:t>wireless device</w:t>
      </w:r>
      <w:r w:rsidR="004C2559">
        <w:rPr>
          <w:noProof/>
          <w:lang w:val="en-IE"/>
        </w:rPr>
        <w:t xml:space="preserve"> is not altered</w:t>
      </w:r>
      <w:r w:rsidR="00F83A0C" w:rsidRPr="7D11B24B">
        <w:rPr>
          <w:noProof/>
          <w:lang w:val="en-IE"/>
        </w:rPr>
        <w:t xml:space="preserve"> </w:t>
      </w:r>
      <w:r w:rsidR="0011336E">
        <w:rPr>
          <w:noProof/>
          <w:lang w:val="en-IE"/>
        </w:rPr>
        <w:t xml:space="preserve">after </w:t>
      </w:r>
      <w:r w:rsidR="004C2559">
        <w:rPr>
          <w:noProof/>
          <w:lang w:val="en-IE"/>
        </w:rPr>
        <w:t xml:space="preserve">it has been </w:t>
      </w:r>
      <w:r w:rsidR="00F83A0C" w:rsidRPr="7D11B24B">
        <w:rPr>
          <w:noProof/>
          <w:lang w:val="en-IE"/>
        </w:rPr>
        <w:t xml:space="preserve">installed in the vehicle and </w:t>
      </w:r>
      <w:r w:rsidR="004C2559">
        <w:rPr>
          <w:noProof/>
          <w:lang w:val="en-IE"/>
        </w:rPr>
        <w:t>is</w:t>
      </w:r>
      <w:r w:rsidR="00F83A0C" w:rsidRPr="002F0513">
        <w:rPr>
          <w:noProof/>
          <w:lang w:val="en-IE"/>
        </w:rPr>
        <w:t xml:space="preserve"> </w:t>
      </w:r>
      <w:r w:rsidR="00F83A0C" w:rsidRPr="7D11B24B">
        <w:rPr>
          <w:noProof/>
          <w:lang w:val="en-IE"/>
        </w:rPr>
        <w:t xml:space="preserve">being operated with other pieces of radio equipment. </w:t>
      </w:r>
    </w:p>
    <w:p w14:paraId="2644800B" w14:textId="34469315" w:rsidR="00566AD3" w:rsidRPr="00FC48CF" w:rsidRDefault="00E702A7" w:rsidP="009A3AF6">
      <w:pPr>
        <w:pStyle w:val="Heading2"/>
        <w:rPr>
          <w:noProof/>
          <w:color w:val="auto"/>
          <w:lang w:val="en-IE"/>
        </w:rPr>
      </w:pPr>
      <w:bookmarkStart w:id="106" w:name="_Toc152772507"/>
      <w:bookmarkStart w:id="107" w:name="_Toc151122131"/>
      <w:bookmarkStart w:id="108" w:name="_Toc156461252"/>
      <w:r w:rsidRPr="00FC48CF">
        <w:rPr>
          <w:noProof/>
          <w:color w:val="auto"/>
          <w:lang w:val="en-IE"/>
        </w:rPr>
        <w:t xml:space="preserve">Interference </w:t>
      </w:r>
      <w:r w:rsidR="004C2559">
        <w:rPr>
          <w:noProof/>
          <w:color w:val="auto"/>
          <w:lang w:val="en-IE"/>
        </w:rPr>
        <w:t xml:space="preserve">with </w:t>
      </w:r>
      <w:r w:rsidRPr="00FC48CF">
        <w:rPr>
          <w:noProof/>
          <w:color w:val="auto"/>
          <w:lang w:val="en-IE"/>
        </w:rPr>
        <w:t>meteorological radars caused by 5 GHz RLAN equipment</w:t>
      </w:r>
      <w:bookmarkEnd w:id="106"/>
      <w:bookmarkEnd w:id="107"/>
      <w:bookmarkEnd w:id="108"/>
    </w:p>
    <w:p w14:paraId="275EC412" w14:textId="688DD9D3" w:rsidR="009A3AF6" w:rsidRDefault="518FE62C" w:rsidP="009A3AF6">
      <w:pPr>
        <w:rPr>
          <w:noProof/>
          <w:lang w:val="en-IE"/>
        </w:rPr>
      </w:pPr>
      <w:r w:rsidRPr="7A33909E">
        <w:rPr>
          <w:noProof/>
          <w:lang w:val="en-IE"/>
        </w:rPr>
        <w:t>Interference of 5 GHz</w:t>
      </w:r>
      <w:r w:rsidR="00DE684C">
        <w:rPr>
          <w:noProof/>
          <w:lang w:val="en-IE"/>
        </w:rPr>
        <w:t xml:space="preserve"> radio local area network</w:t>
      </w:r>
      <w:r w:rsidRPr="7A33909E">
        <w:rPr>
          <w:noProof/>
          <w:lang w:val="en-IE"/>
        </w:rPr>
        <w:t xml:space="preserve"> </w:t>
      </w:r>
      <w:r w:rsidR="00DE684C">
        <w:rPr>
          <w:noProof/>
          <w:lang w:val="en-IE"/>
        </w:rPr>
        <w:t>(</w:t>
      </w:r>
      <w:r w:rsidRPr="7A33909E">
        <w:rPr>
          <w:noProof/>
          <w:lang w:val="en-IE"/>
        </w:rPr>
        <w:t>RLAN</w:t>
      </w:r>
      <w:r w:rsidR="00DE684C">
        <w:rPr>
          <w:noProof/>
          <w:lang w:val="en-IE"/>
        </w:rPr>
        <w:t>)</w:t>
      </w:r>
      <w:r w:rsidRPr="7A33909E">
        <w:rPr>
          <w:noProof/>
          <w:lang w:val="en-IE"/>
        </w:rPr>
        <w:t xml:space="preserve"> equipment with meteorological radars </w:t>
      </w:r>
      <w:r w:rsidR="0011336E">
        <w:rPr>
          <w:noProof/>
          <w:lang w:val="en-IE"/>
        </w:rPr>
        <w:t>is</w:t>
      </w:r>
      <w:r w:rsidR="0011336E" w:rsidRPr="002F0513">
        <w:rPr>
          <w:noProof/>
          <w:lang w:val="en-IE"/>
        </w:rPr>
        <w:t xml:space="preserve"> </w:t>
      </w:r>
      <w:r w:rsidRPr="7A33909E">
        <w:rPr>
          <w:noProof/>
          <w:lang w:val="en-IE"/>
        </w:rPr>
        <w:t xml:space="preserve">a long-standing problem. Such </w:t>
      </w:r>
      <w:r w:rsidRPr="002F0513">
        <w:rPr>
          <w:noProof/>
          <w:lang w:val="en-IE"/>
        </w:rPr>
        <w:t>interference</w:t>
      </w:r>
      <w:r w:rsidR="004C2559">
        <w:rPr>
          <w:noProof/>
          <w:lang w:val="en-IE"/>
        </w:rPr>
        <w:t xml:space="preserve"> is</w:t>
      </w:r>
      <w:r w:rsidRPr="7A33909E">
        <w:rPr>
          <w:noProof/>
          <w:lang w:val="en-IE"/>
        </w:rPr>
        <w:t xml:space="preserve"> one of the main </w:t>
      </w:r>
      <w:r w:rsidR="0011336E">
        <w:rPr>
          <w:noProof/>
          <w:lang w:val="en-IE"/>
        </w:rPr>
        <w:t>concerns of</w:t>
      </w:r>
      <w:r w:rsidR="0011336E" w:rsidRPr="002F0513">
        <w:rPr>
          <w:noProof/>
          <w:lang w:val="en-IE"/>
        </w:rPr>
        <w:t xml:space="preserve"> </w:t>
      </w:r>
      <w:r w:rsidR="004C2559">
        <w:rPr>
          <w:noProof/>
          <w:lang w:val="en-IE"/>
        </w:rPr>
        <w:t xml:space="preserve">the </w:t>
      </w:r>
      <w:r w:rsidRPr="7A33909E">
        <w:rPr>
          <w:noProof/>
          <w:lang w:val="en-IE"/>
        </w:rPr>
        <w:t xml:space="preserve">weather radar </w:t>
      </w:r>
      <w:r w:rsidRPr="7A33909E">
        <w:rPr>
          <w:noProof/>
          <w:lang w:val="en-IE"/>
        </w:rPr>
        <w:lastRenderedPageBreak/>
        <w:t xml:space="preserve">community </w:t>
      </w:r>
      <w:r w:rsidR="004C2559">
        <w:rPr>
          <w:noProof/>
          <w:lang w:val="en-IE"/>
        </w:rPr>
        <w:t>because interference can impair</w:t>
      </w:r>
      <w:r w:rsidR="004C2559" w:rsidRPr="002F0513">
        <w:rPr>
          <w:noProof/>
          <w:lang w:val="en-IE"/>
        </w:rPr>
        <w:t xml:space="preserve"> </w:t>
      </w:r>
      <w:r w:rsidRPr="7A33909E">
        <w:rPr>
          <w:noProof/>
          <w:lang w:val="en-IE"/>
        </w:rPr>
        <w:t>data quality and post-processing algorithms. The</w:t>
      </w:r>
      <w:r w:rsidRPr="002F0513">
        <w:rPr>
          <w:noProof/>
          <w:lang w:val="en-IE"/>
        </w:rPr>
        <w:t xml:space="preserve"> </w:t>
      </w:r>
      <w:r w:rsidR="004C2559">
        <w:rPr>
          <w:noProof/>
          <w:lang w:val="en-IE"/>
        </w:rPr>
        <w:t>sources of</w:t>
      </w:r>
      <w:r w:rsidRPr="7A33909E">
        <w:rPr>
          <w:noProof/>
          <w:lang w:val="en-IE"/>
        </w:rPr>
        <w:t xml:space="preserve"> interference </w:t>
      </w:r>
      <w:r w:rsidR="22ACB629" w:rsidRPr="7A33909E">
        <w:rPr>
          <w:noProof/>
          <w:lang w:val="en-IE"/>
        </w:rPr>
        <w:t>are</w:t>
      </w:r>
      <w:r w:rsidRPr="7A33909E">
        <w:rPr>
          <w:noProof/>
          <w:lang w:val="en-IE"/>
        </w:rPr>
        <w:t xml:space="preserve"> difficult to track </w:t>
      </w:r>
      <w:r w:rsidR="004C2559">
        <w:rPr>
          <w:noProof/>
          <w:lang w:val="en-IE"/>
        </w:rPr>
        <w:t xml:space="preserve">because </w:t>
      </w:r>
      <w:r w:rsidRPr="7A33909E">
        <w:rPr>
          <w:noProof/>
          <w:lang w:val="en-IE"/>
        </w:rPr>
        <w:t xml:space="preserve">they are so short-lived. </w:t>
      </w:r>
    </w:p>
    <w:p w14:paraId="79949BBC" w14:textId="4068B9DD" w:rsidR="009A3AF6" w:rsidRDefault="382E80E4" w:rsidP="009A3AF6">
      <w:pPr>
        <w:rPr>
          <w:noProof/>
          <w:lang w:val="en-IE"/>
        </w:rPr>
      </w:pPr>
      <w:r>
        <w:rPr>
          <w:noProof/>
          <w:lang w:val="en-IE"/>
        </w:rPr>
        <w:t xml:space="preserve">The Commission </w:t>
      </w:r>
      <w:r w:rsidR="004C2559">
        <w:rPr>
          <w:noProof/>
          <w:lang w:val="en-IE"/>
        </w:rPr>
        <w:t>asked</w:t>
      </w:r>
      <w:r w:rsidR="004C2559" w:rsidRPr="002F0513">
        <w:rPr>
          <w:noProof/>
          <w:lang w:val="en-IE"/>
        </w:rPr>
        <w:t xml:space="preserve"> </w:t>
      </w:r>
      <w:r w:rsidR="00FE563A">
        <w:rPr>
          <w:noProof/>
          <w:lang w:val="en-IE"/>
        </w:rPr>
        <w:t>the</w:t>
      </w:r>
      <w:r w:rsidR="001F00D3">
        <w:rPr>
          <w:noProof/>
          <w:lang w:val="en-IE"/>
        </w:rPr>
        <w:t xml:space="preserve"> Joint Research Centre</w:t>
      </w:r>
      <w:r>
        <w:rPr>
          <w:noProof/>
          <w:lang w:val="en-IE"/>
        </w:rPr>
        <w:t xml:space="preserve"> </w:t>
      </w:r>
      <w:r w:rsidR="001F00D3">
        <w:rPr>
          <w:noProof/>
          <w:lang w:val="en-IE"/>
        </w:rPr>
        <w:t>(</w:t>
      </w:r>
      <w:r w:rsidR="518FE62C">
        <w:rPr>
          <w:noProof/>
          <w:lang w:val="en-IE"/>
        </w:rPr>
        <w:t>JRC</w:t>
      </w:r>
      <w:r w:rsidR="001F00D3">
        <w:rPr>
          <w:noProof/>
          <w:lang w:val="en-IE"/>
        </w:rPr>
        <w:t>)</w:t>
      </w:r>
      <w:r w:rsidR="518FE62C">
        <w:rPr>
          <w:noProof/>
          <w:lang w:val="en-IE"/>
        </w:rPr>
        <w:t xml:space="preserve"> </w:t>
      </w:r>
      <w:r>
        <w:rPr>
          <w:noProof/>
          <w:lang w:val="en-IE"/>
        </w:rPr>
        <w:t xml:space="preserve">to conduct a </w:t>
      </w:r>
      <w:hyperlink r:id="rId29" w:history="1">
        <w:r w:rsidR="518FE62C" w:rsidRPr="0073399A">
          <w:rPr>
            <w:rStyle w:val="Hyperlink"/>
            <w:noProof/>
            <w:lang w:val="en-IE"/>
          </w:rPr>
          <w:t>study</w:t>
        </w:r>
      </w:hyperlink>
      <w:r w:rsidR="518FE62C">
        <w:rPr>
          <w:noProof/>
          <w:lang w:val="en-IE"/>
        </w:rPr>
        <w:t xml:space="preserve"> </w:t>
      </w:r>
      <w:r>
        <w:rPr>
          <w:noProof/>
          <w:lang w:val="en-IE"/>
        </w:rPr>
        <w:t xml:space="preserve">to analyse the problem and propose solutions. </w:t>
      </w:r>
      <w:r w:rsidR="518FE62C">
        <w:rPr>
          <w:noProof/>
          <w:lang w:val="en-IE"/>
        </w:rPr>
        <w:t xml:space="preserve">None of these options </w:t>
      </w:r>
      <w:r w:rsidR="004C2559">
        <w:rPr>
          <w:noProof/>
          <w:lang w:val="en-IE"/>
        </w:rPr>
        <w:t xml:space="preserve">provides </w:t>
      </w:r>
      <w:r w:rsidR="518FE62C">
        <w:rPr>
          <w:noProof/>
          <w:lang w:val="en-IE"/>
        </w:rPr>
        <w:t xml:space="preserve">a </w:t>
      </w:r>
      <w:r w:rsidR="004C2559">
        <w:rPr>
          <w:noProof/>
          <w:lang w:val="en-IE"/>
        </w:rPr>
        <w:t xml:space="preserve">complete </w:t>
      </w:r>
      <w:r w:rsidR="518FE62C">
        <w:rPr>
          <w:noProof/>
          <w:lang w:val="en-IE"/>
        </w:rPr>
        <w:t>solution</w:t>
      </w:r>
      <w:r w:rsidR="004C2559">
        <w:rPr>
          <w:noProof/>
          <w:lang w:val="en-IE"/>
        </w:rPr>
        <w:t>, however,</w:t>
      </w:r>
      <w:r w:rsidRPr="002F0513">
        <w:rPr>
          <w:noProof/>
          <w:lang w:val="en-IE"/>
        </w:rPr>
        <w:t xml:space="preserve"> </w:t>
      </w:r>
      <w:r w:rsidR="004C2559">
        <w:rPr>
          <w:noProof/>
          <w:lang w:val="en-IE"/>
        </w:rPr>
        <w:t>because</w:t>
      </w:r>
      <w:r>
        <w:rPr>
          <w:noProof/>
          <w:lang w:val="en-IE"/>
        </w:rPr>
        <w:t xml:space="preserve"> the frequency band is shared by both services</w:t>
      </w:r>
      <w:r w:rsidR="518FE62C" w:rsidRPr="002F0513">
        <w:rPr>
          <w:noProof/>
          <w:lang w:val="en-IE"/>
        </w:rPr>
        <w:t xml:space="preserve">. </w:t>
      </w:r>
      <w:r w:rsidR="1D375C95" w:rsidRPr="002F0513">
        <w:rPr>
          <w:noProof/>
          <w:lang w:val="en-IE"/>
        </w:rPr>
        <w:t>Further</w:t>
      </w:r>
      <w:r w:rsidR="004C2559">
        <w:rPr>
          <w:noProof/>
          <w:lang w:val="en-IE"/>
        </w:rPr>
        <w:t>more</w:t>
      </w:r>
      <w:r w:rsidR="1D375C95">
        <w:rPr>
          <w:noProof/>
          <w:lang w:val="en-IE"/>
        </w:rPr>
        <w:t xml:space="preserve">, the most feasible solutions </w:t>
      </w:r>
      <w:r w:rsidR="004C2559">
        <w:rPr>
          <w:noProof/>
          <w:lang w:val="en-IE"/>
        </w:rPr>
        <w:t xml:space="preserve">would require </w:t>
      </w:r>
      <w:r w:rsidR="1D375C95" w:rsidRPr="002F0513">
        <w:rPr>
          <w:noProof/>
          <w:lang w:val="en-IE"/>
        </w:rPr>
        <w:t>improve</w:t>
      </w:r>
      <w:r w:rsidR="004C2559">
        <w:rPr>
          <w:noProof/>
          <w:lang w:val="en-IE"/>
        </w:rPr>
        <w:t>d</w:t>
      </w:r>
      <w:r w:rsidR="1D375C95">
        <w:rPr>
          <w:noProof/>
          <w:lang w:val="en-IE"/>
        </w:rPr>
        <w:t xml:space="preserve"> coordination among national authorities. </w:t>
      </w:r>
      <w:r>
        <w:rPr>
          <w:noProof/>
          <w:lang w:val="en-IE"/>
        </w:rPr>
        <w:t xml:space="preserve">The harmonised standard </w:t>
      </w:r>
      <w:r w:rsidRPr="00E702A7">
        <w:rPr>
          <w:noProof/>
          <w:lang w:val="en-IE"/>
        </w:rPr>
        <w:t>EN 301 893 V2.1.1</w:t>
      </w:r>
      <w:r w:rsidR="00C4528F">
        <w:rPr>
          <w:noProof/>
          <w:lang w:val="en-IE"/>
        </w:rPr>
        <w:t>, implementing the DFS</w:t>
      </w:r>
      <w:r w:rsidR="00C4528F" w:rsidRPr="002F0513">
        <w:rPr>
          <w:noProof/>
          <w:lang w:val="en-IE"/>
        </w:rPr>
        <w:t> </w:t>
      </w:r>
      <w:r w:rsidR="00C4528F">
        <w:rPr>
          <w:rStyle w:val="FootnoteReference"/>
          <w:noProof/>
          <w:lang w:val="en-IE"/>
        </w:rPr>
        <w:footnoteReference w:id="22"/>
      </w:r>
      <w:r w:rsidR="00C4528F">
        <w:rPr>
          <w:noProof/>
          <w:lang w:val="en-IE"/>
        </w:rPr>
        <w:t xml:space="preserve"> mechanism,</w:t>
      </w:r>
      <w:r>
        <w:rPr>
          <w:noProof/>
          <w:lang w:val="en-IE"/>
        </w:rPr>
        <w:t xml:space="preserve"> has been demonstrated to </w:t>
      </w:r>
      <w:r w:rsidR="009601B5">
        <w:rPr>
          <w:noProof/>
          <w:lang w:val="en-IE"/>
        </w:rPr>
        <w:t>be</w:t>
      </w:r>
      <w:r w:rsidRPr="002F0513">
        <w:rPr>
          <w:noProof/>
          <w:lang w:val="en-IE"/>
        </w:rPr>
        <w:t xml:space="preserve"> </w:t>
      </w:r>
      <w:r w:rsidR="009601B5">
        <w:rPr>
          <w:noProof/>
          <w:lang w:val="en-IE"/>
        </w:rPr>
        <w:t xml:space="preserve">a way </w:t>
      </w:r>
      <w:r w:rsidRPr="002F0513">
        <w:rPr>
          <w:noProof/>
          <w:lang w:val="en-IE"/>
        </w:rPr>
        <w:t xml:space="preserve">to </w:t>
      </w:r>
      <w:r>
        <w:rPr>
          <w:noProof/>
          <w:lang w:val="en-IE"/>
        </w:rPr>
        <w:t>avoid interference when properly use</w:t>
      </w:r>
      <w:r w:rsidR="00C4528F">
        <w:rPr>
          <w:noProof/>
          <w:lang w:val="en-IE"/>
        </w:rPr>
        <w:t>d</w:t>
      </w:r>
      <w:r>
        <w:rPr>
          <w:noProof/>
          <w:lang w:val="en-IE"/>
        </w:rPr>
        <w:t>.</w:t>
      </w:r>
      <w:r w:rsidR="002431D0">
        <w:rPr>
          <w:noProof/>
          <w:lang w:val="en-IE"/>
        </w:rPr>
        <w:t xml:space="preserve"> There are not shortcomings either regarding the current EU regulation on RLAN at 5 GHz</w:t>
      </w:r>
      <w:r w:rsidR="008F5192">
        <w:rPr>
          <w:noProof/>
          <w:lang w:val="en-IE"/>
        </w:rPr>
        <w:t xml:space="preserve"> </w:t>
      </w:r>
      <w:r w:rsidR="002431D0">
        <w:rPr>
          <w:rStyle w:val="FootnoteReference"/>
          <w:noProof/>
          <w:lang w:val="en-IE"/>
        </w:rPr>
        <w:footnoteReference w:id="23"/>
      </w:r>
      <w:r w:rsidR="002431D0">
        <w:rPr>
          <w:noProof/>
          <w:lang w:val="en-IE"/>
        </w:rPr>
        <w:t>.</w:t>
      </w:r>
    </w:p>
    <w:p w14:paraId="1D198F4B" w14:textId="4723AAAC" w:rsidR="00C20A8F" w:rsidRPr="00FC48CF" w:rsidRDefault="005F74CA" w:rsidP="00C20A8F">
      <w:pPr>
        <w:pStyle w:val="Heading2"/>
        <w:rPr>
          <w:noProof/>
          <w:color w:val="auto"/>
          <w:lang w:val="en-IE"/>
        </w:rPr>
      </w:pPr>
      <w:bookmarkStart w:id="109" w:name="_Toc152772508"/>
      <w:bookmarkStart w:id="110" w:name="_Toc151122132"/>
      <w:bookmarkStart w:id="111" w:name="_Toc156461253"/>
      <w:r w:rsidRPr="00FC48CF">
        <w:rPr>
          <w:noProof/>
          <w:color w:val="auto"/>
          <w:lang w:val="en-IE"/>
        </w:rPr>
        <w:t>Access to the emergency services using the VoLTE technology</w:t>
      </w:r>
      <w:bookmarkEnd w:id="109"/>
      <w:bookmarkEnd w:id="110"/>
      <w:bookmarkEnd w:id="111"/>
    </w:p>
    <w:p w14:paraId="7C27CE33" w14:textId="5BE251D0" w:rsidR="000D79C3" w:rsidRDefault="48F8D846" w:rsidP="000C23B5">
      <w:pPr>
        <w:rPr>
          <w:noProof/>
          <w:lang w:val="en-IE"/>
        </w:rPr>
      </w:pPr>
      <w:r>
        <w:rPr>
          <w:noProof/>
          <w:lang w:val="en-IE"/>
        </w:rPr>
        <w:t>In 2022, the Netherlands</w:t>
      </w:r>
      <w:r w:rsidRPr="00297C08">
        <w:rPr>
          <w:noProof/>
          <w:lang w:val="en-IE"/>
        </w:rPr>
        <w:t xml:space="preserve"> </w:t>
      </w:r>
      <w:r>
        <w:rPr>
          <w:noProof/>
          <w:lang w:val="en-IE"/>
        </w:rPr>
        <w:t>raised the issue of</w:t>
      </w:r>
      <w:r w:rsidRPr="00297C08">
        <w:rPr>
          <w:noProof/>
          <w:lang w:val="en-IE"/>
        </w:rPr>
        <w:t xml:space="preserve"> the lack of interoperability of VoLTE</w:t>
      </w:r>
      <w:r w:rsidR="00D979E0" w:rsidRPr="002F0513">
        <w:rPr>
          <w:noProof/>
          <w:lang w:val="en-IE"/>
        </w:rPr>
        <w:t> </w:t>
      </w:r>
      <w:r w:rsidR="005F74CA">
        <w:rPr>
          <w:rStyle w:val="FootnoteReference"/>
          <w:noProof/>
          <w:lang w:val="en-IE"/>
        </w:rPr>
        <w:footnoteReference w:id="24"/>
      </w:r>
      <w:r w:rsidRPr="00297C08">
        <w:rPr>
          <w:noProof/>
          <w:lang w:val="en-IE"/>
        </w:rPr>
        <w:t xml:space="preserve"> technology</w:t>
      </w:r>
      <w:r w:rsidR="0DF4F65E">
        <w:rPr>
          <w:noProof/>
          <w:lang w:val="en-IE"/>
        </w:rPr>
        <w:t xml:space="preserve"> </w:t>
      </w:r>
      <w:r w:rsidR="00294FBE">
        <w:rPr>
          <w:noProof/>
          <w:lang w:val="en-IE"/>
        </w:rPr>
        <w:t>for voice calls</w:t>
      </w:r>
      <w:r w:rsidRPr="00297C08">
        <w:rPr>
          <w:noProof/>
          <w:lang w:val="en-IE"/>
        </w:rPr>
        <w:t>.</w:t>
      </w:r>
      <w:r w:rsidR="0DF4F65E">
        <w:rPr>
          <w:noProof/>
          <w:lang w:val="en-IE"/>
        </w:rPr>
        <w:t xml:space="preserve"> </w:t>
      </w:r>
      <w:r w:rsidR="00294FBE">
        <w:rPr>
          <w:noProof/>
          <w:lang w:val="en-IE"/>
        </w:rPr>
        <w:t xml:space="preserve">Quite often </w:t>
      </w:r>
      <w:r w:rsidR="0DF4F65E">
        <w:rPr>
          <w:noProof/>
          <w:lang w:val="en-IE"/>
        </w:rPr>
        <w:t xml:space="preserve">voice calls </w:t>
      </w:r>
      <w:r w:rsidR="00294FBE">
        <w:rPr>
          <w:noProof/>
          <w:lang w:val="en-IE"/>
        </w:rPr>
        <w:t xml:space="preserve">cannot </w:t>
      </w:r>
      <w:r w:rsidR="0DF4F65E" w:rsidRPr="002F0513">
        <w:rPr>
          <w:noProof/>
          <w:lang w:val="en-IE"/>
        </w:rPr>
        <w:t>be</w:t>
      </w:r>
      <w:r w:rsidR="0DF4F65E">
        <w:rPr>
          <w:noProof/>
          <w:lang w:val="en-IE"/>
        </w:rPr>
        <w:t xml:space="preserve"> established when </w:t>
      </w:r>
      <w:r w:rsidR="00294FBE">
        <w:rPr>
          <w:noProof/>
          <w:lang w:val="en-IE"/>
        </w:rPr>
        <w:t>a</w:t>
      </w:r>
      <w:r w:rsidR="0DF4F65E">
        <w:rPr>
          <w:noProof/>
          <w:lang w:val="en-IE"/>
        </w:rPr>
        <w:t xml:space="preserve"> smartphone is used in the network of a different operator (roaming service)</w:t>
      </w:r>
      <w:r w:rsidR="00294FBE">
        <w:rPr>
          <w:noProof/>
          <w:lang w:val="en-IE"/>
        </w:rPr>
        <w:t xml:space="preserve"> that has shut down </w:t>
      </w:r>
      <w:r w:rsidR="31661A1C">
        <w:rPr>
          <w:noProof/>
          <w:lang w:val="en-IE"/>
        </w:rPr>
        <w:t>2G and 3G networks.</w:t>
      </w:r>
      <w:r w:rsidR="00383527">
        <w:rPr>
          <w:noProof/>
          <w:lang w:val="en-IE"/>
        </w:rPr>
        <w:t xml:space="preserve"> T</w:t>
      </w:r>
      <w:r w:rsidR="31661A1C" w:rsidRPr="7A33909E">
        <w:rPr>
          <w:noProof/>
          <w:lang w:val="en-IE"/>
        </w:rPr>
        <w:t xml:space="preserve">his issue is especially problematic </w:t>
      </w:r>
      <w:r w:rsidR="00294FBE">
        <w:rPr>
          <w:noProof/>
          <w:lang w:val="en-IE"/>
        </w:rPr>
        <w:t>for the access of</w:t>
      </w:r>
      <w:r w:rsidR="31661A1C" w:rsidRPr="7A33909E">
        <w:rPr>
          <w:noProof/>
          <w:lang w:val="en-IE"/>
        </w:rPr>
        <w:t xml:space="preserve"> emergency services (E112</w:t>
      </w:r>
      <w:r w:rsidR="31661A1C" w:rsidRPr="002F0513">
        <w:rPr>
          <w:noProof/>
          <w:lang w:val="en-IE"/>
        </w:rPr>
        <w:t>)</w:t>
      </w:r>
      <w:r w:rsidR="009601B5">
        <w:rPr>
          <w:noProof/>
          <w:lang w:val="en-IE"/>
        </w:rPr>
        <w:t xml:space="preserve"> because</w:t>
      </w:r>
      <w:r w:rsidR="31661A1C" w:rsidRPr="7A33909E">
        <w:rPr>
          <w:noProof/>
          <w:lang w:val="en-IE"/>
        </w:rPr>
        <w:t xml:space="preserve"> there is no alternative to </w:t>
      </w:r>
      <w:r w:rsidR="3A17919B" w:rsidRPr="7A33909E">
        <w:rPr>
          <w:noProof/>
          <w:lang w:val="en-IE"/>
        </w:rPr>
        <w:t xml:space="preserve">a </w:t>
      </w:r>
      <w:r w:rsidR="31661A1C" w:rsidRPr="7A33909E">
        <w:rPr>
          <w:noProof/>
          <w:lang w:val="en-IE"/>
        </w:rPr>
        <w:t>voice call.</w:t>
      </w:r>
    </w:p>
    <w:p w14:paraId="15C3142A" w14:textId="3A4AD690" w:rsidR="005F74CA" w:rsidRDefault="005F74CA" w:rsidP="7A33909E">
      <w:pPr>
        <w:rPr>
          <w:noProof/>
          <w:lang w:val="en-IE"/>
        </w:rPr>
      </w:pPr>
      <w:r>
        <w:rPr>
          <w:noProof/>
          <w:lang w:val="en-IE"/>
        </w:rPr>
        <w:t xml:space="preserve">The technical specifications of the cellular network </w:t>
      </w:r>
      <w:r w:rsidR="000D79C3">
        <w:rPr>
          <w:noProof/>
          <w:lang w:val="en-IE"/>
        </w:rPr>
        <w:t>are developed by 3GPP, a global partnership in which ETSI participates.</w:t>
      </w:r>
      <w:r w:rsidR="00383527">
        <w:rPr>
          <w:noProof/>
          <w:lang w:val="en-IE"/>
        </w:rPr>
        <w:t xml:space="preserve"> </w:t>
      </w:r>
      <w:r w:rsidR="31661A1C" w:rsidRPr="7A33909E">
        <w:rPr>
          <w:noProof/>
          <w:lang w:val="en-IE"/>
        </w:rPr>
        <w:t xml:space="preserve">ETSI has presented a report </w:t>
      </w:r>
      <w:r w:rsidR="003A627A">
        <w:rPr>
          <w:noProof/>
          <w:lang w:val="en-IE"/>
        </w:rPr>
        <w:t>which concludes that</w:t>
      </w:r>
      <w:r w:rsidR="31661A1C" w:rsidRPr="7A33909E">
        <w:rPr>
          <w:noProof/>
          <w:lang w:val="en-IE"/>
        </w:rPr>
        <w:t xml:space="preserve"> </w:t>
      </w:r>
      <w:r w:rsidR="001B4307">
        <w:rPr>
          <w:noProof/>
          <w:lang w:val="en-IE"/>
        </w:rPr>
        <w:t>this issue</w:t>
      </w:r>
      <w:r w:rsidR="31661A1C" w:rsidRPr="7A33909E">
        <w:rPr>
          <w:noProof/>
          <w:lang w:val="en-IE"/>
        </w:rPr>
        <w:t xml:space="preserve"> </w:t>
      </w:r>
      <w:r w:rsidR="003A627A">
        <w:rPr>
          <w:noProof/>
          <w:lang w:val="en-IE"/>
        </w:rPr>
        <w:t xml:space="preserve">is </w:t>
      </w:r>
      <w:r w:rsidR="31661A1C" w:rsidRPr="7A33909E">
        <w:rPr>
          <w:noProof/>
          <w:lang w:val="en-IE"/>
        </w:rPr>
        <w:t xml:space="preserve">mainly </w:t>
      </w:r>
      <w:r w:rsidR="009601B5">
        <w:rPr>
          <w:noProof/>
          <w:lang w:val="en-IE"/>
        </w:rPr>
        <w:t>due to</w:t>
      </w:r>
      <w:r w:rsidR="31661A1C" w:rsidRPr="7A33909E">
        <w:rPr>
          <w:noProof/>
          <w:lang w:val="en-IE"/>
        </w:rPr>
        <w:t xml:space="preserve"> </w:t>
      </w:r>
      <w:r w:rsidR="003A627A">
        <w:rPr>
          <w:noProof/>
          <w:lang w:val="en-IE"/>
        </w:rPr>
        <w:t>the</w:t>
      </w:r>
      <w:r w:rsidR="003A627A" w:rsidRPr="7A33909E">
        <w:rPr>
          <w:noProof/>
          <w:lang w:val="en-IE"/>
        </w:rPr>
        <w:t xml:space="preserve"> </w:t>
      </w:r>
      <w:r w:rsidR="31661A1C" w:rsidRPr="7A33909E">
        <w:rPr>
          <w:noProof/>
          <w:lang w:val="en-IE"/>
        </w:rPr>
        <w:t xml:space="preserve">lack of </w:t>
      </w:r>
      <w:r w:rsidR="00A83A44">
        <w:rPr>
          <w:noProof/>
          <w:lang w:val="en-IE"/>
        </w:rPr>
        <w:t xml:space="preserve">commercial </w:t>
      </w:r>
      <w:r w:rsidR="31661A1C" w:rsidRPr="7A33909E">
        <w:rPr>
          <w:noProof/>
          <w:lang w:val="en-IE"/>
        </w:rPr>
        <w:t>agreement</w:t>
      </w:r>
      <w:r w:rsidR="00A83A44">
        <w:rPr>
          <w:noProof/>
          <w:lang w:val="en-IE"/>
        </w:rPr>
        <w:t>s</w:t>
      </w:r>
      <w:r w:rsidR="31661A1C" w:rsidRPr="7A33909E">
        <w:rPr>
          <w:noProof/>
          <w:lang w:val="en-IE"/>
        </w:rPr>
        <w:t xml:space="preserve"> </w:t>
      </w:r>
      <w:r w:rsidR="009601B5">
        <w:rPr>
          <w:noProof/>
          <w:lang w:val="en-IE"/>
        </w:rPr>
        <w:t xml:space="preserve">between </w:t>
      </w:r>
      <w:r w:rsidR="31661A1C" w:rsidRPr="7A33909E">
        <w:rPr>
          <w:noProof/>
          <w:lang w:val="en-IE"/>
        </w:rPr>
        <w:t>network operators</w:t>
      </w:r>
      <w:r w:rsidR="009601B5">
        <w:rPr>
          <w:noProof/>
          <w:lang w:val="en-IE"/>
        </w:rPr>
        <w:t>, which in turn</w:t>
      </w:r>
      <w:r w:rsidR="31661A1C" w:rsidRPr="7A33909E">
        <w:rPr>
          <w:noProof/>
          <w:lang w:val="en-IE"/>
        </w:rPr>
        <w:t xml:space="preserve"> prevents the </w:t>
      </w:r>
      <w:r w:rsidR="003A627A">
        <w:rPr>
          <w:noProof/>
          <w:lang w:val="en-IE"/>
        </w:rPr>
        <w:t xml:space="preserve">VoLTE </w:t>
      </w:r>
      <w:r w:rsidR="31661A1C" w:rsidRPr="7A33909E">
        <w:rPr>
          <w:noProof/>
          <w:lang w:val="en-IE"/>
        </w:rPr>
        <w:t xml:space="preserve">service from being fully </w:t>
      </w:r>
      <w:r w:rsidR="003A627A" w:rsidRPr="7A33909E">
        <w:rPr>
          <w:noProof/>
          <w:lang w:val="en-IE"/>
        </w:rPr>
        <w:t>operat</w:t>
      </w:r>
      <w:r w:rsidR="003A627A">
        <w:rPr>
          <w:noProof/>
          <w:lang w:val="en-IE"/>
        </w:rPr>
        <w:t>ional</w:t>
      </w:r>
      <w:r w:rsidR="31661A1C" w:rsidRPr="7A33909E">
        <w:rPr>
          <w:noProof/>
          <w:lang w:val="en-IE"/>
        </w:rPr>
        <w:t>.</w:t>
      </w:r>
    </w:p>
    <w:p w14:paraId="1864F687" w14:textId="6A1140F2" w:rsidR="005F74CA" w:rsidRDefault="00383527" w:rsidP="000C23B5">
      <w:pPr>
        <w:rPr>
          <w:noProof/>
          <w:lang w:val="en-IE"/>
        </w:rPr>
      </w:pPr>
      <w:r>
        <w:rPr>
          <w:noProof/>
          <w:lang w:val="en-IE"/>
        </w:rPr>
        <w:t>The</w:t>
      </w:r>
      <w:r w:rsidRPr="002F0513">
        <w:rPr>
          <w:noProof/>
          <w:lang w:val="en-IE"/>
        </w:rPr>
        <w:t xml:space="preserve"> </w:t>
      </w:r>
      <w:r w:rsidR="00AF4840">
        <w:rPr>
          <w:noProof/>
          <w:lang w:val="en-IE"/>
        </w:rPr>
        <w:t>Commission’s</w:t>
      </w:r>
      <w:r>
        <w:rPr>
          <w:noProof/>
          <w:lang w:val="en-IE"/>
        </w:rPr>
        <w:t xml:space="preserve"> provisional conclusion </w:t>
      </w:r>
      <w:r w:rsidR="00A32EB4">
        <w:rPr>
          <w:noProof/>
          <w:lang w:val="en-IE"/>
        </w:rPr>
        <w:t xml:space="preserve">services </w:t>
      </w:r>
      <w:r>
        <w:rPr>
          <w:noProof/>
          <w:lang w:val="en-IE"/>
        </w:rPr>
        <w:t>is that t</w:t>
      </w:r>
      <w:r w:rsidR="31661A1C" w:rsidRPr="7A33909E">
        <w:rPr>
          <w:noProof/>
          <w:lang w:val="en-IE"/>
        </w:rPr>
        <w:t>he RED is not the</w:t>
      </w:r>
      <w:r w:rsidR="00CF6FC5">
        <w:rPr>
          <w:noProof/>
          <w:lang w:val="en-IE"/>
        </w:rPr>
        <w:t xml:space="preserve"> right</w:t>
      </w:r>
      <w:r w:rsidR="31661A1C" w:rsidRPr="7A33909E">
        <w:rPr>
          <w:noProof/>
          <w:lang w:val="en-IE"/>
        </w:rPr>
        <w:t xml:space="preserve"> tool to address this issue </w:t>
      </w:r>
      <w:r w:rsidR="00AF4840">
        <w:rPr>
          <w:noProof/>
          <w:lang w:val="en-IE"/>
        </w:rPr>
        <w:t xml:space="preserve">because </w:t>
      </w:r>
      <w:r w:rsidR="2F823083" w:rsidRPr="7A33909E">
        <w:rPr>
          <w:noProof/>
          <w:lang w:val="en-IE"/>
        </w:rPr>
        <w:t xml:space="preserve">the </w:t>
      </w:r>
      <w:r w:rsidR="00AF4840">
        <w:rPr>
          <w:noProof/>
          <w:lang w:val="en-IE"/>
        </w:rPr>
        <w:t xml:space="preserve">RED </w:t>
      </w:r>
      <w:r w:rsidR="020E2D16" w:rsidRPr="7A33909E">
        <w:rPr>
          <w:noProof/>
          <w:lang w:val="en-IE"/>
        </w:rPr>
        <w:t>cannot</w:t>
      </w:r>
      <w:r w:rsidR="31661A1C" w:rsidRPr="7A33909E">
        <w:rPr>
          <w:noProof/>
          <w:lang w:val="en-IE"/>
        </w:rPr>
        <w:t xml:space="preserve"> impose any obligation</w:t>
      </w:r>
      <w:r w:rsidR="162021C4" w:rsidRPr="7A33909E">
        <w:rPr>
          <w:noProof/>
          <w:lang w:val="en-IE"/>
        </w:rPr>
        <w:t>s</w:t>
      </w:r>
      <w:r w:rsidR="31661A1C" w:rsidRPr="7A33909E">
        <w:rPr>
          <w:noProof/>
          <w:lang w:val="en-IE"/>
        </w:rPr>
        <w:t xml:space="preserve"> </w:t>
      </w:r>
      <w:r w:rsidR="365C6A17" w:rsidRPr="7A33909E">
        <w:rPr>
          <w:noProof/>
          <w:lang w:val="en-IE"/>
        </w:rPr>
        <w:t xml:space="preserve">on </w:t>
      </w:r>
      <w:r w:rsidR="31661A1C" w:rsidRPr="7A33909E">
        <w:rPr>
          <w:noProof/>
          <w:lang w:val="en-IE"/>
        </w:rPr>
        <w:t>network operators.</w:t>
      </w:r>
    </w:p>
    <w:p w14:paraId="3687A288" w14:textId="1A49A35F" w:rsidR="000C23B5" w:rsidRPr="00FC48CF" w:rsidRDefault="000C23B5" w:rsidP="000C23B5">
      <w:pPr>
        <w:pStyle w:val="Heading2"/>
        <w:rPr>
          <w:noProof/>
          <w:color w:val="auto"/>
          <w:lang w:val="en-IE"/>
        </w:rPr>
      </w:pPr>
      <w:bookmarkStart w:id="112" w:name="_Ref139890635"/>
      <w:bookmarkStart w:id="113" w:name="_Ref139891574"/>
      <w:bookmarkStart w:id="114" w:name="_Toc152772509"/>
      <w:bookmarkStart w:id="115" w:name="_Toc151122133"/>
      <w:bookmarkStart w:id="116" w:name="_Toc156461254"/>
      <w:r w:rsidRPr="00FC48CF">
        <w:rPr>
          <w:noProof/>
          <w:color w:val="auto"/>
          <w:lang w:val="en-IE"/>
        </w:rPr>
        <w:t>eLabelling</w:t>
      </w:r>
      <w:bookmarkEnd w:id="112"/>
      <w:bookmarkEnd w:id="113"/>
      <w:bookmarkEnd w:id="114"/>
      <w:bookmarkEnd w:id="115"/>
      <w:bookmarkEnd w:id="116"/>
    </w:p>
    <w:p w14:paraId="3D403EAC" w14:textId="4608E26A" w:rsidR="00BA1426" w:rsidRDefault="00935EF5" w:rsidP="00BA1426">
      <w:pPr>
        <w:rPr>
          <w:noProof/>
          <w:lang w:val="en-IE"/>
        </w:rPr>
      </w:pPr>
      <w:r>
        <w:rPr>
          <w:noProof/>
          <w:lang w:val="en-IE"/>
        </w:rPr>
        <w:t>The industry has proposed implement</w:t>
      </w:r>
      <w:r w:rsidR="00F43777">
        <w:rPr>
          <w:noProof/>
          <w:lang w:val="en-IE"/>
        </w:rPr>
        <w:t>ing</w:t>
      </w:r>
      <w:r>
        <w:rPr>
          <w:noProof/>
          <w:lang w:val="en-IE"/>
        </w:rPr>
        <w:t xml:space="preserve"> requested marks and information in digital format. </w:t>
      </w:r>
      <w:r w:rsidR="00AF4840">
        <w:rPr>
          <w:noProof/>
          <w:lang w:val="en-IE"/>
        </w:rPr>
        <w:t xml:space="preserve">The </w:t>
      </w:r>
      <w:r w:rsidRPr="002F0513">
        <w:rPr>
          <w:noProof/>
          <w:lang w:val="en-IE"/>
        </w:rPr>
        <w:t>aim</w:t>
      </w:r>
      <w:r w:rsidR="00AF4840">
        <w:rPr>
          <w:noProof/>
          <w:lang w:val="en-IE"/>
        </w:rPr>
        <w:t xml:space="preserve"> is to</w:t>
      </w:r>
      <w:r>
        <w:rPr>
          <w:noProof/>
          <w:lang w:val="en-IE"/>
        </w:rPr>
        <w:t xml:space="preserve"> </w:t>
      </w:r>
      <w:r w:rsidRPr="002F0513">
        <w:rPr>
          <w:noProof/>
          <w:lang w:val="en-IE"/>
        </w:rPr>
        <w:t>improv</w:t>
      </w:r>
      <w:r w:rsidR="00AF4840">
        <w:rPr>
          <w:noProof/>
          <w:lang w:val="en-IE"/>
        </w:rPr>
        <w:t>e</w:t>
      </w:r>
      <w:r>
        <w:rPr>
          <w:noProof/>
          <w:lang w:val="en-IE"/>
        </w:rPr>
        <w:t xml:space="preserve"> the </w:t>
      </w:r>
      <w:r w:rsidR="00AF4840">
        <w:rPr>
          <w:noProof/>
          <w:lang w:val="en-IE"/>
        </w:rPr>
        <w:t xml:space="preserve">industry’s </w:t>
      </w:r>
      <w:r>
        <w:rPr>
          <w:noProof/>
          <w:lang w:val="en-IE"/>
        </w:rPr>
        <w:t xml:space="preserve">competitiveness </w:t>
      </w:r>
      <w:r w:rsidR="00AF4840">
        <w:rPr>
          <w:noProof/>
          <w:lang w:val="en-IE"/>
        </w:rPr>
        <w:t xml:space="preserve">by ending the need to </w:t>
      </w:r>
      <w:r w:rsidR="009A6EA4">
        <w:rPr>
          <w:noProof/>
          <w:lang w:val="en-IE"/>
        </w:rPr>
        <w:t>provide</w:t>
      </w:r>
      <w:r w:rsidR="00AF4840">
        <w:rPr>
          <w:noProof/>
          <w:lang w:val="en-IE"/>
        </w:rPr>
        <w:t xml:space="preserve"> </w:t>
      </w:r>
      <w:r>
        <w:rPr>
          <w:noProof/>
          <w:lang w:val="en-IE"/>
        </w:rPr>
        <w:t xml:space="preserve">printed information. </w:t>
      </w:r>
      <w:r w:rsidR="00AF4840">
        <w:rPr>
          <w:noProof/>
          <w:lang w:val="en-IE"/>
        </w:rPr>
        <w:t xml:space="preserve">It </w:t>
      </w:r>
      <w:r>
        <w:rPr>
          <w:noProof/>
          <w:lang w:val="en-IE"/>
        </w:rPr>
        <w:t xml:space="preserve">would also be </w:t>
      </w:r>
      <w:r w:rsidR="00AF4840">
        <w:rPr>
          <w:noProof/>
          <w:lang w:val="en-IE"/>
        </w:rPr>
        <w:t xml:space="preserve">consistent with </w:t>
      </w:r>
      <w:r>
        <w:rPr>
          <w:noProof/>
          <w:lang w:val="en-IE"/>
        </w:rPr>
        <w:t xml:space="preserve">the </w:t>
      </w:r>
      <w:r w:rsidR="00AF4840">
        <w:rPr>
          <w:noProof/>
          <w:lang w:val="en-IE"/>
        </w:rPr>
        <w:t xml:space="preserve">EU’s </w:t>
      </w:r>
      <w:r>
        <w:rPr>
          <w:noProof/>
          <w:lang w:val="en-IE"/>
        </w:rPr>
        <w:t xml:space="preserve">green </w:t>
      </w:r>
      <w:r w:rsidR="00AF4840">
        <w:rPr>
          <w:noProof/>
          <w:lang w:val="en-IE"/>
        </w:rPr>
        <w:t>approach</w:t>
      </w:r>
      <w:r>
        <w:rPr>
          <w:noProof/>
          <w:lang w:val="en-IE"/>
        </w:rPr>
        <w:t>.</w:t>
      </w:r>
    </w:p>
    <w:p w14:paraId="0F9DA580" w14:textId="5DE2CDCE" w:rsidR="00935EF5" w:rsidRPr="00BA1426" w:rsidRDefault="003A627A" w:rsidP="00BA1426">
      <w:pPr>
        <w:rPr>
          <w:noProof/>
          <w:lang w:val="en-IE"/>
        </w:rPr>
      </w:pPr>
      <w:r>
        <w:rPr>
          <w:noProof/>
          <w:lang w:val="en-IE"/>
        </w:rPr>
        <w:t xml:space="preserve">Several </w:t>
      </w:r>
      <w:r w:rsidR="00935EF5" w:rsidRPr="0E79FF77">
        <w:rPr>
          <w:noProof/>
          <w:lang w:val="en-IE"/>
        </w:rPr>
        <w:t xml:space="preserve">Member States </w:t>
      </w:r>
      <w:r w:rsidR="00AF4840">
        <w:rPr>
          <w:noProof/>
          <w:lang w:val="en-IE"/>
        </w:rPr>
        <w:t xml:space="preserve">are concerned </w:t>
      </w:r>
      <w:r w:rsidR="00935EF5" w:rsidRPr="0E79FF77">
        <w:rPr>
          <w:noProof/>
          <w:lang w:val="en-IE"/>
        </w:rPr>
        <w:t xml:space="preserve">that </w:t>
      </w:r>
      <w:r w:rsidR="00AF4840">
        <w:rPr>
          <w:noProof/>
          <w:lang w:val="en-IE"/>
        </w:rPr>
        <w:t>this might make it more</w:t>
      </w:r>
      <w:r w:rsidR="00935EF5" w:rsidRPr="0E79FF77">
        <w:rPr>
          <w:noProof/>
          <w:lang w:val="en-IE"/>
        </w:rPr>
        <w:t xml:space="preserve"> </w:t>
      </w:r>
      <w:r w:rsidR="00935EF5" w:rsidRPr="002F0513">
        <w:rPr>
          <w:noProof/>
          <w:lang w:val="en-IE"/>
        </w:rPr>
        <w:t>difficul</w:t>
      </w:r>
      <w:r w:rsidR="00AF4840">
        <w:rPr>
          <w:noProof/>
          <w:lang w:val="en-IE"/>
        </w:rPr>
        <w:t>t</w:t>
      </w:r>
      <w:r w:rsidR="00935EF5" w:rsidRPr="002F0513">
        <w:rPr>
          <w:noProof/>
          <w:lang w:val="en-IE"/>
        </w:rPr>
        <w:t xml:space="preserve"> </w:t>
      </w:r>
      <w:r w:rsidR="00AF4840">
        <w:rPr>
          <w:noProof/>
          <w:lang w:val="en-IE"/>
        </w:rPr>
        <w:t>to</w:t>
      </w:r>
      <w:r w:rsidR="00935EF5" w:rsidRPr="0E79FF77">
        <w:rPr>
          <w:noProof/>
          <w:lang w:val="en-IE"/>
        </w:rPr>
        <w:t xml:space="preserve"> perform </w:t>
      </w:r>
      <w:r w:rsidR="00AF4840">
        <w:rPr>
          <w:noProof/>
          <w:lang w:val="en-IE"/>
        </w:rPr>
        <w:t xml:space="preserve">MSAs because it would be more complicated to </w:t>
      </w:r>
      <w:r w:rsidR="00935EF5" w:rsidRPr="0E79FF77">
        <w:rPr>
          <w:noProof/>
          <w:lang w:val="en-IE"/>
        </w:rPr>
        <w:t xml:space="preserve">access information in </w:t>
      </w:r>
      <w:r w:rsidR="00AF4840">
        <w:rPr>
          <w:noProof/>
          <w:lang w:val="en-IE"/>
        </w:rPr>
        <w:t xml:space="preserve">a </w:t>
      </w:r>
      <w:r w:rsidR="00935EF5" w:rsidRPr="0E79FF77">
        <w:rPr>
          <w:noProof/>
          <w:lang w:val="en-IE"/>
        </w:rPr>
        <w:t>digital format.</w:t>
      </w:r>
      <w:r w:rsidR="002C4655" w:rsidRPr="0E79FF77">
        <w:rPr>
          <w:noProof/>
          <w:lang w:val="en-IE"/>
        </w:rPr>
        <w:t xml:space="preserve"> </w:t>
      </w:r>
      <w:r w:rsidR="00AF4840">
        <w:rPr>
          <w:noProof/>
          <w:lang w:val="en-IE"/>
        </w:rPr>
        <w:t>T</w:t>
      </w:r>
      <w:r w:rsidR="002C4655" w:rsidRPr="002F0513">
        <w:rPr>
          <w:noProof/>
          <w:lang w:val="en-IE"/>
        </w:rPr>
        <w:t xml:space="preserve">hey </w:t>
      </w:r>
      <w:r w:rsidR="00AF4840">
        <w:rPr>
          <w:noProof/>
          <w:lang w:val="en-IE"/>
        </w:rPr>
        <w:t>also</w:t>
      </w:r>
      <w:r w:rsidR="002C4655" w:rsidRPr="0E79FF77">
        <w:rPr>
          <w:noProof/>
          <w:lang w:val="en-IE"/>
        </w:rPr>
        <w:t xml:space="preserve"> consider that this measure might be burdensome for </w:t>
      </w:r>
      <w:r w:rsidR="00AF4840">
        <w:rPr>
          <w:noProof/>
          <w:lang w:val="en-IE"/>
        </w:rPr>
        <w:t xml:space="preserve">some </w:t>
      </w:r>
      <w:r w:rsidR="002C4655" w:rsidRPr="0E79FF77">
        <w:rPr>
          <w:noProof/>
          <w:lang w:val="en-IE"/>
        </w:rPr>
        <w:t>economic operators such as distributors.</w:t>
      </w:r>
    </w:p>
    <w:p w14:paraId="301ACD7C" w14:textId="7307C143" w:rsidR="007A3C56" w:rsidRPr="00FC48CF" w:rsidRDefault="009D0BBA" w:rsidP="007A3C56">
      <w:pPr>
        <w:pStyle w:val="Heading2"/>
        <w:rPr>
          <w:noProof/>
          <w:color w:val="auto"/>
          <w:lang w:val="en-IE"/>
        </w:rPr>
      </w:pPr>
      <w:bookmarkStart w:id="117" w:name="_Toc156461255"/>
      <w:r>
        <w:rPr>
          <w:noProof/>
          <w:lang w:val="en-IE"/>
        </w:rPr>
        <w:lastRenderedPageBreak/>
        <w:t>Products subject to</w:t>
      </w:r>
      <w:r w:rsidR="006B1E4A">
        <w:rPr>
          <w:noProof/>
          <w:lang w:val="en-IE"/>
        </w:rPr>
        <w:t xml:space="preserve"> refurbishment, remanufacturing and repair</w:t>
      </w:r>
      <w:bookmarkEnd w:id="117"/>
    </w:p>
    <w:p w14:paraId="4179811D" w14:textId="7F2B35B7" w:rsidR="006B0D44" w:rsidRDefault="78A4423A" w:rsidP="009A3AF6">
      <w:pPr>
        <w:rPr>
          <w:noProof/>
          <w:lang w:val="en-IE"/>
        </w:rPr>
      </w:pPr>
      <w:r w:rsidRPr="0E79FF77">
        <w:rPr>
          <w:noProof/>
          <w:lang w:val="en-IE"/>
        </w:rPr>
        <w:t>Refurbishment</w:t>
      </w:r>
      <w:r w:rsidR="009D0BBA">
        <w:rPr>
          <w:noProof/>
          <w:lang w:val="en-IE"/>
        </w:rPr>
        <w:t>,</w:t>
      </w:r>
      <w:r w:rsidR="00D359FA">
        <w:rPr>
          <w:noProof/>
          <w:lang w:val="en-IE"/>
        </w:rPr>
        <w:t xml:space="preserve"> </w:t>
      </w:r>
      <w:r w:rsidR="009D0BBA">
        <w:rPr>
          <w:noProof/>
          <w:lang w:val="en-IE"/>
        </w:rPr>
        <w:t>remanufacturing and repair</w:t>
      </w:r>
      <w:r w:rsidRPr="0E79FF77">
        <w:rPr>
          <w:noProof/>
          <w:lang w:val="en-IE"/>
        </w:rPr>
        <w:t xml:space="preserve"> </w:t>
      </w:r>
      <w:r w:rsidR="00AF4840">
        <w:rPr>
          <w:noProof/>
          <w:lang w:val="en-IE"/>
        </w:rPr>
        <w:t>is</w:t>
      </w:r>
      <w:r w:rsidR="00AF4840" w:rsidRPr="002F0513">
        <w:rPr>
          <w:noProof/>
          <w:lang w:val="en-IE"/>
        </w:rPr>
        <w:t xml:space="preserve"> </w:t>
      </w:r>
      <w:r w:rsidRPr="0E79FF77">
        <w:rPr>
          <w:noProof/>
          <w:lang w:val="en-IE"/>
        </w:rPr>
        <w:t xml:space="preserve">a </w:t>
      </w:r>
      <w:r w:rsidR="00C3360A" w:rsidRPr="0E79FF77">
        <w:rPr>
          <w:noProof/>
          <w:lang w:val="en-IE"/>
        </w:rPr>
        <w:t>fast</w:t>
      </w:r>
      <w:r w:rsidR="00C3360A">
        <w:rPr>
          <w:noProof/>
          <w:lang w:val="en-IE"/>
        </w:rPr>
        <w:t>-</w:t>
      </w:r>
      <w:r w:rsidRPr="0E79FF77">
        <w:rPr>
          <w:noProof/>
          <w:lang w:val="en-IE"/>
        </w:rPr>
        <w:t xml:space="preserve">growing market, especially in the field of smartphones. </w:t>
      </w:r>
      <w:r w:rsidR="003C30C2">
        <w:rPr>
          <w:noProof/>
          <w:lang w:val="en-IE"/>
        </w:rPr>
        <w:t>It</w:t>
      </w:r>
      <w:r w:rsidRPr="0E79FF77">
        <w:rPr>
          <w:noProof/>
          <w:lang w:val="en-IE"/>
        </w:rPr>
        <w:t xml:space="preserve"> </w:t>
      </w:r>
      <w:r w:rsidR="70094797" w:rsidRPr="0E79FF77">
        <w:rPr>
          <w:noProof/>
          <w:lang w:val="en-IE"/>
        </w:rPr>
        <w:t>contributes to the</w:t>
      </w:r>
      <w:r w:rsidRPr="0E79FF77">
        <w:rPr>
          <w:noProof/>
          <w:lang w:val="en-IE"/>
        </w:rPr>
        <w:t xml:space="preserve"> circular economy</w:t>
      </w:r>
      <w:r w:rsidR="009D0BBA">
        <w:rPr>
          <w:noProof/>
          <w:lang w:val="en-IE"/>
        </w:rPr>
        <w:t xml:space="preserve"> through product life extension</w:t>
      </w:r>
      <w:r w:rsidRPr="0E79FF77">
        <w:rPr>
          <w:noProof/>
          <w:lang w:val="en-IE"/>
        </w:rPr>
        <w:t>.</w:t>
      </w:r>
    </w:p>
    <w:p w14:paraId="4E3376BB" w14:textId="133A6638" w:rsidR="009A3AF6" w:rsidRDefault="0858DF8C" w:rsidP="009A3AF6">
      <w:pPr>
        <w:rPr>
          <w:noProof/>
          <w:lang w:val="en-IE"/>
        </w:rPr>
      </w:pPr>
      <w:r w:rsidRPr="692BC2FB">
        <w:rPr>
          <w:noProof/>
          <w:lang w:val="en-IE"/>
        </w:rPr>
        <w:t>Regarding t</w:t>
      </w:r>
      <w:r w:rsidR="78A4423A">
        <w:rPr>
          <w:noProof/>
          <w:lang w:val="en-IE"/>
        </w:rPr>
        <w:t xml:space="preserve">he RED, </w:t>
      </w:r>
      <w:r w:rsidR="009D0BBA">
        <w:rPr>
          <w:noProof/>
          <w:lang w:val="en-IE"/>
        </w:rPr>
        <w:t>operators that make changes to products</w:t>
      </w:r>
      <w:r w:rsidR="78A4423A">
        <w:rPr>
          <w:noProof/>
          <w:lang w:val="en-IE"/>
        </w:rPr>
        <w:t xml:space="preserve"> legally qualify</w:t>
      </w:r>
      <w:r w:rsidR="00447A56">
        <w:rPr>
          <w:noProof/>
          <w:lang w:val="en-IE"/>
        </w:rPr>
        <w:t xml:space="preserve"> (</w:t>
      </w:r>
      <w:r w:rsidR="00AF4840" w:rsidRPr="002F0513">
        <w:rPr>
          <w:noProof/>
          <w:lang w:val="en-IE"/>
        </w:rPr>
        <w:t>according to the Blue Guide</w:t>
      </w:r>
      <w:r w:rsidR="00447A56">
        <w:rPr>
          <w:noProof/>
          <w:lang w:val="en-IE"/>
        </w:rPr>
        <w:t>)</w:t>
      </w:r>
      <w:r w:rsidR="00AF4840">
        <w:rPr>
          <w:noProof/>
          <w:lang w:val="en-IE"/>
        </w:rPr>
        <w:t xml:space="preserve"> </w:t>
      </w:r>
      <w:r w:rsidR="78A4423A">
        <w:rPr>
          <w:noProof/>
          <w:lang w:val="en-IE"/>
        </w:rPr>
        <w:t>as manufacture</w:t>
      </w:r>
      <w:r w:rsidR="0160CF79">
        <w:rPr>
          <w:noProof/>
          <w:lang w:val="en-IE"/>
        </w:rPr>
        <w:t>r</w:t>
      </w:r>
      <w:r w:rsidR="78A4423A">
        <w:rPr>
          <w:noProof/>
          <w:lang w:val="en-IE"/>
        </w:rPr>
        <w:t xml:space="preserve">s if they </w:t>
      </w:r>
      <w:r w:rsidR="009D0BBA">
        <w:rPr>
          <w:noProof/>
          <w:lang w:val="en-IE"/>
        </w:rPr>
        <w:t xml:space="preserve">substantially </w:t>
      </w:r>
      <w:r w:rsidR="32047491" w:rsidRPr="692BC2FB">
        <w:rPr>
          <w:noProof/>
          <w:lang w:val="en-IE"/>
        </w:rPr>
        <w:t>alter the equipment</w:t>
      </w:r>
      <w:r w:rsidR="00447A56">
        <w:rPr>
          <w:noProof/>
          <w:lang w:val="en-IE"/>
        </w:rPr>
        <w:t xml:space="preserve"> in such a way</w:t>
      </w:r>
      <w:r w:rsidR="32047491" w:rsidRPr="692BC2FB">
        <w:rPr>
          <w:noProof/>
          <w:lang w:val="en-IE"/>
        </w:rPr>
        <w:t xml:space="preserve"> that </w:t>
      </w:r>
      <w:r w:rsidR="11A0D608" w:rsidRPr="692BC2FB">
        <w:rPr>
          <w:noProof/>
          <w:lang w:val="en-IE"/>
        </w:rPr>
        <w:t xml:space="preserve">its </w:t>
      </w:r>
      <w:r w:rsidR="78A4423A">
        <w:rPr>
          <w:noProof/>
          <w:lang w:val="en-IE"/>
        </w:rPr>
        <w:t>compliance with the essential requirements</w:t>
      </w:r>
      <w:r w:rsidR="15039C21" w:rsidRPr="692BC2FB">
        <w:rPr>
          <w:noProof/>
          <w:lang w:val="en-IE"/>
        </w:rPr>
        <w:t xml:space="preserve"> might be affected</w:t>
      </w:r>
      <w:r w:rsidR="78A4423A">
        <w:rPr>
          <w:noProof/>
          <w:lang w:val="en-IE"/>
        </w:rPr>
        <w:t xml:space="preserve">. A </w:t>
      </w:r>
      <w:r w:rsidR="00A434DD">
        <w:rPr>
          <w:noProof/>
          <w:lang w:val="en-IE"/>
        </w:rPr>
        <w:t>way</w:t>
      </w:r>
      <w:r w:rsidR="78A4423A">
        <w:rPr>
          <w:noProof/>
          <w:lang w:val="en-IE"/>
        </w:rPr>
        <w:t xml:space="preserve"> needs to be </w:t>
      </w:r>
      <w:r w:rsidR="12543E40" w:rsidRPr="692BC2FB">
        <w:rPr>
          <w:noProof/>
          <w:lang w:val="en-IE"/>
        </w:rPr>
        <w:t xml:space="preserve">developed to </w:t>
      </w:r>
      <w:r w:rsidR="156A2742" w:rsidRPr="692BC2FB">
        <w:rPr>
          <w:noProof/>
          <w:lang w:val="en-IE"/>
        </w:rPr>
        <w:t xml:space="preserve">reconcile </w:t>
      </w:r>
      <w:r w:rsidR="12543E40" w:rsidRPr="692BC2FB">
        <w:rPr>
          <w:noProof/>
          <w:lang w:val="en-IE"/>
        </w:rPr>
        <w:t xml:space="preserve">the </w:t>
      </w:r>
      <w:r w:rsidR="30DF4B84" w:rsidRPr="692BC2FB">
        <w:rPr>
          <w:noProof/>
          <w:lang w:val="en-IE"/>
        </w:rPr>
        <w:t xml:space="preserve">requirements for the </w:t>
      </w:r>
      <w:r w:rsidR="12543E40" w:rsidRPr="692BC2FB">
        <w:rPr>
          <w:noProof/>
          <w:lang w:val="en-IE"/>
        </w:rPr>
        <w:t xml:space="preserve">circular economy with </w:t>
      </w:r>
      <w:r w:rsidR="2E931512" w:rsidRPr="692BC2FB">
        <w:rPr>
          <w:noProof/>
          <w:lang w:val="en-IE"/>
        </w:rPr>
        <w:t xml:space="preserve">the requirements for </w:t>
      </w:r>
      <w:r w:rsidR="12543E40" w:rsidRPr="692BC2FB">
        <w:rPr>
          <w:noProof/>
          <w:lang w:val="en-IE"/>
        </w:rPr>
        <w:t>the protection of</w:t>
      </w:r>
      <w:r w:rsidR="78A4423A">
        <w:rPr>
          <w:noProof/>
          <w:lang w:val="en-IE"/>
        </w:rPr>
        <w:t xml:space="preserve"> consumers and public assets</w:t>
      </w:r>
      <w:r w:rsidR="002772FE">
        <w:rPr>
          <w:noProof/>
          <w:lang w:val="en-IE"/>
        </w:rPr>
        <w:t xml:space="preserve"> established in the RED</w:t>
      </w:r>
      <w:r w:rsidR="78A4423A">
        <w:rPr>
          <w:noProof/>
          <w:lang w:val="en-IE"/>
        </w:rPr>
        <w:t xml:space="preserve">. </w:t>
      </w:r>
    </w:p>
    <w:p w14:paraId="3013D0C4" w14:textId="2D7BBE28" w:rsidR="00BA5C47" w:rsidRPr="00FC48CF" w:rsidRDefault="00BA5C47" w:rsidP="00FC0E22">
      <w:pPr>
        <w:pStyle w:val="Heading1"/>
        <w:rPr>
          <w:noProof/>
          <w:color w:val="auto"/>
          <w:lang w:val="en-IE"/>
        </w:rPr>
      </w:pPr>
      <w:bookmarkStart w:id="118" w:name="_Toc152772512"/>
      <w:bookmarkStart w:id="119" w:name="_Toc151122136"/>
      <w:bookmarkStart w:id="120" w:name="_Toc156461256"/>
      <w:bookmarkStart w:id="121" w:name="_Hlk141951965"/>
      <w:r w:rsidRPr="00FC48CF">
        <w:rPr>
          <w:noProof/>
          <w:color w:val="auto"/>
          <w:lang w:val="en-IE"/>
        </w:rPr>
        <w:t xml:space="preserve">Update </w:t>
      </w:r>
      <w:r w:rsidR="00104F4C" w:rsidRPr="00FC48CF">
        <w:rPr>
          <w:noProof/>
          <w:color w:val="auto"/>
          <w:lang w:val="en-IE"/>
        </w:rPr>
        <w:t>o</w:t>
      </w:r>
      <w:r w:rsidR="008D26F7">
        <w:rPr>
          <w:noProof/>
          <w:color w:val="auto"/>
          <w:lang w:val="en-IE"/>
        </w:rPr>
        <w:t>n</w:t>
      </w:r>
      <w:r w:rsidR="00104F4C" w:rsidRPr="002F0513">
        <w:rPr>
          <w:noProof/>
          <w:color w:val="auto"/>
          <w:lang w:val="en-IE"/>
        </w:rPr>
        <w:t xml:space="preserve"> </w:t>
      </w:r>
      <w:r w:rsidR="00447A56">
        <w:rPr>
          <w:noProof/>
          <w:color w:val="auto"/>
          <w:lang w:val="en-IE"/>
        </w:rPr>
        <w:t>RECDA’s</w:t>
      </w:r>
      <w:r w:rsidR="00104F4C" w:rsidRPr="00FC48CF">
        <w:rPr>
          <w:noProof/>
          <w:color w:val="auto"/>
          <w:lang w:val="en-IE"/>
        </w:rPr>
        <w:t xml:space="preserve"> </w:t>
      </w:r>
      <w:r w:rsidRPr="00FC48CF">
        <w:rPr>
          <w:noProof/>
          <w:color w:val="auto"/>
          <w:lang w:val="en-IE"/>
        </w:rPr>
        <w:t>activities</w:t>
      </w:r>
      <w:bookmarkEnd w:id="118"/>
      <w:bookmarkEnd w:id="119"/>
      <w:bookmarkEnd w:id="120"/>
    </w:p>
    <w:p w14:paraId="556BD769" w14:textId="66C3344A" w:rsidR="00D12A0D" w:rsidRPr="00FC48CF" w:rsidRDefault="00D12A0D" w:rsidP="00D12A0D">
      <w:pPr>
        <w:rPr>
          <w:noProof/>
          <w:lang w:val="en-IE"/>
        </w:rPr>
      </w:pPr>
      <w:r w:rsidRPr="00FC48CF">
        <w:rPr>
          <w:noProof/>
          <w:lang w:val="en-IE"/>
        </w:rPr>
        <w:t>The Radio Equipment Directive Compliance Association (</w:t>
      </w:r>
      <w:hyperlink r:id="rId30" w:history="1">
        <w:r w:rsidRPr="00257683">
          <w:rPr>
            <w:rStyle w:val="Hyperlink"/>
            <w:noProof/>
            <w:lang w:val="en-IE"/>
          </w:rPr>
          <w:t>REDCA</w:t>
        </w:r>
      </w:hyperlink>
      <w:r w:rsidRPr="002F0513">
        <w:rPr>
          <w:noProof/>
          <w:lang w:val="en-IE"/>
        </w:rPr>
        <w:t>)</w:t>
      </w:r>
      <w:r w:rsidR="00D979E0" w:rsidRPr="002F0513">
        <w:rPr>
          <w:noProof/>
          <w:lang w:val="en-IE"/>
        </w:rPr>
        <w:t> </w:t>
      </w:r>
      <w:r w:rsidRPr="00FC48CF">
        <w:rPr>
          <w:noProof/>
          <w:lang w:val="en-IE"/>
        </w:rPr>
        <w:t>is the association of notified bodies performing conformity assessments under the RED.</w:t>
      </w:r>
    </w:p>
    <w:p w14:paraId="4D82CE20" w14:textId="51215572" w:rsidR="00D95476" w:rsidRPr="00FC48CF" w:rsidRDefault="00D95476" w:rsidP="00D12A0D">
      <w:pPr>
        <w:rPr>
          <w:noProof/>
          <w:lang w:val="en-IE"/>
        </w:rPr>
      </w:pPr>
      <w:r w:rsidRPr="00FC48CF">
        <w:rPr>
          <w:noProof/>
          <w:lang w:val="en-IE"/>
        </w:rPr>
        <w:t xml:space="preserve">In 2018, </w:t>
      </w:r>
      <w:r w:rsidR="004B147D">
        <w:rPr>
          <w:noProof/>
          <w:lang w:val="en-IE"/>
        </w:rPr>
        <w:t xml:space="preserve">the </w:t>
      </w:r>
      <w:r w:rsidR="00D12A0D" w:rsidRPr="00FC48CF">
        <w:rPr>
          <w:noProof/>
          <w:lang w:val="en-IE"/>
        </w:rPr>
        <w:t xml:space="preserve">REDCA </w:t>
      </w:r>
      <w:r w:rsidR="005A14FB" w:rsidRPr="00FC48CF">
        <w:rPr>
          <w:noProof/>
          <w:lang w:val="en-IE"/>
        </w:rPr>
        <w:t xml:space="preserve">discussed </w:t>
      </w:r>
      <w:r w:rsidRPr="00FC48CF">
        <w:rPr>
          <w:noProof/>
          <w:lang w:val="en-IE"/>
        </w:rPr>
        <w:t xml:space="preserve">5G technology, </w:t>
      </w:r>
      <w:r w:rsidR="00447A56">
        <w:rPr>
          <w:noProof/>
          <w:lang w:val="en-IE"/>
        </w:rPr>
        <w:t xml:space="preserve">the </w:t>
      </w:r>
      <w:r w:rsidRPr="00FC48CF">
        <w:rPr>
          <w:noProof/>
          <w:lang w:val="en-IE"/>
        </w:rPr>
        <w:t xml:space="preserve">SAR and risk assessments. The </w:t>
      </w:r>
      <w:r w:rsidR="00D979E0" w:rsidRPr="002F0513">
        <w:rPr>
          <w:noProof/>
          <w:lang w:val="en-IE"/>
        </w:rPr>
        <w:t>‘</w:t>
      </w:r>
      <w:r w:rsidRPr="00FC48CF">
        <w:rPr>
          <w:noProof/>
          <w:lang w:val="en-IE"/>
        </w:rPr>
        <w:t xml:space="preserve">RED NB refused </w:t>
      </w:r>
      <w:r w:rsidRPr="002F0513">
        <w:rPr>
          <w:noProof/>
          <w:lang w:val="en-IE"/>
        </w:rPr>
        <w:t>certificate</w:t>
      </w:r>
      <w:r w:rsidR="00D979E0" w:rsidRPr="002F0513">
        <w:rPr>
          <w:noProof/>
          <w:lang w:val="en-IE"/>
        </w:rPr>
        <w:t>’</w:t>
      </w:r>
      <w:r w:rsidRPr="00FC48CF">
        <w:rPr>
          <w:noProof/>
          <w:lang w:val="en-IE"/>
        </w:rPr>
        <w:t xml:space="preserve"> database was implemented on CIRCABC</w:t>
      </w:r>
      <w:r w:rsidR="00E46011">
        <w:rPr>
          <w:noProof/>
          <w:lang w:val="en-IE"/>
        </w:rPr>
        <w:t xml:space="preserve"> </w:t>
      </w:r>
      <w:r w:rsidR="00A63B67">
        <w:rPr>
          <w:noProof/>
          <w:lang w:val="en-IE"/>
        </w:rPr>
        <w:t>sy</w:t>
      </w:r>
      <w:r w:rsidR="00B85519">
        <w:rPr>
          <w:noProof/>
          <w:lang w:val="en-IE"/>
        </w:rPr>
        <w:t>stem</w:t>
      </w:r>
      <w:r w:rsidR="00D359FA">
        <w:rPr>
          <w:noProof/>
          <w:lang w:val="en-IE"/>
        </w:rPr>
        <w:t xml:space="preserve">. </w:t>
      </w:r>
      <w:r w:rsidR="00447A56">
        <w:rPr>
          <w:noProof/>
          <w:lang w:val="en-IE"/>
        </w:rPr>
        <w:t>In a</w:t>
      </w:r>
      <w:r w:rsidRPr="002F0513">
        <w:rPr>
          <w:noProof/>
          <w:lang w:val="en-IE"/>
        </w:rPr>
        <w:t>ddition</w:t>
      </w:r>
      <w:r w:rsidRPr="00FC48CF">
        <w:rPr>
          <w:noProof/>
          <w:lang w:val="en-IE"/>
        </w:rPr>
        <w:t xml:space="preserve">, </w:t>
      </w:r>
      <w:r w:rsidR="00362FCD">
        <w:rPr>
          <w:noProof/>
          <w:lang w:val="en-IE"/>
        </w:rPr>
        <w:t>a guidance note (TGN)</w:t>
      </w:r>
      <w:r w:rsidR="00D979E0" w:rsidRPr="002F0513">
        <w:rPr>
          <w:noProof/>
          <w:lang w:val="en-IE"/>
        </w:rPr>
        <w:t> </w:t>
      </w:r>
      <w:r w:rsidRPr="00FC48CF">
        <w:rPr>
          <w:rStyle w:val="FootnoteReference"/>
          <w:noProof/>
          <w:lang w:val="en-IE"/>
        </w:rPr>
        <w:footnoteReference w:id="25"/>
      </w:r>
      <w:r w:rsidRPr="00FC48CF">
        <w:rPr>
          <w:noProof/>
          <w:lang w:val="en-IE"/>
        </w:rPr>
        <w:t xml:space="preserve"> on risk assessment was discussed and a </w:t>
      </w:r>
      <w:r w:rsidR="003527BA">
        <w:rPr>
          <w:noProof/>
          <w:lang w:val="en-IE"/>
        </w:rPr>
        <w:t xml:space="preserve">new </w:t>
      </w:r>
      <w:r w:rsidRPr="00FC48CF">
        <w:rPr>
          <w:noProof/>
          <w:lang w:val="en-IE"/>
        </w:rPr>
        <w:t>version published.</w:t>
      </w:r>
    </w:p>
    <w:p w14:paraId="2F311182" w14:textId="5EFE230B" w:rsidR="00D95476" w:rsidRPr="00FC48CF" w:rsidRDefault="00D95476" w:rsidP="00D95476">
      <w:pPr>
        <w:rPr>
          <w:noProof/>
          <w:lang w:val="en-IE"/>
        </w:rPr>
      </w:pPr>
      <w:r w:rsidRPr="00FC48CF">
        <w:rPr>
          <w:noProof/>
          <w:lang w:val="en-IE"/>
        </w:rPr>
        <w:t xml:space="preserve">In 2019, the REDCA </w:t>
      </w:r>
      <w:r w:rsidR="003525D9">
        <w:rPr>
          <w:noProof/>
          <w:lang w:val="en-IE"/>
        </w:rPr>
        <w:t>discussed on the identification of</w:t>
      </w:r>
      <w:r w:rsidRPr="00FC48CF">
        <w:rPr>
          <w:noProof/>
          <w:lang w:val="en-IE"/>
        </w:rPr>
        <w:t xml:space="preserve"> fake test reports</w:t>
      </w:r>
      <w:r w:rsidRPr="002F0513">
        <w:rPr>
          <w:noProof/>
          <w:lang w:val="en-IE"/>
        </w:rPr>
        <w:t>.</w:t>
      </w:r>
      <w:r w:rsidRPr="00FC48CF">
        <w:rPr>
          <w:noProof/>
          <w:lang w:val="en-IE"/>
        </w:rPr>
        <w:t xml:space="preserve"> A discussion on active antenna resulted in the revision of the </w:t>
      </w:r>
      <w:r w:rsidR="004B147D">
        <w:rPr>
          <w:noProof/>
          <w:lang w:val="en-IE"/>
        </w:rPr>
        <w:t>relevant</w:t>
      </w:r>
      <w:r w:rsidR="004B147D" w:rsidRPr="002F0513">
        <w:rPr>
          <w:noProof/>
          <w:lang w:val="en-IE"/>
        </w:rPr>
        <w:t xml:space="preserve"> </w:t>
      </w:r>
      <w:r w:rsidRPr="00FC48CF">
        <w:rPr>
          <w:noProof/>
          <w:lang w:val="en-IE"/>
        </w:rPr>
        <w:t>TGN. The REDCA had a</w:t>
      </w:r>
      <w:r w:rsidR="003527BA">
        <w:rPr>
          <w:noProof/>
          <w:lang w:val="en-IE"/>
        </w:rPr>
        <w:t xml:space="preserve"> preliminary</w:t>
      </w:r>
      <w:r w:rsidRPr="00FC48CF">
        <w:rPr>
          <w:noProof/>
          <w:lang w:val="en-IE"/>
        </w:rPr>
        <w:t xml:space="preserve"> discussion on cybersecurity.</w:t>
      </w:r>
    </w:p>
    <w:p w14:paraId="34AE43D2" w14:textId="6D5688E0" w:rsidR="00D95476" w:rsidRPr="00FC48CF" w:rsidRDefault="00D95476" w:rsidP="00D95476">
      <w:pPr>
        <w:rPr>
          <w:noProof/>
          <w:lang w:val="en-IE"/>
        </w:rPr>
      </w:pPr>
      <w:r w:rsidRPr="00FC48CF">
        <w:rPr>
          <w:noProof/>
          <w:lang w:val="en-IE"/>
        </w:rPr>
        <w:t>In 2020, the REDCA rules for the voting process on TGNs</w:t>
      </w:r>
      <w:r w:rsidR="00BD7C62">
        <w:rPr>
          <w:noProof/>
          <w:lang w:val="en-IE"/>
        </w:rPr>
        <w:t xml:space="preserve"> </w:t>
      </w:r>
      <w:r w:rsidR="0078463F">
        <w:rPr>
          <w:noProof/>
          <w:lang w:val="en-IE"/>
        </w:rPr>
        <w:t>were revised</w:t>
      </w:r>
      <w:r w:rsidRPr="00FC48CF">
        <w:rPr>
          <w:noProof/>
          <w:lang w:val="en-IE"/>
        </w:rPr>
        <w:t xml:space="preserve">, so that only RED notified bodies can </w:t>
      </w:r>
      <w:r w:rsidR="004B147D" w:rsidRPr="002F0513">
        <w:rPr>
          <w:noProof/>
          <w:lang w:val="en-IE"/>
        </w:rPr>
        <w:t xml:space="preserve">now </w:t>
      </w:r>
      <w:r w:rsidRPr="00FC48CF">
        <w:rPr>
          <w:noProof/>
          <w:lang w:val="en-IE"/>
        </w:rPr>
        <w:t>vote. There were further updates on cybersecurity as a general topic and further discussions on 5G active antenna.</w:t>
      </w:r>
    </w:p>
    <w:p w14:paraId="0CD288FF" w14:textId="56934E5D" w:rsidR="00D95476" w:rsidRPr="00FC48CF" w:rsidRDefault="00D95476" w:rsidP="00D95476">
      <w:pPr>
        <w:rPr>
          <w:noProof/>
          <w:lang w:val="en-IE"/>
        </w:rPr>
      </w:pPr>
      <w:r w:rsidRPr="00FC48CF">
        <w:rPr>
          <w:noProof/>
          <w:lang w:val="en-IE"/>
        </w:rPr>
        <w:t xml:space="preserve">In 2021, there were further discussions on radio equipment in vehicles. </w:t>
      </w:r>
      <w:r w:rsidR="004B147D">
        <w:rPr>
          <w:noProof/>
          <w:lang w:val="en-IE"/>
        </w:rPr>
        <w:t>In a</w:t>
      </w:r>
      <w:r w:rsidRPr="00FC48CF">
        <w:rPr>
          <w:noProof/>
          <w:lang w:val="en-IE"/>
        </w:rPr>
        <w:t>ddition, the REDCA ran a series of E112/Galileo webinars.</w:t>
      </w:r>
    </w:p>
    <w:p w14:paraId="021AFE8F" w14:textId="2ACAB3B9" w:rsidR="00D95476" w:rsidRPr="00FC48CF" w:rsidRDefault="00D95476" w:rsidP="00D95476">
      <w:pPr>
        <w:rPr>
          <w:noProof/>
          <w:lang w:val="en-IE"/>
        </w:rPr>
      </w:pPr>
      <w:r w:rsidRPr="00FC48CF">
        <w:rPr>
          <w:noProof/>
          <w:lang w:val="en-IE"/>
        </w:rPr>
        <w:t>In 2022, based on comments from the Transparency Register, the REDCA rules were updated.</w:t>
      </w:r>
      <w:r w:rsidR="00A10BD0">
        <w:rPr>
          <w:noProof/>
          <w:lang w:val="en-IE"/>
        </w:rPr>
        <w:t>.</w:t>
      </w:r>
      <w:r w:rsidRPr="00FC48CF">
        <w:rPr>
          <w:noProof/>
          <w:lang w:val="en-IE"/>
        </w:rPr>
        <w:t xml:space="preserve"> </w:t>
      </w:r>
      <w:r w:rsidR="003525D9">
        <w:rPr>
          <w:noProof/>
          <w:lang w:val="en-IE"/>
        </w:rPr>
        <w:t>D</w:t>
      </w:r>
      <w:r w:rsidRPr="00FC48CF">
        <w:rPr>
          <w:noProof/>
          <w:lang w:val="en-IE"/>
        </w:rPr>
        <w:t>iscussions on tolerances and measurement uncertainties in standards</w:t>
      </w:r>
      <w:r w:rsidR="003525D9">
        <w:rPr>
          <w:noProof/>
          <w:lang w:val="en-IE"/>
        </w:rPr>
        <w:t xml:space="preserve"> took place</w:t>
      </w:r>
      <w:r w:rsidRPr="00FC48CF">
        <w:rPr>
          <w:noProof/>
          <w:lang w:val="en-IE"/>
        </w:rPr>
        <w:t>.</w:t>
      </w:r>
    </w:p>
    <w:p w14:paraId="1BB96DF3" w14:textId="1E14F487" w:rsidR="00D95476" w:rsidRPr="00FC48CF" w:rsidRDefault="00D95476" w:rsidP="00D95476">
      <w:pPr>
        <w:rPr>
          <w:noProof/>
        </w:rPr>
      </w:pPr>
      <w:r w:rsidRPr="00FC48CF">
        <w:rPr>
          <w:noProof/>
          <w:lang w:val="en-IE"/>
        </w:rPr>
        <w:t xml:space="preserve">In </w:t>
      </w:r>
      <w:r w:rsidR="00EF71A4" w:rsidRPr="00FC48CF">
        <w:rPr>
          <w:noProof/>
          <w:lang w:val="en-IE"/>
        </w:rPr>
        <w:t xml:space="preserve">the first half of </w:t>
      </w:r>
      <w:r w:rsidRPr="00FC48CF">
        <w:rPr>
          <w:noProof/>
          <w:lang w:val="en-IE"/>
        </w:rPr>
        <w:t xml:space="preserve">2023, </w:t>
      </w:r>
      <w:r w:rsidR="00BA4A4C" w:rsidRPr="00FC48CF">
        <w:rPr>
          <w:noProof/>
          <w:lang w:val="en-IE"/>
        </w:rPr>
        <w:t>REDCA</w:t>
      </w:r>
      <w:r w:rsidRPr="00FC48CF">
        <w:rPr>
          <w:noProof/>
          <w:lang w:val="en-IE"/>
        </w:rPr>
        <w:t xml:space="preserve"> </w:t>
      </w:r>
      <w:r w:rsidR="00EF71A4" w:rsidRPr="00FC48CF">
        <w:rPr>
          <w:noProof/>
          <w:lang w:val="en-IE"/>
        </w:rPr>
        <w:t xml:space="preserve">ran </w:t>
      </w:r>
      <w:r w:rsidRPr="00FC48CF">
        <w:rPr>
          <w:noProof/>
          <w:lang w:val="en-IE"/>
        </w:rPr>
        <w:t xml:space="preserve">a workshop </w:t>
      </w:r>
      <w:r w:rsidR="00D84449" w:rsidRPr="002F0513">
        <w:rPr>
          <w:noProof/>
          <w:lang w:val="en-IE"/>
        </w:rPr>
        <w:t xml:space="preserve">with CEN/CENELEC </w:t>
      </w:r>
      <w:r w:rsidRPr="00FC48CF">
        <w:rPr>
          <w:noProof/>
          <w:lang w:val="en-IE"/>
        </w:rPr>
        <w:t>on</w:t>
      </w:r>
      <w:r w:rsidR="00EF71A4" w:rsidRPr="00FC48CF">
        <w:rPr>
          <w:noProof/>
          <w:lang w:val="en-IE"/>
        </w:rPr>
        <w:t xml:space="preserve"> </w:t>
      </w:r>
      <w:r w:rsidR="00E42D43" w:rsidRPr="00FC48CF">
        <w:rPr>
          <w:noProof/>
          <w:lang w:val="en-IE"/>
        </w:rPr>
        <w:t>the s</w:t>
      </w:r>
      <w:r w:rsidR="00EF71A4" w:rsidRPr="00FC48CF">
        <w:rPr>
          <w:noProof/>
          <w:lang w:val="en-IE"/>
        </w:rPr>
        <w:t xml:space="preserve">tandardisation </w:t>
      </w:r>
      <w:r w:rsidR="00E42D43" w:rsidRPr="00FC48CF">
        <w:rPr>
          <w:noProof/>
          <w:lang w:val="en-IE"/>
        </w:rPr>
        <w:t>r</w:t>
      </w:r>
      <w:r w:rsidR="00EF71A4" w:rsidRPr="00FC48CF">
        <w:rPr>
          <w:noProof/>
          <w:lang w:val="en-IE"/>
        </w:rPr>
        <w:t>equest</w:t>
      </w:r>
      <w:r w:rsidRPr="00FC48CF">
        <w:rPr>
          <w:noProof/>
          <w:lang w:val="en-IE"/>
        </w:rPr>
        <w:t xml:space="preserve"> </w:t>
      </w:r>
      <w:r w:rsidR="00D84449">
        <w:rPr>
          <w:noProof/>
          <w:lang w:val="en-IE"/>
        </w:rPr>
        <w:t>for</w:t>
      </w:r>
      <w:r w:rsidR="00E42D43" w:rsidRPr="00FC48CF">
        <w:rPr>
          <w:noProof/>
          <w:lang w:val="en-IE"/>
        </w:rPr>
        <w:t xml:space="preserve"> Delegated Regulation on cybersecurity</w:t>
      </w:r>
      <w:r w:rsidRPr="00FC48CF">
        <w:rPr>
          <w:noProof/>
          <w:lang w:val="en-IE"/>
        </w:rPr>
        <w:t>.</w:t>
      </w:r>
    </w:p>
    <w:p w14:paraId="6C82A074" w14:textId="3DDEC97A" w:rsidR="00BA5C47" w:rsidRPr="00FC48CF" w:rsidRDefault="00BA4A4C" w:rsidP="00FC0E22">
      <w:pPr>
        <w:pStyle w:val="Heading1"/>
        <w:rPr>
          <w:noProof/>
          <w:color w:val="auto"/>
          <w:lang w:val="en-IE"/>
        </w:rPr>
      </w:pPr>
      <w:bookmarkStart w:id="122" w:name="_Toc151122137"/>
      <w:bookmarkStart w:id="123" w:name="_Toc152772513"/>
      <w:bookmarkStart w:id="124" w:name="_Toc156461257"/>
      <w:bookmarkEnd w:id="121"/>
      <w:r w:rsidRPr="00FC48CF">
        <w:rPr>
          <w:noProof/>
          <w:color w:val="auto"/>
          <w:lang w:val="en-IE"/>
        </w:rPr>
        <w:t>Report topics required by Article 47</w:t>
      </w:r>
      <w:r w:rsidR="005423CB">
        <w:rPr>
          <w:noProof/>
        </w:rPr>
        <w:t>(</w:t>
      </w:r>
      <w:r w:rsidRPr="00FC48CF">
        <w:rPr>
          <w:noProof/>
          <w:color w:val="auto"/>
          <w:lang w:val="en-IE"/>
        </w:rPr>
        <w:t>2</w:t>
      </w:r>
      <w:bookmarkEnd w:id="122"/>
      <w:r w:rsidR="005423CB" w:rsidRPr="00FC48CF">
        <w:rPr>
          <w:noProof/>
        </w:rPr>
        <w:t>)</w:t>
      </w:r>
      <w:r w:rsidR="00675F6B" w:rsidRPr="00FC48CF">
        <w:rPr>
          <w:noProof/>
          <w:color w:val="auto"/>
          <w:lang w:val="en-IE"/>
        </w:rPr>
        <w:t xml:space="preserve"> of the RED</w:t>
      </w:r>
      <w:bookmarkEnd w:id="123"/>
      <w:bookmarkEnd w:id="124"/>
    </w:p>
    <w:p w14:paraId="65BA75C6" w14:textId="0B09462F" w:rsidR="00566AD3" w:rsidRPr="009A5467" w:rsidRDefault="005423CB" w:rsidP="00566AD3">
      <w:pPr>
        <w:rPr>
          <w:noProof/>
          <w:lang w:val="en-IE"/>
        </w:rPr>
      </w:pPr>
      <w:r>
        <w:rPr>
          <w:noProof/>
          <w:lang w:val="en-IE"/>
        </w:rPr>
        <w:t xml:space="preserve">Article </w:t>
      </w:r>
      <w:r w:rsidR="009A5467" w:rsidRPr="009A5467">
        <w:rPr>
          <w:noProof/>
          <w:lang w:val="en-IE"/>
        </w:rPr>
        <w:t>47</w:t>
      </w:r>
      <w:r>
        <w:rPr>
          <w:noProof/>
          <w:lang w:val="en-IE"/>
        </w:rPr>
        <w:t>(</w:t>
      </w:r>
      <w:r w:rsidR="00FB7B15">
        <w:rPr>
          <w:noProof/>
          <w:lang w:val="en-IE"/>
        </w:rPr>
        <w:t>2</w:t>
      </w:r>
      <w:r>
        <w:rPr>
          <w:noProof/>
          <w:lang w:val="en-IE"/>
        </w:rPr>
        <w:t>)</w:t>
      </w:r>
      <w:r w:rsidR="00675F6B">
        <w:rPr>
          <w:noProof/>
          <w:lang w:val="en-IE"/>
        </w:rPr>
        <w:t xml:space="preserve"> of the RED</w:t>
      </w:r>
      <w:r w:rsidR="009A5467" w:rsidRPr="009A5467">
        <w:rPr>
          <w:noProof/>
          <w:lang w:val="en-IE"/>
        </w:rPr>
        <w:t xml:space="preserve"> </w:t>
      </w:r>
      <w:r w:rsidR="004B147D">
        <w:rPr>
          <w:noProof/>
          <w:lang w:val="en-IE"/>
        </w:rPr>
        <w:t>requires</w:t>
      </w:r>
      <w:r w:rsidR="009A5467" w:rsidRPr="002F0513">
        <w:rPr>
          <w:noProof/>
          <w:lang w:val="en-IE"/>
        </w:rPr>
        <w:t xml:space="preserve"> report</w:t>
      </w:r>
      <w:r w:rsidR="004B147D">
        <w:rPr>
          <w:noProof/>
          <w:lang w:val="en-IE"/>
        </w:rPr>
        <w:t>ing</w:t>
      </w:r>
      <w:r w:rsidR="00BB65C7">
        <w:rPr>
          <w:noProof/>
          <w:lang w:val="en-IE"/>
        </w:rPr>
        <w:t xml:space="preserve"> by the Commission to the European Parliament and Council</w:t>
      </w:r>
      <w:r w:rsidR="009A5467" w:rsidRPr="009A5467">
        <w:rPr>
          <w:noProof/>
          <w:lang w:val="en-IE"/>
        </w:rPr>
        <w:t xml:space="preserve"> on </w:t>
      </w:r>
      <w:r w:rsidR="001E2D63">
        <w:rPr>
          <w:noProof/>
          <w:lang w:val="en-IE"/>
        </w:rPr>
        <w:t>6</w:t>
      </w:r>
      <w:r w:rsidR="001E2D63" w:rsidRPr="009A5467">
        <w:rPr>
          <w:noProof/>
          <w:lang w:val="en-IE"/>
        </w:rPr>
        <w:t xml:space="preserve"> </w:t>
      </w:r>
      <w:r w:rsidR="009A5467" w:rsidRPr="009A5467">
        <w:rPr>
          <w:noProof/>
          <w:lang w:val="en-IE"/>
        </w:rPr>
        <w:t xml:space="preserve">specific </w:t>
      </w:r>
      <w:r w:rsidR="00525362">
        <w:rPr>
          <w:noProof/>
          <w:lang w:val="en-IE"/>
        </w:rPr>
        <w:t>objectives</w:t>
      </w:r>
      <w:r w:rsidR="009A5467" w:rsidRPr="009A5467">
        <w:rPr>
          <w:noProof/>
          <w:lang w:val="en-IE"/>
        </w:rPr>
        <w:t xml:space="preserve">. </w:t>
      </w:r>
      <w:r w:rsidR="00D84449">
        <w:rPr>
          <w:noProof/>
          <w:lang w:val="en-IE"/>
        </w:rPr>
        <w:t>T</w:t>
      </w:r>
      <w:r w:rsidR="009A5467" w:rsidRPr="002F0513">
        <w:rPr>
          <w:noProof/>
          <w:lang w:val="en-IE"/>
        </w:rPr>
        <w:t>he</w:t>
      </w:r>
      <w:r w:rsidR="009A5467" w:rsidRPr="009A5467">
        <w:rPr>
          <w:noProof/>
          <w:lang w:val="en-IE"/>
        </w:rPr>
        <w:t xml:space="preserve"> Commission </w:t>
      </w:r>
      <w:r w:rsidR="00D84449">
        <w:rPr>
          <w:noProof/>
          <w:lang w:val="en-IE"/>
        </w:rPr>
        <w:t xml:space="preserve">gathered input by </w:t>
      </w:r>
      <w:r w:rsidR="009A5467" w:rsidRPr="002F0513">
        <w:rPr>
          <w:noProof/>
          <w:lang w:val="en-IE"/>
        </w:rPr>
        <w:t>survey</w:t>
      </w:r>
      <w:r w:rsidR="00D84449">
        <w:rPr>
          <w:noProof/>
          <w:lang w:val="en-IE"/>
        </w:rPr>
        <w:t>ing</w:t>
      </w:r>
      <w:r w:rsidR="009A5467" w:rsidRPr="009A5467">
        <w:rPr>
          <w:noProof/>
          <w:lang w:val="en-IE"/>
        </w:rPr>
        <w:t xml:space="preserve"> the members of the </w:t>
      </w:r>
      <w:r w:rsidR="00BA4A4C">
        <w:rPr>
          <w:noProof/>
          <w:lang w:val="en-IE"/>
        </w:rPr>
        <w:t>Commission</w:t>
      </w:r>
      <w:r w:rsidR="009A5467" w:rsidRPr="009A5467">
        <w:rPr>
          <w:noProof/>
          <w:lang w:val="en-IE"/>
        </w:rPr>
        <w:t xml:space="preserve"> expert group </w:t>
      </w:r>
      <w:r w:rsidR="00E42D43">
        <w:rPr>
          <w:noProof/>
          <w:lang w:val="en-IE"/>
        </w:rPr>
        <w:t>on</w:t>
      </w:r>
      <w:r w:rsidR="00BA4A4C">
        <w:rPr>
          <w:noProof/>
          <w:lang w:val="en-IE"/>
        </w:rPr>
        <w:t xml:space="preserve"> </w:t>
      </w:r>
      <w:r w:rsidR="00E42D43">
        <w:rPr>
          <w:noProof/>
          <w:lang w:val="en-IE"/>
        </w:rPr>
        <w:t>r</w:t>
      </w:r>
      <w:r w:rsidR="00BA4A4C">
        <w:rPr>
          <w:noProof/>
          <w:lang w:val="en-IE"/>
        </w:rPr>
        <w:t xml:space="preserve">adio </w:t>
      </w:r>
      <w:r w:rsidR="00E42D43">
        <w:rPr>
          <w:noProof/>
          <w:lang w:val="en-IE"/>
        </w:rPr>
        <w:t>e</w:t>
      </w:r>
      <w:r w:rsidR="00BA4A4C">
        <w:rPr>
          <w:noProof/>
          <w:lang w:val="en-IE"/>
        </w:rPr>
        <w:t>quipment</w:t>
      </w:r>
      <w:r w:rsidR="009A5467">
        <w:rPr>
          <w:noProof/>
          <w:lang w:val="en-IE"/>
        </w:rPr>
        <w:t xml:space="preserve">. </w:t>
      </w:r>
    </w:p>
    <w:p w14:paraId="3D452544" w14:textId="232D099B" w:rsidR="00566AD3" w:rsidRPr="00FC48CF" w:rsidRDefault="00397258" w:rsidP="009A5467">
      <w:pPr>
        <w:pStyle w:val="Heading2"/>
        <w:rPr>
          <w:noProof/>
          <w:color w:val="auto"/>
          <w:lang w:val="en-IE"/>
        </w:rPr>
      </w:pPr>
      <w:bookmarkStart w:id="125" w:name="_Toc152772514"/>
      <w:bookmarkStart w:id="126" w:name="_Toc151122138"/>
      <w:bookmarkStart w:id="127" w:name="_Toc156461258"/>
      <w:r w:rsidRPr="00FC48CF">
        <w:rPr>
          <w:noProof/>
          <w:color w:val="auto"/>
          <w:lang w:val="en-IE"/>
        </w:rPr>
        <w:lastRenderedPageBreak/>
        <w:t xml:space="preserve">Objective 1. </w:t>
      </w:r>
      <w:r w:rsidR="009A5467" w:rsidRPr="00FC48CF">
        <w:rPr>
          <w:noProof/>
          <w:color w:val="auto"/>
          <w:lang w:val="en-IE"/>
        </w:rPr>
        <w:t>C</w:t>
      </w:r>
      <w:r w:rsidR="00566AD3" w:rsidRPr="00FC48CF">
        <w:rPr>
          <w:noProof/>
          <w:color w:val="auto"/>
          <w:lang w:val="en-IE"/>
        </w:rPr>
        <w:t>oherent system at EU level for all radio equipment</w:t>
      </w:r>
      <w:bookmarkEnd w:id="125"/>
      <w:bookmarkEnd w:id="126"/>
      <w:bookmarkEnd w:id="127"/>
    </w:p>
    <w:p w14:paraId="7FA75D79" w14:textId="16B68265" w:rsidR="00F039D6" w:rsidRPr="00F039D6" w:rsidRDefault="00F039D6" w:rsidP="00F039D6">
      <w:pPr>
        <w:rPr>
          <w:noProof/>
          <w:lang w:val="en-IE"/>
        </w:rPr>
      </w:pPr>
      <w:r>
        <w:rPr>
          <w:noProof/>
          <w:lang w:val="en-IE"/>
        </w:rPr>
        <w:t>Survey respondents raised the following issues</w:t>
      </w:r>
      <w:r w:rsidR="00525362">
        <w:rPr>
          <w:noProof/>
          <w:lang w:val="en-IE"/>
        </w:rPr>
        <w:t>:</w:t>
      </w:r>
    </w:p>
    <w:p w14:paraId="6D85D81F" w14:textId="4CD1585C" w:rsidR="00E42D43" w:rsidRDefault="006A393B" w:rsidP="00E42D43">
      <w:pPr>
        <w:pStyle w:val="ListParagraph"/>
        <w:numPr>
          <w:ilvl w:val="0"/>
          <w:numId w:val="35"/>
        </w:numPr>
        <w:rPr>
          <w:noProof/>
          <w:lang w:val="en-IE"/>
        </w:rPr>
      </w:pPr>
      <w:r>
        <w:rPr>
          <w:noProof/>
          <w:lang w:val="en-IE"/>
        </w:rPr>
        <w:t>E</w:t>
      </w:r>
      <w:r w:rsidR="00A108F5">
        <w:rPr>
          <w:noProof/>
          <w:lang w:val="en-IE"/>
        </w:rPr>
        <w:t xml:space="preserve">nsuring </w:t>
      </w:r>
      <w:r w:rsidR="00525362">
        <w:rPr>
          <w:noProof/>
          <w:lang w:val="en-IE"/>
        </w:rPr>
        <w:t>c</w:t>
      </w:r>
      <w:r w:rsidR="0075085F" w:rsidRPr="002F0513">
        <w:rPr>
          <w:noProof/>
          <w:lang w:val="en-IE"/>
        </w:rPr>
        <w:t>onsistency</w:t>
      </w:r>
      <w:r w:rsidR="00AF5656" w:rsidRPr="00E42D43">
        <w:rPr>
          <w:noProof/>
          <w:lang w:val="en-IE"/>
        </w:rPr>
        <w:t xml:space="preserve"> with many other relevant pieces of legislation </w:t>
      </w:r>
      <w:r w:rsidR="00525362">
        <w:rPr>
          <w:noProof/>
          <w:lang w:val="en-IE"/>
        </w:rPr>
        <w:t>is</w:t>
      </w:r>
      <w:r w:rsidR="00AF5656" w:rsidRPr="00E42D43">
        <w:rPr>
          <w:noProof/>
          <w:lang w:val="en-IE"/>
        </w:rPr>
        <w:t xml:space="preserve"> a challenge</w:t>
      </w:r>
      <w:r>
        <w:rPr>
          <w:noProof/>
          <w:lang w:val="en-IE"/>
        </w:rPr>
        <w:t>.</w:t>
      </w:r>
    </w:p>
    <w:p w14:paraId="1FC9CAE9" w14:textId="2DD4175C" w:rsidR="004572DD" w:rsidRPr="00E42D43" w:rsidRDefault="006A393B" w:rsidP="00E42D43">
      <w:pPr>
        <w:pStyle w:val="ListParagraph"/>
        <w:numPr>
          <w:ilvl w:val="0"/>
          <w:numId w:val="35"/>
        </w:numPr>
        <w:rPr>
          <w:noProof/>
          <w:lang w:val="en-IE"/>
        </w:rPr>
      </w:pPr>
      <w:r>
        <w:rPr>
          <w:noProof/>
          <w:lang w:val="en-IE"/>
        </w:rPr>
        <w:t>T</w:t>
      </w:r>
      <w:r w:rsidR="004572DD">
        <w:rPr>
          <w:noProof/>
          <w:lang w:val="en-IE"/>
        </w:rPr>
        <w:t xml:space="preserve">he lack of a fully harmonised </w:t>
      </w:r>
      <w:r w:rsidR="004572DD" w:rsidRPr="00E44DF5">
        <w:rPr>
          <w:noProof/>
          <w:lang w:val="en-IE"/>
        </w:rPr>
        <w:t>spectrum access</w:t>
      </w:r>
      <w:r w:rsidR="004572DD">
        <w:rPr>
          <w:noProof/>
          <w:lang w:val="en-IE"/>
        </w:rPr>
        <w:t xml:space="preserve"> regulation in the EU </w:t>
      </w:r>
      <w:r w:rsidR="00525362">
        <w:rPr>
          <w:noProof/>
          <w:lang w:val="en-IE"/>
        </w:rPr>
        <w:t xml:space="preserve">creates </w:t>
      </w:r>
      <w:r w:rsidR="004572DD">
        <w:rPr>
          <w:noProof/>
          <w:lang w:val="en-IE"/>
        </w:rPr>
        <w:t>market fragmentation</w:t>
      </w:r>
      <w:r>
        <w:rPr>
          <w:noProof/>
          <w:lang w:val="en-IE"/>
        </w:rPr>
        <w:t>.</w:t>
      </w:r>
    </w:p>
    <w:p w14:paraId="3FDCA9C5" w14:textId="151D3CE4" w:rsidR="008A4A6E" w:rsidRPr="006A393B" w:rsidRDefault="006A393B" w:rsidP="006A393B">
      <w:pPr>
        <w:pStyle w:val="ListParagraph"/>
        <w:numPr>
          <w:ilvl w:val="0"/>
          <w:numId w:val="35"/>
        </w:numPr>
        <w:rPr>
          <w:noProof/>
          <w:lang w:val="en-IE"/>
        </w:rPr>
      </w:pPr>
      <w:r w:rsidRPr="006A393B">
        <w:rPr>
          <w:noProof/>
          <w:lang w:val="en-IE"/>
        </w:rPr>
        <w:t>R</w:t>
      </w:r>
      <w:r w:rsidR="009C0E3C" w:rsidRPr="006A393B">
        <w:rPr>
          <w:noProof/>
          <w:lang w:val="en-IE"/>
        </w:rPr>
        <w:t>emaining differences between Member States should be removed</w:t>
      </w:r>
      <w:r>
        <w:rPr>
          <w:noProof/>
          <w:lang w:val="en-IE"/>
        </w:rPr>
        <w:t>.</w:t>
      </w:r>
    </w:p>
    <w:p w14:paraId="44215608" w14:textId="6A867911" w:rsidR="008A4A6E" w:rsidRDefault="006A393B" w:rsidP="008A4A6E">
      <w:pPr>
        <w:pStyle w:val="ListParagraph"/>
        <w:numPr>
          <w:ilvl w:val="0"/>
          <w:numId w:val="35"/>
        </w:numPr>
        <w:rPr>
          <w:noProof/>
          <w:lang w:val="en-IE"/>
        </w:rPr>
      </w:pPr>
      <w:r>
        <w:rPr>
          <w:noProof/>
          <w:lang w:val="en-IE"/>
        </w:rPr>
        <w:t>T</w:t>
      </w:r>
      <w:r w:rsidR="009C0E3C" w:rsidRPr="002F0513">
        <w:rPr>
          <w:noProof/>
          <w:lang w:val="en-IE"/>
        </w:rPr>
        <w:t>he</w:t>
      </w:r>
      <w:r w:rsidR="009C0E3C" w:rsidRPr="008A4A6E">
        <w:rPr>
          <w:noProof/>
          <w:lang w:val="en-IE"/>
        </w:rPr>
        <w:t xml:space="preserve"> essential requirements established by Article 3</w:t>
      </w:r>
      <w:r w:rsidR="005423CB">
        <w:rPr>
          <w:noProof/>
          <w:lang w:val="en-IE"/>
        </w:rPr>
        <w:t>(</w:t>
      </w:r>
      <w:r w:rsidR="009C0E3C" w:rsidRPr="008A4A6E">
        <w:rPr>
          <w:noProof/>
          <w:lang w:val="en-IE"/>
        </w:rPr>
        <w:t>3</w:t>
      </w:r>
      <w:r w:rsidR="005423CB">
        <w:rPr>
          <w:noProof/>
          <w:lang w:val="en-IE"/>
        </w:rPr>
        <w:t>)</w:t>
      </w:r>
      <w:r w:rsidR="00675F6B">
        <w:rPr>
          <w:noProof/>
          <w:lang w:val="en-IE"/>
        </w:rPr>
        <w:t xml:space="preserve"> of the RED</w:t>
      </w:r>
      <w:r w:rsidR="009C0E3C" w:rsidRPr="008A4A6E">
        <w:rPr>
          <w:noProof/>
          <w:lang w:val="en-IE"/>
        </w:rPr>
        <w:t xml:space="preserve"> are not related to interferences and electromagnetic immunity</w:t>
      </w:r>
      <w:r w:rsidR="00525362">
        <w:rPr>
          <w:noProof/>
          <w:lang w:val="en-IE"/>
        </w:rPr>
        <w:t>,</w:t>
      </w:r>
      <w:r w:rsidR="009C0E3C" w:rsidRPr="008A4A6E">
        <w:rPr>
          <w:noProof/>
          <w:lang w:val="en-IE"/>
        </w:rPr>
        <w:t xml:space="preserve"> and should therefore be regulated elsewhere</w:t>
      </w:r>
      <w:r>
        <w:rPr>
          <w:noProof/>
          <w:lang w:val="en-IE"/>
        </w:rPr>
        <w:t>.</w:t>
      </w:r>
      <w:r w:rsidR="009C0E3C" w:rsidRPr="008A4A6E">
        <w:rPr>
          <w:noProof/>
          <w:lang w:val="en-IE"/>
        </w:rPr>
        <w:t xml:space="preserve"> </w:t>
      </w:r>
    </w:p>
    <w:p w14:paraId="1C582042" w14:textId="709B7619" w:rsidR="008A4A6E" w:rsidRDefault="006A393B" w:rsidP="008A4A6E">
      <w:pPr>
        <w:pStyle w:val="ListParagraph"/>
        <w:numPr>
          <w:ilvl w:val="0"/>
          <w:numId w:val="35"/>
        </w:numPr>
        <w:rPr>
          <w:noProof/>
          <w:lang w:val="en-IE"/>
        </w:rPr>
      </w:pPr>
      <w:r>
        <w:rPr>
          <w:noProof/>
          <w:lang w:val="en-IE"/>
        </w:rPr>
        <w:t>T</w:t>
      </w:r>
      <w:r w:rsidR="00AF5656" w:rsidRPr="008A4A6E">
        <w:rPr>
          <w:noProof/>
          <w:lang w:val="en-IE"/>
        </w:rPr>
        <w:t xml:space="preserve">he </w:t>
      </w:r>
      <w:r w:rsidR="00866C88">
        <w:rPr>
          <w:noProof/>
          <w:lang w:val="en-IE"/>
        </w:rPr>
        <w:t xml:space="preserve">RED </w:t>
      </w:r>
      <w:r w:rsidR="00F70F58">
        <w:rPr>
          <w:noProof/>
          <w:lang w:val="en-IE"/>
        </w:rPr>
        <w:t xml:space="preserve">should </w:t>
      </w:r>
      <w:r w:rsidR="00AF5656" w:rsidRPr="008A4A6E">
        <w:rPr>
          <w:noProof/>
          <w:lang w:val="en-IE"/>
        </w:rPr>
        <w:t xml:space="preserve">be transformed into a </w:t>
      </w:r>
      <w:r w:rsidR="00866C88">
        <w:rPr>
          <w:noProof/>
          <w:lang w:val="en-IE"/>
        </w:rPr>
        <w:t>r</w:t>
      </w:r>
      <w:r w:rsidR="00AF5656" w:rsidRPr="002F0513">
        <w:rPr>
          <w:noProof/>
          <w:lang w:val="en-IE"/>
        </w:rPr>
        <w:t>egulation</w:t>
      </w:r>
      <w:r w:rsidR="00F70F58">
        <w:rPr>
          <w:noProof/>
          <w:lang w:val="en-IE"/>
        </w:rPr>
        <w:t>.</w:t>
      </w:r>
    </w:p>
    <w:p w14:paraId="20B3709B" w14:textId="224C7D45" w:rsidR="00566AD3" w:rsidRPr="00FC48CF" w:rsidRDefault="00397258" w:rsidP="009A5467">
      <w:pPr>
        <w:pStyle w:val="Heading2"/>
        <w:rPr>
          <w:noProof/>
          <w:color w:val="auto"/>
          <w:lang w:val="en-IE"/>
        </w:rPr>
      </w:pPr>
      <w:bookmarkStart w:id="128" w:name="_Toc152772515"/>
      <w:bookmarkStart w:id="129" w:name="_Toc151122139"/>
      <w:bookmarkStart w:id="130" w:name="_Toc156461259"/>
      <w:r w:rsidRPr="00FC48CF">
        <w:rPr>
          <w:noProof/>
          <w:color w:val="auto"/>
          <w:lang w:val="en-IE"/>
        </w:rPr>
        <w:t xml:space="preserve">Objective 2. </w:t>
      </w:r>
      <w:r w:rsidR="009A5467" w:rsidRPr="00FC48CF">
        <w:rPr>
          <w:noProof/>
          <w:color w:val="auto"/>
          <w:lang w:val="en-IE"/>
        </w:rPr>
        <w:t>C</w:t>
      </w:r>
      <w:r w:rsidR="00566AD3" w:rsidRPr="00FC48CF">
        <w:rPr>
          <w:noProof/>
          <w:color w:val="auto"/>
          <w:lang w:val="en-IE"/>
        </w:rPr>
        <w:t>onvergence of telecom, audio-visual and IT sectors</w:t>
      </w:r>
      <w:bookmarkEnd w:id="128"/>
      <w:bookmarkEnd w:id="129"/>
      <w:bookmarkEnd w:id="130"/>
    </w:p>
    <w:p w14:paraId="731B39D9" w14:textId="0C9C4EFF" w:rsidR="00E43BBE" w:rsidRPr="00E43BBE" w:rsidRDefault="00E43BBE" w:rsidP="00E43BBE">
      <w:pPr>
        <w:rPr>
          <w:noProof/>
          <w:lang w:val="en-IE"/>
        </w:rPr>
      </w:pPr>
      <w:r>
        <w:rPr>
          <w:noProof/>
          <w:lang w:val="en-IE"/>
        </w:rPr>
        <w:t xml:space="preserve">Respondents to the survey </w:t>
      </w:r>
      <w:r w:rsidRPr="002F0513">
        <w:rPr>
          <w:noProof/>
          <w:lang w:val="en-IE"/>
        </w:rPr>
        <w:t>consider</w:t>
      </w:r>
      <w:r w:rsidR="00866C88">
        <w:rPr>
          <w:noProof/>
          <w:lang w:val="en-IE"/>
        </w:rPr>
        <w:t>ed</w:t>
      </w:r>
      <w:r>
        <w:rPr>
          <w:noProof/>
          <w:lang w:val="en-IE"/>
        </w:rPr>
        <w:t xml:space="preserve"> the increasing number of wirelessly </w:t>
      </w:r>
      <w:r w:rsidRPr="002F0513">
        <w:rPr>
          <w:noProof/>
          <w:lang w:val="en-IE"/>
        </w:rPr>
        <w:t>connect</w:t>
      </w:r>
      <w:r w:rsidR="00866C88">
        <w:rPr>
          <w:noProof/>
          <w:lang w:val="en-IE"/>
        </w:rPr>
        <w:t>ed</w:t>
      </w:r>
      <w:r>
        <w:rPr>
          <w:noProof/>
          <w:lang w:val="en-IE"/>
        </w:rPr>
        <w:t xml:space="preserve"> products</w:t>
      </w:r>
      <w:r w:rsidR="00866C88">
        <w:rPr>
          <w:noProof/>
          <w:lang w:val="en-IE"/>
        </w:rPr>
        <w:t xml:space="preserve"> </w:t>
      </w:r>
      <w:r>
        <w:rPr>
          <w:noProof/>
          <w:lang w:val="en-IE"/>
        </w:rPr>
        <w:t xml:space="preserve">and </w:t>
      </w:r>
      <w:r w:rsidR="0001309F">
        <w:rPr>
          <w:noProof/>
          <w:lang w:val="en-IE"/>
        </w:rPr>
        <w:t xml:space="preserve">the growing body of </w:t>
      </w:r>
      <w:r>
        <w:rPr>
          <w:noProof/>
          <w:lang w:val="en-IE"/>
        </w:rPr>
        <w:t>related legislation as a</w:t>
      </w:r>
      <w:r w:rsidR="00007096">
        <w:rPr>
          <w:noProof/>
          <w:lang w:val="en-IE"/>
        </w:rPr>
        <w:t>n obstacle</w:t>
      </w:r>
      <w:r>
        <w:rPr>
          <w:noProof/>
          <w:lang w:val="en-IE"/>
        </w:rPr>
        <w:t xml:space="preserve"> to applying the RED</w:t>
      </w:r>
      <w:r w:rsidR="006A7FC9">
        <w:rPr>
          <w:noProof/>
          <w:lang w:val="en-IE"/>
        </w:rPr>
        <w:t xml:space="preserve">. </w:t>
      </w:r>
      <w:r w:rsidR="00866C88">
        <w:rPr>
          <w:noProof/>
          <w:lang w:val="en-IE"/>
        </w:rPr>
        <w:t>One suggestion was</w:t>
      </w:r>
      <w:r>
        <w:rPr>
          <w:noProof/>
          <w:lang w:val="en-IE"/>
        </w:rPr>
        <w:t xml:space="preserve"> </w:t>
      </w:r>
      <w:r w:rsidR="0001309F">
        <w:rPr>
          <w:noProof/>
          <w:lang w:val="en-IE"/>
        </w:rPr>
        <w:t>to merge the</w:t>
      </w:r>
      <w:r>
        <w:rPr>
          <w:noProof/>
          <w:lang w:val="en-IE"/>
        </w:rPr>
        <w:t xml:space="preserve"> RED</w:t>
      </w:r>
      <w:r w:rsidR="0001309F">
        <w:rPr>
          <w:noProof/>
          <w:lang w:val="en-IE"/>
        </w:rPr>
        <w:t xml:space="preserve">, </w:t>
      </w:r>
      <w:r>
        <w:rPr>
          <w:noProof/>
          <w:lang w:val="en-IE"/>
        </w:rPr>
        <w:t>the Electromagnetic Compatibility Directive</w:t>
      </w:r>
      <w:r w:rsidR="0001309F">
        <w:rPr>
          <w:noProof/>
          <w:lang w:val="en-IE"/>
        </w:rPr>
        <w:t xml:space="preserve"> and the Low Voltage Directive. </w:t>
      </w:r>
      <w:r w:rsidR="00757DFD">
        <w:rPr>
          <w:noProof/>
          <w:lang w:val="en-IE"/>
        </w:rPr>
        <w:t xml:space="preserve">It was proposed to </w:t>
      </w:r>
      <w:r w:rsidR="0001309F">
        <w:rPr>
          <w:noProof/>
          <w:lang w:val="en-IE"/>
        </w:rPr>
        <w:t xml:space="preserve">establish requirements and harmonised standards for </w:t>
      </w:r>
      <w:r w:rsidR="00FF413A">
        <w:rPr>
          <w:noProof/>
        </w:rPr>
        <w:t>combinations of radio and non-radio</w:t>
      </w:r>
      <w:r w:rsidR="001642C7">
        <w:rPr>
          <w:noProof/>
        </w:rPr>
        <w:t xml:space="preserve"> electrical</w:t>
      </w:r>
      <w:r w:rsidR="00FF413A">
        <w:rPr>
          <w:noProof/>
        </w:rPr>
        <w:t xml:space="preserve"> products</w:t>
      </w:r>
      <w:r w:rsidR="00AE5BF6">
        <w:rPr>
          <w:noProof/>
          <w:lang w:val="en-IE"/>
        </w:rPr>
        <w:t>.</w:t>
      </w:r>
      <w:r w:rsidR="00287C3E">
        <w:rPr>
          <w:noProof/>
          <w:lang w:val="en-IE"/>
        </w:rPr>
        <w:t xml:space="preserve"> </w:t>
      </w:r>
      <w:r w:rsidR="00866C88">
        <w:rPr>
          <w:noProof/>
          <w:lang w:val="en-IE"/>
        </w:rPr>
        <w:t>T</w:t>
      </w:r>
      <w:r w:rsidR="0001309F" w:rsidRPr="002F0513">
        <w:rPr>
          <w:noProof/>
          <w:lang w:val="en-IE"/>
        </w:rPr>
        <w:t>here</w:t>
      </w:r>
      <w:r w:rsidR="0001309F">
        <w:rPr>
          <w:noProof/>
          <w:lang w:val="en-IE"/>
        </w:rPr>
        <w:t xml:space="preserve"> was </w:t>
      </w:r>
      <w:r w:rsidR="00866C88">
        <w:rPr>
          <w:noProof/>
          <w:lang w:val="en-IE"/>
        </w:rPr>
        <w:t xml:space="preserve">also </w:t>
      </w:r>
      <w:r w:rsidR="0001309F">
        <w:rPr>
          <w:noProof/>
          <w:lang w:val="en-IE"/>
        </w:rPr>
        <w:t>a call for more active guidance on cybersecurity.</w:t>
      </w:r>
    </w:p>
    <w:p w14:paraId="1EF3A80D" w14:textId="31A6155C" w:rsidR="00566AD3" w:rsidRPr="00FC48CF" w:rsidRDefault="00397258" w:rsidP="009A5467">
      <w:pPr>
        <w:pStyle w:val="Heading2"/>
        <w:rPr>
          <w:noProof/>
          <w:color w:val="auto"/>
          <w:lang w:val="en-IE"/>
        </w:rPr>
      </w:pPr>
      <w:bookmarkStart w:id="131" w:name="_Toc152772516"/>
      <w:bookmarkStart w:id="132" w:name="_Toc151122140"/>
      <w:bookmarkStart w:id="133" w:name="_Toc156461260"/>
      <w:r w:rsidRPr="00FC48CF">
        <w:rPr>
          <w:noProof/>
          <w:color w:val="auto"/>
          <w:lang w:val="en-IE"/>
        </w:rPr>
        <w:t xml:space="preserve">Objective 3. </w:t>
      </w:r>
      <w:r w:rsidR="004361E7" w:rsidRPr="00FC48CF">
        <w:rPr>
          <w:noProof/>
          <w:color w:val="auto"/>
          <w:lang w:val="en-IE"/>
        </w:rPr>
        <w:t>R</w:t>
      </w:r>
      <w:r w:rsidR="00566AD3" w:rsidRPr="00FC48CF">
        <w:rPr>
          <w:noProof/>
          <w:color w:val="auto"/>
          <w:lang w:val="en-IE"/>
        </w:rPr>
        <w:t>egulatory measures to be harmonised at international level</w:t>
      </w:r>
      <w:bookmarkEnd w:id="131"/>
      <w:bookmarkEnd w:id="132"/>
      <w:bookmarkEnd w:id="133"/>
    </w:p>
    <w:p w14:paraId="54DE5313" w14:textId="77777777" w:rsidR="00905AE7" w:rsidRPr="00F039D6" w:rsidRDefault="00905AE7" w:rsidP="00905AE7">
      <w:pPr>
        <w:rPr>
          <w:noProof/>
          <w:lang w:val="en-IE"/>
        </w:rPr>
      </w:pPr>
      <w:r>
        <w:rPr>
          <w:noProof/>
          <w:lang w:val="en-IE"/>
        </w:rPr>
        <w:t>Survey respondents raised the following issues:</w:t>
      </w:r>
    </w:p>
    <w:p w14:paraId="3C724433" w14:textId="1419582D" w:rsidR="00AE5BF6" w:rsidRDefault="00514A86" w:rsidP="00AE5BF6">
      <w:pPr>
        <w:pStyle w:val="ListParagraph"/>
        <w:numPr>
          <w:ilvl w:val="0"/>
          <w:numId w:val="36"/>
        </w:numPr>
        <w:rPr>
          <w:noProof/>
          <w:lang w:val="en-IE"/>
        </w:rPr>
      </w:pPr>
      <w:r>
        <w:rPr>
          <w:noProof/>
          <w:lang w:val="en-IE"/>
        </w:rPr>
        <w:t>C</w:t>
      </w:r>
      <w:r w:rsidR="009C477C" w:rsidRPr="002F0513">
        <w:rPr>
          <w:noProof/>
          <w:lang w:val="en-IE"/>
        </w:rPr>
        <w:t>onsistency</w:t>
      </w:r>
      <w:r w:rsidR="009C477C" w:rsidRPr="00AE5BF6">
        <w:rPr>
          <w:noProof/>
          <w:lang w:val="en-IE"/>
        </w:rPr>
        <w:t xml:space="preserve"> </w:t>
      </w:r>
      <w:r w:rsidR="0075085F" w:rsidRPr="002F0513">
        <w:rPr>
          <w:noProof/>
          <w:lang w:val="en-IE"/>
        </w:rPr>
        <w:t xml:space="preserve">between </w:t>
      </w:r>
      <w:r w:rsidR="009C477C" w:rsidRPr="00AE5BF6">
        <w:rPr>
          <w:noProof/>
          <w:lang w:val="en-IE"/>
        </w:rPr>
        <w:t xml:space="preserve">pieces of legislation is </w:t>
      </w:r>
      <w:r w:rsidR="0075085F" w:rsidRPr="002F0513">
        <w:rPr>
          <w:noProof/>
          <w:lang w:val="en-IE"/>
        </w:rPr>
        <w:t xml:space="preserve">of </w:t>
      </w:r>
      <w:r w:rsidR="009C477C" w:rsidRPr="00AE5BF6">
        <w:rPr>
          <w:noProof/>
          <w:lang w:val="en-IE"/>
        </w:rPr>
        <w:t>paramount</w:t>
      </w:r>
      <w:r w:rsidR="0075085F" w:rsidRPr="002F0513">
        <w:rPr>
          <w:noProof/>
          <w:lang w:val="en-IE"/>
        </w:rPr>
        <w:t xml:space="preserve"> importance</w:t>
      </w:r>
      <w:r>
        <w:rPr>
          <w:noProof/>
          <w:lang w:val="en-IE"/>
        </w:rPr>
        <w:t>.</w:t>
      </w:r>
    </w:p>
    <w:p w14:paraId="500EE575" w14:textId="55D17D8B" w:rsidR="00AE5BF6" w:rsidRDefault="00514A86" w:rsidP="00AE5BF6">
      <w:pPr>
        <w:pStyle w:val="ListParagraph"/>
        <w:numPr>
          <w:ilvl w:val="0"/>
          <w:numId w:val="36"/>
        </w:numPr>
        <w:rPr>
          <w:noProof/>
          <w:lang w:val="en-IE"/>
        </w:rPr>
      </w:pPr>
      <w:r>
        <w:rPr>
          <w:noProof/>
          <w:lang w:val="en-IE"/>
        </w:rPr>
        <w:t>I</w:t>
      </w:r>
      <w:r w:rsidR="00CE58B3" w:rsidRPr="002F0513">
        <w:rPr>
          <w:noProof/>
          <w:lang w:val="en-IE"/>
        </w:rPr>
        <w:t xml:space="preserve">t </w:t>
      </w:r>
      <w:r w:rsidR="00670733" w:rsidRPr="002F0513">
        <w:rPr>
          <w:noProof/>
          <w:lang w:val="en-IE"/>
        </w:rPr>
        <w:t>is necessary to</w:t>
      </w:r>
      <w:r w:rsidR="00CE58B3" w:rsidRPr="00AE5BF6">
        <w:rPr>
          <w:noProof/>
          <w:lang w:val="en-IE"/>
        </w:rPr>
        <w:t xml:space="preserve"> consider how the circular economy </w:t>
      </w:r>
      <w:r w:rsidR="00670733" w:rsidRPr="002F0513">
        <w:rPr>
          <w:noProof/>
          <w:lang w:val="en-IE"/>
        </w:rPr>
        <w:t>will</w:t>
      </w:r>
      <w:r w:rsidR="00CE58B3" w:rsidRPr="00AE5BF6">
        <w:rPr>
          <w:noProof/>
          <w:lang w:val="en-IE"/>
        </w:rPr>
        <w:t xml:space="preserve"> be implemented in the RED sector</w:t>
      </w:r>
      <w:r w:rsidR="00670733" w:rsidRPr="002F0513">
        <w:rPr>
          <w:noProof/>
          <w:lang w:val="en-IE"/>
        </w:rPr>
        <w:t xml:space="preserve"> (</w:t>
      </w:r>
      <w:r w:rsidR="006A7FC9">
        <w:rPr>
          <w:noProof/>
          <w:lang w:val="en-IE"/>
        </w:rPr>
        <w:t>for example,</w:t>
      </w:r>
      <w:r w:rsidR="005423CB">
        <w:rPr>
          <w:noProof/>
          <w:lang w:val="en-IE"/>
        </w:rPr>
        <w:t xml:space="preserve"> </w:t>
      </w:r>
      <w:r w:rsidR="00CE58B3" w:rsidRPr="00AE5BF6">
        <w:rPr>
          <w:noProof/>
          <w:lang w:val="en-IE"/>
        </w:rPr>
        <w:t>refurbish</w:t>
      </w:r>
      <w:r w:rsidR="002404CA">
        <w:rPr>
          <w:noProof/>
          <w:lang w:val="en-IE"/>
        </w:rPr>
        <w:t>ed products</w:t>
      </w:r>
      <w:r w:rsidR="00670733" w:rsidRPr="002F0513">
        <w:rPr>
          <w:noProof/>
          <w:lang w:val="en-IE"/>
        </w:rPr>
        <w:t>)</w:t>
      </w:r>
      <w:r>
        <w:rPr>
          <w:noProof/>
          <w:lang w:val="en-IE"/>
        </w:rPr>
        <w:t>.</w:t>
      </w:r>
    </w:p>
    <w:p w14:paraId="4683688D" w14:textId="0FEEFCCC" w:rsidR="00AE5BF6" w:rsidRDefault="00514A86" w:rsidP="00AE5BF6">
      <w:pPr>
        <w:pStyle w:val="ListParagraph"/>
        <w:numPr>
          <w:ilvl w:val="0"/>
          <w:numId w:val="36"/>
        </w:numPr>
        <w:rPr>
          <w:noProof/>
          <w:lang w:val="en-IE"/>
        </w:rPr>
      </w:pPr>
      <w:r>
        <w:rPr>
          <w:noProof/>
          <w:lang w:val="en-IE"/>
        </w:rPr>
        <w:t>S</w:t>
      </w:r>
      <w:r w:rsidR="004D53F6" w:rsidRPr="002F0513">
        <w:rPr>
          <w:noProof/>
          <w:lang w:val="en-IE"/>
        </w:rPr>
        <w:t>tandards</w:t>
      </w:r>
      <w:r w:rsidR="004D53F6" w:rsidRPr="00AE5BF6">
        <w:rPr>
          <w:noProof/>
          <w:lang w:val="en-IE"/>
        </w:rPr>
        <w:t xml:space="preserve"> are considered important in the international perspective</w:t>
      </w:r>
      <w:r w:rsidR="00287C3E">
        <w:rPr>
          <w:noProof/>
          <w:lang w:val="en-IE"/>
        </w:rPr>
        <w:t>. Their citation should be must faster</w:t>
      </w:r>
      <w:r w:rsidR="00363EAE">
        <w:rPr>
          <w:noProof/>
          <w:lang w:val="en-IE"/>
        </w:rPr>
        <w:t>. A</w:t>
      </w:r>
      <w:r w:rsidR="00363EAE" w:rsidRPr="00AE5BF6">
        <w:rPr>
          <w:noProof/>
          <w:lang w:val="en-IE"/>
        </w:rPr>
        <w:t xml:space="preserve">fter the Commission tightened its rules for the citation of standards to increase legal certainty, some international standards </w:t>
      </w:r>
      <w:r w:rsidR="00363EAE" w:rsidRPr="002F0513">
        <w:rPr>
          <w:noProof/>
          <w:lang w:val="en-IE"/>
        </w:rPr>
        <w:t xml:space="preserve">were no longer </w:t>
      </w:r>
      <w:r w:rsidR="00363EAE" w:rsidRPr="00AE5BF6">
        <w:rPr>
          <w:noProof/>
          <w:lang w:val="en-IE"/>
        </w:rPr>
        <w:t>harmonised standards</w:t>
      </w:r>
      <w:r w:rsidR="0041069B">
        <w:rPr>
          <w:noProof/>
          <w:lang w:val="en-IE"/>
        </w:rPr>
        <w:t>.</w:t>
      </w:r>
    </w:p>
    <w:p w14:paraId="7AE17D47" w14:textId="0918A61F" w:rsidR="00B71AE1" w:rsidRDefault="00514A86" w:rsidP="00B71AE1">
      <w:pPr>
        <w:pStyle w:val="ListParagraph"/>
        <w:numPr>
          <w:ilvl w:val="0"/>
          <w:numId w:val="36"/>
        </w:numPr>
        <w:rPr>
          <w:noProof/>
          <w:lang w:val="en-IE"/>
        </w:rPr>
      </w:pPr>
      <w:r>
        <w:rPr>
          <w:noProof/>
          <w:lang w:val="en-IE"/>
        </w:rPr>
        <w:t>E</w:t>
      </w:r>
      <w:r w:rsidR="00A44843" w:rsidRPr="00AE5BF6">
        <w:rPr>
          <w:noProof/>
          <w:lang w:val="en-IE"/>
        </w:rPr>
        <w:t>lectronic CE</w:t>
      </w:r>
      <w:r w:rsidR="0075085F" w:rsidRPr="002F0513">
        <w:rPr>
          <w:noProof/>
          <w:lang w:val="en-IE"/>
        </w:rPr>
        <w:t xml:space="preserve"> </w:t>
      </w:r>
      <w:r w:rsidR="00A44843" w:rsidRPr="00AE5BF6">
        <w:rPr>
          <w:noProof/>
          <w:lang w:val="en-IE"/>
        </w:rPr>
        <w:t>marking and digital documentation should be studied</w:t>
      </w:r>
      <w:r>
        <w:rPr>
          <w:noProof/>
          <w:lang w:val="en-IE"/>
        </w:rPr>
        <w:t>.</w:t>
      </w:r>
    </w:p>
    <w:p w14:paraId="7D38FBE1" w14:textId="05B580DF" w:rsidR="00B71AE1" w:rsidRDefault="003B13C0" w:rsidP="00B71AE1">
      <w:pPr>
        <w:pStyle w:val="ListParagraph"/>
        <w:numPr>
          <w:ilvl w:val="0"/>
          <w:numId w:val="36"/>
        </w:numPr>
        <w:rPr>
          <w:noProof/>
          <w:lang w:val="en-IE"/>
        </w:rPr>
      </w:pPr>
      <w:r>
        <w:rPr>
          <w:noProof/>
          <w:lang w:val="en-IE"/>
        </w:rPr>
        <w:t>M</w:t>
      </w:r>
      <w:r w:rsidR="00054081" w:rsidRPr="00B71AE1">
        <w:rPr>
          <w:noProof/>
          <w:lang w:val="en-IE"/>
        </w:rPr>
        <w:t>arket surveillance actions and enforcement should be more harmonised</w:t>
      </w:r>
      <w:r>
        <w:rPr>
          <w:noProof/>
          <w:lang w:val="en-IE"/>
        </w:rPr>
        <w:t>.</w:t>
      </w:r>
    </w:p>
    <w:p w14:paraId="605C9BC1" w14:textId="11A9A338" w:rsidR="00B71AE1" w:rsidRDefault="003B13C0" w:rsidP="00B71AE1">
      <w:pPr>
        <w:pStyle w:val="ListParagraph"/>
        <w:numPr>
          <w:ilvl w:val="0"/>
          <w:numId w:val="36"/>
        </w:numPr>
        <w:rPr>
          <w:noProof/>
          <w:lang w:val="en-IE"/>
        </w:rPr>
      </w:pPr>
      <w:r>
        <w:rPr>
          <w:noProof/>
          <w:lang w:val="en-IE"/>
        </w:rPr>
        <w:t>H</w:t>
      </w:r>
      <w:r w:rsidR="00054081" w:rsidRPr="002F0513">
        <w:rPr>
          <w:noProof/>
          <w:lang w:val="en-IE"/>
        </w:rPr>
        <w:t>armonisation</w:t>
      </w:r>
      <w:r w:rsidR="00054081" w:rsidRPr="00B71AE1">
        <w:rPr>
          <w:noProof/>
          <w:lang w:val="en-IE"/>
        </w:rPr>
        <w:t xml:space="preserve"> of the requirements for radio equipment </w:t>
      </w:r>
      <w:r w:rsidR="00670733" w:rsidRPr="002F0513">
        <w:rPr>
          <w:noProof/>
          <w:lang w:val="en-IE"/>
        </w:rPr>
        <w:t xml:space="preserve">between </w:t>
      </w:r>
      <w:r w:rsidR="00054081" w:rsidRPr="00B71AE1">
        <w:rPr>
          <w:noProof/>
          <w:lang w:val="en-IE"/>
        </w:rPr>
        <w:t>the EU and North America is considered to have great potential</w:t>
      </w:r>
      <w:r>
        <w:rPr>
          <w:noProof/>
          <w:lang w:val="en-IE"/>
        </w:rPr>
        <w:t>.</w:t>
      </w:r>
    </w:p>
    <w:p w14:paraId="6C348F31" w14:textId="33E75869" w:rsidR="00054081" w:rsidRPr="00B71AE1" w:rsidRDefault="003B13C0" w:rsidP="00B71AE1">
      <w:pPr>
        <w:pStyle w:val="ListParagraph"/>
        <w:numPr>
          <w:ilvl w:val="0"/>
          <w:numId w:val="36"/>
        </w:numPr>
        <w:rPr>
          <w:noProof/>
          <w:lang w:val="en-IE"/>
        </w:rPr>
      </w:pPr>
      <w:r>
        <w:rPr>
          <w:noProof/>
          <w:lang w:val="en-IE"/>
        </w:rPr>
        <w:t>I</w:t>
      </w:r>
      <w:r w:rsidR="00374DA5" w:rsidRPr="002F0513">
        <w:rPr>
          <w:noProof/>
          <w:lang w:val="en-IE"/>
        </w:rPr>
        <w:t>nternational</w:t>
      </w:r>
      <w:r w:rsidR="00374DA5" w:rsidRPr="00B71AE1">
        <w:rPr>
          <w:noProof/>
          <w:lang w:val="en-IE"/>
        </w:rPr>
        <w:t xml:space="preserve"> c</w:t>
      </w:r>
      <w:r w:rsidR="00054081" w:rsidRPr="00B71AE1">
        <w:rPr>
          <w:noProof/>
          <w:lang w:val="en-IE"/>
        </w:rPr>
        <w:t xml:space="preserve">ooperation on market surveillance and </w:t>
      </w:r>
      <w:r w:rsidR="00374DA5" w:rsidRPr="00B71AE1">
        <w:rPr>
          <w:noProof/>
          <w:lang w:val="en-IE"/>
        </w:rPr>
        <w:t xml:space="preserve">on </w:t>
      </w:r>
      <w:r w:rsidR="00054081" w:rsidRPr="00B71AE1">
        <w:rPr>
          <w:noProof/>
          <w:lang w:val="en-IE"/>
        </w:rPr>
        <w:t>accreditation is important</w:t>
      </w:r>
      <w:r w:rsidR="00397258" w:rsidRPr="00B71AE1">
        <w:rPr>
          <w:noProof/>
          <w:lang w:val="en-IE"/>
        </w:rPr>
        <w:t>.</w:t>
      </w:r>
    </w:p>
    <w:p w14:paraId="0482C7FA" w14:textId="7C3C9B1E" w:rsidR="00566AD3" w:rsidRPr="00FC48CF" w:rsidRDefault="00397258" w:rsidP="009A5467">
      <w:pPr>
        <w:pStyle w:val="Heading2"/>
        <w:rPr>
          <w:noProof/>
          <w:color w:val="auto"/>
          <w:lang w:val="en-IE"/>
        </w:rPr>
      </w:pPr>
      <w:bookmarkStart w:id="134" w:name="_Toc152772517"/>
      <w:bookmarkStart w:id="135" w:name="_Toc151122141"/>
      <w:bookmarkStart w:id="136" w:name="_Toc156461261"/>
      <w:r w:rsidRPr="00FC48CF">
        <w:rPr>
          <w:noProof/>
          <w:color w:val="auto"/>
          <w:lang w:val="en-IE"/>
        </w:rPr>
        <w:t xml:space="preserve">Objective 4. </w:t>
      </w:r>
      <w:r w:rsidR="004361E7" w:rsidRPr="00FC48CF">
        <w:rPr>
          <w:noProof/>
          <w:color w:val="auto"/>
          <w:lang w:val="en-IE"/>
        </w:rPr>
        <w:t>H</w:t>
      </w:r>
      <w:r w:rsidR="00566AD3" w:rsidRPr="00FC48CF">
        <w:rPr>
          <w:noProof/>
          <w:color w:val="auto"/>
          <w:lang w:val="en-IE"/>
        </w:rPr>
        <w:t>igh level of consumer protection</w:t>
      </w:r>
      <w:bookmarkEnd w:id="134"/>
      <w:bookmarkEnd w:id="135"/>
      <w:bookmarkEnd w:id="136"/>
    </w:p>
    <w:p w14:paraId="19F88F69" w14:textId="687D9AE4" w:rsidR="00383C92" w:rsidRPr="00F039D6" w:rsidRDefault="00383C92" w:rsidP="00383C92">
      <w:pPr>
        <w:rPr>
          <w:noProof/>
          <w:lang w:val="en-IE"/>
        </w:rPr>
      </w:pPr>
      <w:r>
        <w:rPr>
          <w:noProof/>
          <w:lang w:val="en-IE"/>
        </w:rPr>
        <w:t xml:space="preserve">Survey respondents raised </w:t>
      </w:r>
      <w:r w:rsidR="003A66C2">
        <w:rPr>
          <w:noProof/>
          <w:lang w:val="en-IE"/>
        </w:rPr>
        <w:t>several issues.</w:t>
      </w:r>
    </w:p>
    <w:p w14:paraId="155665BF" w14:textId="3CEC904A" w:rsidR="00FF65E8" w:rsidRDefault="00383C92" w:rsidP="00FF65E8">
      <w:pPr>
        <w:pStyle w:val="ListParagraph"/>
        <w:numPr>
          <w:ilvl w:val="0"/>
          <w:numId w:val="37"/>
        </w:numPr>
        <w:rPr>
          <w:noProof/>
          <w:lang w:val="en-IE"/>
        </w:rPr>
      </w:pPr>
      <w:r w:rsidRPr="00FF65E8">
        <w:rPr>
          <w:noProof/>
          <w:lang w:val="en-IE"/>
        </w:rPr>
        <w:t xml:space="preserve">Self-assessment based on harmonised standards creates a dynamic </w:t>
      </w:r>
      <w:r w:rsidR="003A66C2">
        <w:rPr>
          <w:noProof/>
          <w:lang w:val="en-IE"/>
        </w:rPr>
        <w:t xml:space="preserve">and self-adapting </w:t>
      </w:r>
      <w:r w:rsidRPr="00FF65E8">
        <w:rPr>
          <w:noProof/>
          <w:lang w:val="en-IE"/>
        </w:rPr>
        <w:t>framework. However, compliance is too dependent on the integrity of the manufacturers</w:t>
      </w:r>
      <w:r w:rsidR="003A66C2">
        <w:rPr>
          <w:noProof/>
          <w:lang w:val="en-IE"/>
        </w:rPr>
        <w:t xml:space="preserve"> </w:t>
      </w:r>
      <w:r w:rsidR="003A66C2">
        <w:rPr>
          <w:noProof/>
          <w:lang w:val="en-IE"/>
        </w:rPr>
        <w:lastRenderedPageBreak/>
        <w:t>and has</w:t>
      </w:r>
      <w:r w:rsidRPr="00FF65E8">
        <w:rPr>
          <w:noProof/>
          <w:lang w:val="en-IE"/>
        </w:rPr>
        <w:t xml:space="preserve"> </w:t>
      </w:r>
      <w:r w:rsidR="003A66C2">
        <w:rPr>
          <w:noProof/>
          <w:lang w:val="en-IE"/>
        </w:rPr>
        <w:t xml:space="preserve">led </w:t>
      </w:r>
      <w:r w:rsidRPr="00FF65E8">
        <w:rPr>
          <w:noProof/>
          <w:lang w:val="en-IE"/>
        </w:rPr>
        <w:t xml:space="preserve">to low levels of compliance. A register in which exclusively notified bodies could register products would help </w:t>
      </w:r>
      <w:r w:rsidR="003A66C2">
        <w:rPr>
          <w:noProof/>
          <w:lang w:val="en-IE"/>
        </w:rPr>
        <w:t xml:space="preserve">improve </w:t>
      </w:r>
      <w:r w:rsidRPr="00FF65E8">
        <w:rPr>
          <w:noProof/>
          <w:lang w:val="en-IE"/>
        </w:rPr>
        <w:t xml:space="preserve">compliance. </w:t>
      </w:r>
    </w:p>
    <w:p w14:paraId="40A0FE10" w14:textId="67856BC2" w:rsidR="00FF65E8" w:rsidRDefault="00383C92" w:rsidP="00FF65E8">
      <w:pPr>
        <w:pStyle w:val="ListParagraph"/>
        <w:numPr>
          <w:ilvl w:val="0"/>
          <w:numId w:val="37"/>
        </w:numPr>
        <w:rPr>
          <w:noProof/>
          <w:lang w:val="en-IE"/>
        </w:rPr>
      </w:pPr>
      <w:r w:rsidRPr="00FF65E8">
        <w:rPr>
          <w:noProof/>
          <w:lang w:val="en-IE"/>
        </w:rPr>
        <w:t>The safeguard procedure is not easily applicable</w:t>
      </w:r>
      <w:r w:rsidR="003A66C2">
        <w:rPr>
          <w:noProof/>
          <w:lang w:val="en-IE"/>
        </w:rPr>
        <w:t xml:space="preserve"> (in particular, </w:t>
      </w:r>
      <w:r w:rsidRPr="00FF65E8">
        <w:rPr>
          <w:noProof/>
          <w:lang w:val="en-IE"/>
        </w:rPr>
        <w:t>when a decision is challenged in court</w:t>
      </w:r>
      <w:r w:rsidR="003A66C2">
        <w:rPr>
          <w:noProof/>
          <w:lang w:val="en-IE"/>
        </w:rPr>
        <w:t>)</w:t>
      </w:r>
      <w:r w:rsidRPr="002F0513">
        <w:rPr>
          <w:noProof/>
          <w:lang w:val="en-IE"/>
        </w:rPr>
        <w:t>.</w:t>
      </w:r>
      <w:r w:rsidRPr="00FF65E8">
        <w:rPr>
          <w:noProof/>
          <w:lang w:val="en-IE"/>
        </w:rPr>
        <w:t xml:space="preserve"> </w:t>
      </w:r>
    </w:p>
    <w:p w14:paraId="21D5C8FB" w14:textId="0483EFA9" w:rsidR="00FF65E8" w:rsidRDefault="00383C92" w:rsidP="00FF65E8">
      <w:pPr>
        <w:pStyle w:val="ListParagraph"/>
        <w:numPr>
          <w:ilvl w:val="0"/>
          <w:numId w:val="37"/>
        </w:numPr>
        <w:rPr>
          <w:noProof/>
          <w:lang w:val="en-IE"/>
        </w:rPr>
      </w:pPr>
      <w:r w:rsidRPr="00FF65E8">
        <w:rPr>
          <w:noProof/>
          <w:lang w:val="en-IE"/>
        </w:rPr>
        <w:t>SAR values should be printed on the package</w:t>
      </w:r>
      <w:r w:rsidR="00EA2DB5">
        <w:rPr>
          <w:noProof/>
          <w:lang w:val="en-IE"/>
        </w:rPr>
        <w:t xml:space="preserve"> so that the consumers are informed</w:t>
      </w:r>
      <w:r w:rsidRPr="00FF65E8">
        <w:rPr>
          <w:noProof/>
          <w:lang w:val="en-IE"/>
        </w:rPr>
        <w:t xml:space="preserve">. </w:t>
      </w:r>
    </w:p>
    <w:p w14:paraId="283E7FB6" w14:textId="79BB1565" w:rsidR="00566AD3" w:rsidRPr="00FC48CF" w:rsidRDefault="00397258" w:rsidP="009A5467">
      <w:pPr>
        <w:pStyle w:val="Heading2"/>
        <w:rPr>
          <w:noProof/>
          <w:color w:val="auto"/>
          <w:lang w:val="en-IE"/>
        </w:rPr>
      </w:pPr>
      <w:bookmarkStart w:id="137" w:name="_Toc152772518"/>
      <w:bookmarkStart w:id="138" w:name="_Toc151122142"/>
      <w:bookmarkStart w:id="139" w:name="_Toc156461262"/>
      <w:r w:rsidRPr="00FC48CF">
        <w:rPr>
          <w:noProof/>
          <w:color w:val="auto"/>
          <w:lang w:val="en-IE"/>
        </w:rPr>
        <w:t xml:space="preserve">Objective 5. </w:t>
      </w:r>
      <w:r w:rsidR="004361E7" w:rsidRPr="00FC48CF">
        <w:rPr>
          <w:noProof/>
          <w:color w:val="auto"/>
          <w:lang w:val="en-IE"/>
        </w:rPr>
        <w:t>P</w:t>
      </w:r>
      <w:r w:rsidR="00566AD3" w:rsidRPr="00FC48CF">
        <w:rPr>
          <w:noProof/>
          <w:color w:val="auto"/>
          <w:lang w:val="en-IE"/>
        </w:rPr>
        <w:t>ortable radio equipment interworks with accessories</w:t>
      </w:r>
      <w:r w:rsidR="00EB516B" w:rsidRPr="00FC48CF">
        <w:rPr>
          <w:noProof/>
          <w:color w:val="auto"/>
          <w:lang w:val="en-IE"/>
        </w:rPr>
        <w:t>, in particular with</w:t>
      </w:r>
      <w:r w:rsidR="00566AD3" w:rsidRPr="00FC48CF">
        <w:rPr>
          <w:noProof/>
          <w:color w:val="auto"/>
          <w:lang w:val="en-IE"/>
        </w:rPr>
        <w:t xml:space="preserve"> common charger</w:t>
      </w:r>
      <w:r w:rsidR="00EB516B" w:rsidRPr="00FC48CF">
        <w:rPr>
          <w:noProof/>
          <w:color w:val="auto"/>
          <w:lang w:val="en-IE"/>
        </w:rPr>
        <w:t>s</w:t>
      </w:r>
      <w:bookmarkEnd w:id="137"/>
      <w:bookmarkEnd w:id="138"/>
      <w:bookmarkEnd w:id="139"/>
    </w:p>
    <w:p w14:paraId="7D76C530" w14:textId="57818935" w:rsidR="00A278A8" w:rsidRDefault="00A278A8" w:rsidP="00A278A8">
      <w:pPr>
        <w:rPr>
          <w:noProof/>
          <w:lang w:val="en-IE"/>
        </w:rPr>
      </w:pPr>
      <w:r>
        <w:rPr>
          <w:noProof/>
          <w:lang w:val="en-IE"/>
        </w:rPr>
        <w:t>The survey respondents welcome</w:t>
      </w:r>
      <w:r w:rsidR="000C23B5">
        <w:rPr>
          <w:noProof/>
          <w:lang w:val="en-IE"/>
        </w:rPr>
        <w:t>d</w:t>
      </w:r>
      <w:r>
        <w:rPr>
          <w:noProof/>
          <w:lang w:val="en-IE"/>
        </w:rPr>
        <w:t xml:space="preserve"> the adoption of</w:t>
      </w:r>
      <w:r w:rsidR="00F82E19">
        <w:rPr>
          <w:noProof/>
          <w:lang w:val="en-IE"/>
        </w:rPr>
        <w:t xml:space="preserve"> the Common Charger Directive</w:t>
      </w:r>
      <w:r w:rsidR="003A66C2">
        <w:rPr>
          <w:noProof/>
          <w:lang w:val="en-IE"/>
        </w:rPr>
        <w:t xml:space="preserve"> and noted that:</w:t>
      </w:r>
    </w:p>
    <w:p w14:paraId="7D148AFF" w14:textId="6E25234A" w:rsidR="00EB516B" w:rsidRDefault="003B13C0" w:rsidP="00EB516B">
      <w:pPr>
        <w:pStyle w:val="ListParagraph"/>
        <w:numPr>
          <w:ilvl w:val="0"/>
          <w:numId w:val="38"/>
        </w:numPr>
        <w:rPr>
          <w:noProof/>
          <w:lang w:val="en-IE"/>
        </w:rPr>
      </w:pPr>
      <w:r>
        <w:rPr>
          <w:noProof/>
          <w:lang w:val="en-IE"/>
        </w:rPr>
        <w:t>T</w:t>
      </w:r>
      <w:r w:rsidR="00A278A8" w:rsidRPr="00EB516B">
        <w:rPr>
          <w:noProof/>
          <w:lang w:val="en-IE"/>
        </w:rPr>
        <w:t xml:space="preserve">he Common Charger Directive will need to be updated in the future to accommodate </w:t>
      </w:r>
      <w:r w:rsidR="009E7528" w:rsidRPr="00EB516B">
        <w:rPr>
          <w:noProof/>
          <w:lang w:val="en-IE"/>
        </w:rPr>
        <w:t xml:space="preserve">technical and legal developments </w:t>
      </w:r>
      <w:r w:rsidR="00A278A8" w:rsidRPr="00EB516B">
        <w:rPr>
          <w:noProof/>
          <w:lang w:val="en-IE"/>
        </w:rPr>
        <w:t>and to regulate further aspects</w:t>
      </w:r>
      <w:r>
        <w:rPr>
          <w:noProof/>
          <w:lang w:val="en-IE"/>
        </w:rPr>
        <w:t>.</w:t>
      </w:r>
    </w:p>
    <w:p w14:paraId="740C857B" w14:textId="6AB0F6EF" w:rsidR="00EB516B" w:rsidRDefault="003B13C0" w:rsidP="00EB516B">
      <w:pPr>
        <w:pStyle w:val="ListParagraph"/>
        <w:numPr>
          <w:ilvl w:val="0"/>
          <w:numId w:val="38"/>
        </w:numPr>
        <w:rPr>
          <w:noProof/>
          <w:lang w:val="en-IE"/>
        </w:rPr>
      </w:pPr>
      <w:r>
        <w:rPr>
          <w:noProof/>
          <w:lang w:val="en-IE"/>
        </w:rPr>
        <w:t>T</w:t>
      </w:r>
      <w:r w:rsidR="00A278A8" w:rsidRPr="00EB516B">
        <w:rPr>
          <w:noProof/>
          <w:lang w:val="en-IE"/>
        </w:rPr>
        <w:t xml:space="preserve">he reduction of electrical waste and the renewal of the Ecodesign Directive need to be considered when developing further rules </w:t>
      </w:r>
      <w:r w:rsidR="00A278A8" w:rsidRPr="002F0513">
        <w:rPr>
          <w:noProof/>
          <w:lang w:val="en-IE"/>
        </w:rPr>
        <w:t>o</w:t>
      </w:r>
      <w:r w:rsidR="003A66C2">
        <w:rPr>
          <w:noProof/>
          <w:lang w:val="en-IE"/>
        </w:rPr>
        <w:t>n</w:t>
      </w:r>
      <w:r w:rsidR="00A278A8" w:rsidRPr="00EB516B">
        <w:rPr>
          <w:noProof/>
          <w:lang w:val="en-IE"/>
        </w:rPr>
        <w:t xml:space="preserve"> common chargers</w:t>
      </w:r>
      <w:r>
        <w:rPr>
          <w:noProof/>
          <w:lang w:val="en-IE"/>
        </w:rPr>
        <w:t>.</w:t>
      </w:r>
    </w:p>
    <w:p w14:paraId="2197EC8D" w14:textId="2C5F73BF" w:rsidR="00A278A8" w:rsidRPr="00EB516B" w:rsidRDefault="003B13C0" w:rsidP="00EB516B">
      <w:pPr>
        <w:pStyle w:val="ListParagraph"/>
        <w:numPr>
          <w:ilvl w:val="0"/>
          <w:numId w:val="38"/>
        </w:numPr>
        <w:rPr>
          <w:noProof/>
          <w:lang w:val="en-IE"/>
        </w:rPr>
      </w:pPr>
      <w:r>
        <w:rPr>
          <w:noProof/>
          <w:lang w:val="en-IE"/>
        </w:rPr>
        <w:t>P</w:t>
      </w:r>
      <w:r w:rsidR="00A278A8" w:rsidRPr="00EB516B">
        <w:rPr>
          <w:noProof/>
          <w:lang w:val="en-IE"/>
        </w:rPr>
        <w:t xml:space="preserve">roduct manuals should </w:t>
      </w:r>
      <w:r w:rsidR="003A66C2">
        <w:rPr>
          <w:noProof/>
          <w:lang w:val="en-IE"/>
        </w:rPr>
        <w:t xml:space="preserve">contain </w:t>
      </w:r>
      <w:r w:rsidR="00A278A8" w:rsidRPr="00EB516B">
        <w:rPr>
          <w:noProof/>
          <w:lang w:val="en-IE"/>
        </w:rPr>
        <w:t xml:space="preserve">information on the interworking </w:t>
      </w:r>
      <w:r w:rsidR="009E7528" w:rsidRPr="00EB516B">
        <w:rPr>
          <w:noProof/>
          <w:lang w:val="en-IE"/>
        </w:rPr>
        <w:t>with accessories</w:t>
      </w:r>
      <w:r w:rsidR="00A278A8" w:rsidRPr="00EB516B">
        <w:rPr>
          <w:noProof/>
          <w:lang w:val="en-IE"/>
        </w:rPr>
        <w:t xml:space="preserve">. </w:t>
      </w:r>
    </w:p>
    <w:p w14:paraId="00B6444F" w14:textId="1BE94F5B" w:rsidR="00566AD3" w:rsidRPr="00FC48CF" w:rsidRDefault="00397258" w:rsidP="009A5467">
      <w:pPr>
        <w:pStyle w:val="Heading2"/>
        <w:rPr>
          <w:noProof/>
          <w:color w:val="auto"/>
          <w:lang w:val="en-IE"/>
        </w:rPr>
      </w:pPr>
      <w:bookmarkStart w:id="140" w:name="_Ref139890643"/>
      <w:bookmarkStart w:id="141" w:name="_Ref139891589"/>
      <w:bookmarkStart w:id="142" w:name="_Toc152772519"/>
      <w:bookmarkStart w:id="143" w:name="_Toc151122143"/>
      <w:bookmarkStart w:id="144" w:name="_Toc156461263"/>
      <w:r w:rsidRPr="00FC48CF">
        <w:rPr>
          <w:noProof/>
          <w:color w:val="auto"/>
          <w:lang w:val="en-IE"/>
        </w:rPr>
        <w:t xml:space="preserve">Objective 6. </w:t>
      </w:r>
      <w:r w:rsidR="004361E7" w:rsidRPr="00FC48CF">
        <w:rPr>
          <w:noProof/>
          <w:color w:val="auto"/>
          <w:lang w:val="en-IE"/>
        </w:rPr>
        <w:t>D</w:t>
      </w:r>
      <w:r w:rsidR="00566AD3" w:rsidRPr="00FC48CF">
        <w:rPr>
          <w:noProof/>
          <w:color w:val="auto"/>
          <w:lang w:val="en-IE"/>
        </w:rPr>
        <w:t>isplay of required information on integral screen</w:t>
      </w:r>
      <w:bookmarkEnd w:id="140"/>
      <w:bookmarkEnd w:id="141"/>
      <w:bookmarkEnd w:id="142"/>
      <w:bookmarkEnd w:id="143"/>
      <w:bookmarkEnd w:id="144"/>
    </w:p>
    <w:p w14:paraId="13653174" w14:textId="32F45976" w:rsidR="001721DD" w:rsidRDefault="001721DD" w:rsidP="00C506B4">
      <w:pPr>
        <w:rPr>
          <w:noProof/>
          <w:lang w:val="en-IE"/>
        </w:rPr>
      </w:pPr>
      <w:r>
        <w:rPr>
          <w:noProof/>
          <w:lang w:val="en-IE"/>
        </w:rPr>
        <w:t>Most respondents saw the benefits</w:t>
      </w:r>
      <w:r w:rsidR="003A66C2">
        <w:rPr>
          <w:noProof/>
          <w:lang w:val="en-IE"/>
        </w:rPr>
        <w:t xml:space="preserve"> (</w:t>
      </w:r>
      <w:r>
        <w:rPr>
          <w:noProof/>
          <w:lang w:val="en-IE"/>
        </w:rPr>
        <w:t>especially in terms of reducing (paper) waste</w:t>
      </w:r>
      <w:r w:rsidR="003A66C2">
        <w:rPr>
          <w:noProof/>
          <w:lang w:val="en-IE"/>
        </w:rPr>
        <w:t>) but were</w:t>
      </w:r>
      <w:r>
        <w:rPr>
          <w:noProof/>
          <w:lang w:val="en-IE"/>
        </w:rPr>
        <w:t xml:space="preserve"> aware of the challenges that this would pose for market surveillance authorities, customs control and final users. Respondents pointed out complications </w:t>
      </w:r>
      <w:r w:rsidR="003A66C2">
        <w:rPr>
          <w:noProof/>
          <w:lang w:val="en-IE"/>
        </w:rPr>
        <w:t xml:space="preserve">(e.g. </w:t>
      </w:r>
      <w:r>
        <w:rPr>
          <w:noProof/>
          <w:lang w:val="en-IE"/>
        </w:rPr>
        <w:t xml:space="preserve">the products </w:t>
      </w:r>
      <w:r w:rsidRPr="002F0513">
        <w:rPr>
          <w:noProof/>
          <w:lang w:val="en-IE"/>
        </w:rPr>
        <w:t>hav</w:t>
      </w:r>
      <w:r w:rsidR="003A66C2">
        <w:rPr>
          <w:noProof/>
          <w:lang w:val="en-IE"/>
        </w:rPr>
        <w:t>e</w:t>
      </w:r>
      <w:r>
        <w:rPr>
          <w:noProof/>
          <w:lang w:val="en-IE"/>
        </w:rPr>
        <w:t xml:space="preserve"> to have a </w:t>
      </w:r>
      <w:r w:rsidR="003A66C2">
        <w:rPr>
          <w:noProof/>
          <w:lang w:val="en-IE"/>
        </w:rPr>
        <w:t xml:space="preserve">battery that is </w:t>
      </w:r>
      <w:r>
        <w:rPr>
          <w:noProof/>
          <w:lang w:val="en-IE"/>
        </w:rPr>
        <w:t>at least partially charged</w:t>
      </w:r>
      <w:r w:rsidR="003A66C2">
        <w:rPr>
          <w:noProof/>
          <w:lang w:val="en-IE"/>
        </w:rPr>
        <w:t>; the need</w:t>
      </w:r>
      <w:r>
        <w:rPr>
          <w:noProof/>
          <w:lang w:val="en-IE"/>
        </w:rPr>
        <w:t xml:space="preserve"> to open the package and to remove the screen protection film</w:t>
      </w:r>
      <w:r w:rsidR="008446D2">
        <w:rPr>
          <w:noProof/>
          <w:lang w:val="en-IE"/>
        </w:rPr>
        <w:t>;</w:t>
      </w:r>
      <w:r>
        <w:rPr>
          <w:noProof/>
          <w:lang w:val="en-IE"/>
        </w:rPr>
        <w:t xml:space="preserve"> and the </w:t>
      </w:r>
      <w:r w:rsidR="008446D2">
        <w:rPr>
          <w:noProof/>
          <w:lang w:val="en-IE"/>
        </w:rPr>
        <w:t xml:space="preserve">need for </w:t>
      </w:r>
      <w:r>
        <w:rPr>
          <w:noProof/>
          <w:lang w:val="en-IE"/>
        </w:rPr>
        <w:t>information to be unchangeable</w:t>
      </w:r>
      <w:r w:rsidR="008446D2">
        <w:rPr>
          <w:noProof/>
          <w:lang w:val="en-IE"/>
        </w:rPr>
        <w:t>)</w:t>
      </w:r>
      <w:r w:rsidRPr="002F0513">
        <w:rPr>
          <w:noProof/>
          <w:lang w:val="en-IE"/>
        </w:rPr>
        <w:t>.</w:t>
      </w:r>
      <w:r>
        <w:rPr>
          <w:noProof/>
          <w:lang w:val="en-IE"/>
        </w:rPr>
        <w:t xml:space="preserve"> </w:t>
      </w:r>
      <w:r w:rsidR="008446D2">
        <w:rPr>
          <w:noProof/>
          <w:lang w:val="en-IE"/>
        </w:rPr>
        <w:t>T</w:t>
      </w:r>
      <w:r w:rsidRPr="002F0513">
        <w:rPr>
          <w:noProof/>
          <w:lang w:val="en-IE"/>
        </w:rPr>
        <w:t xml:space="preserve">hey </w:t>
      </w:r>
      <w:r w:rsidR="008446D2">
        <w:rPr>
          <w:noProof/>
          <w:lang w:val="en-IE"/>
        </w:rPr>
        <w:t>therefore</w:t>
      </w:r>
      <w:r>
        <w:rPr>
          <w:noProof/>
          <w:lang w:val="en-IE"/>
        </w:rPr>
        <w:t xml:space="preserve"> called for this</w:t>
      </w:r>
      <w:r w:rsidR="008446D2">
        <w:rPr>
          <w:noProof/>
          <w:lang w:val="en-IE"/>
        </w:rPr>
        <w:t xml:space="preserve"> to be </w:t>
      </w:r>
      <w:r w:rsidRPr="002F0513">
        <w:rPr>
          <w:noProof/>
          <w:lang w:val="en-IE"/>
        </w:rPr>
        <w:t>regulat</w:t>
      </w:r>
      <w:r w:rsidR="008446D2">
        <w:rPr>
          <w:noProof/>
          <w:lang w:val="en-IE"/>
        </w:rPr>
        <w:t>ed</w:t>
      </w:r>
      <w:r w:rsidRPr="002F0513">
        <w:rPr>
          <w:noProof/>
          <w:lang w:val="en-IE"/>
        </w:rPr>
        <w:t xml:space="preserve"> </w:t>
      </w:r>
      <w:r w:rsidR="008446D2">
        <w:rPr>
          <w:noProof/>
          <w:lang w:val="en-IE"/>
        </w:rPr>
        <w:t>as</w:t>
      </w:r>
      <w:r>
        <w:rPr>
          <w:noProof/>
          <w:lang w:val="en-IE"/>
        </w:rPr>
        <w:t xml:space="preserve"> well. </w:t>
      </w:r>
    </w:p>
    <w:p w14:paraId="1046B580" w14:textId="3851EF93" w:rsidR="00C506B4" w:rsidRPr="00C506B4" w:rsidRDefault="001721DD" w:rsidP="00C506B4">
      <w:pPr>
        <w:rPr>
          <w:noProof/>
          <w:lang w:val="en-IE"/>
        </w:rPr>
      </w:pPr>
      <w:r>
        <w:rPr>
          <w:noProof/>
          <w:lang w:val="en-IE"/>
        </w:rPr>
        <w:t>Some respondents pointed to potential solutions</w:t>
      </w:r>
      <w:r w:rsidR="008446D2">
        <w:rPr>
          <w:noProof/>
          <w:lang w:val="en-IE"/>
        </w:rPr>
        <w:t>, such as</w:t>
      </w:r>
      <w:r>
        <w:rPr>
          <w:noProof/>
          <w:lang w:val="en-IE"/>
        </w:rPr>
        <w:t xml:space="preserve"> providing a QR code or having the CE marking on the package. </w:t>
      </w:r>
    </w:p>
    <w:p w14:paraId="033FB719" w14:textId="452E81C5" w:rsidR="00BA5C47" w:rsidRPr="00FC48CF" w:rsidRDefault="00BA5C47" w:rsidP="00FC0E22">
      <w:pPr>
        <w:pStyle w:val="Heading1"/>
        <w:rPr>
          <w:noProof/>
          <w:color w:val="auto"/>
          <w:lang w:val="en-IE"/>
        </w:rPr>
      </w:pPr>
      <w:bookmarkStart w:id="145" w:name="_Toc152772520"/>
      <w:bookmarkStart w:id="146" w:name="_Toc151122144"/>
      <w:bookmarkStart w:id="147" w:name="_Toc156461264"/>
      <w:r w:rsidRPr="00FC48CF">
        <w:rPr>
          <w:noProof/>
          <w:color w:val="auto"/>
          <w:lang w:val="en-IE"/>
        </w:rPr>
        <w:t>Conclusion</w:t>
      </w:r>
      <w:bookmarkEnd w:id="145"/>
      <w:bookmarkEnd w:id="146"/>
      <w:bookmarkEnd w:id="147"/>
    </w:p>
    <w:p w14:paraId="25029955" w14:textId="17B17EAF" w:rsidR="00566AD3" w:rsidRPr="00FC48CF" w:rsidRDefault="1276E3D6" w:rsidP="007B7996">
      <w:pPr>
        <w:rPr>
          <w:noProof/>
          <w:lang w:val="en-IE"/>
        </w:rPr>
      </w:pPr>
      <w:r w:rsidRPr="00FC48CF">
        <w:rPr>
          <w:noProof/>
          <w:lang w:val="en-IE"/>
        </w:rPr>
        <w:t xml:space="preserve">The Radio Equipment Directive has been applicable for more than </w:t>
      </w:r>
      <w:r w:rsidR="0075085F" w:rsidRPr="002F0513">
        <w:rPr>
          <w:noProof/>
          <w:lang w:val="en-IE"/>
        </w:rPr>
        <w:t xml:space="preserve">8 </w:t>
      </w:r>
      <w:r w:rsidRPr="00FC48CF">
        <w:rPr>
          <w:noProof/>
          <w:lang w:val="en-IE"/>
        </w:rPr>
        <w:t xml:space="preserve">years. During this period, </w:t>
      </w:r>
      <w:r w:rsidR="008446D2">
        <w:rPr>
          <w:noProof/>
          <w:lang w:val="en-IE"/>
        </w:rPr>
        <w:t xml:space="preserve">it </w:t>
      </w:r>
      <w:r w:rsidR="4B9B1537" w:rsidRPr="002F0513">
        <w:rPr>
          <w:noProof/>
          <w:lang w:val="en-IE"/>
        </w:rPr>
        <w:t>ensur</w:t>
      </w:r>
      <w:r w:rsidR="00F17222">
        <w:rPr>
          <w:noProof/>
          <w:lang w:val="en-IE"/>
        </w:rPr>
        <w:t>ed</w:t>
      </w:r>
      <w:r w:rsidR="4B9B1537" w:rsidRPr="00FC48CF">
        <w:rPr>
          <w:noProof/>
        </w:rPr>
        <w:t xml:space="preserve"> </w:t>
      </w:r>
      <w:r w:rsidRPr="00FC48CF">
        <w:rPr>
          <w:noProof/>
        </w:rPr>
        <w:t xml:space="preserve">a level playing field for the radio equipment sector and </w:t>
      </w:r>
      <w:r w:rsidRPr="002F0513">
        <w:rPr>
          <w:noProof/>
          <w:lang w:val="en-IE"/>
        </w:rPr>
        <w:t>protect</w:t>
      </w:r>
      <w:r w:rsidR="00F17222">
        <w:rPr>
          <w:noProof/>
          <w:lang w:val="en-IE"/>
        </w:rPr>
        <w:t>ed</w:t>
      </w:r>
      <w:r w:rsidRPr="00FC48CF">
        <w:rPr>
          <w:noProof/>
        </w:rPr>
        <w:t xml:space="preserve"> the health of the users </w:t>
      </w:r>
      <w:r w:rsidR="10DA8747" w:rsidRPr="00FC48CF">
        <w:rPr>
          <w:noProof/>
        </w:rPr>
        <w:t xml:space="preserve">as well as </w:t>
      </w:r>
      <w:r w:rsidR="7071C43E" w:rsidRPr="00FC48CF">
        <w:rPr>
          <w:noProof/>
        </w:rPr>
        <w:t>the</w:t>
      </w:r>
      <w:r w:rsidRPr="00FC48CF">
        <w:rPr>
          <w:noProof/>
        </w:rPr>
        <w:t xml:space="preserve"> radio spectrum in order to prevent harmful interferences </w:t>
      </w:r>
      <w:r w:rsidR="008446D2">
        <w:rPr>
          <w:noProof/>
          <w:lang w:val="en-IE"/>
        </w:rPr>
        <w:t xml:space="preserve">from </w:t>
      </w:r>
      <w:r w:rsidRPr="002F0513">
        <w:rPr>
          <w:noProof/>
          <w:lang w:val="en-IE"/>
        </w:rPr>
        <w:t>occu</w:t>
      </w:r>
      <w:r w:rsidR="008446D2">
        <w:rPr>
          <w:noProof/>
          <w:lang w:val="en-IE"/>
        </w:rPr>
        <w:t>r</w:t>
      </w:r>
      <w:r w:rsidRPr="002F0513">
        <w:rPr>
          <w:noProof/>
          <w:lang w:val="en-IE"/>
        </w:rPr>
        <w:t>r</w:t>
      </w:r>
      <w:r w:rsidR="008446D2">
        <w:rPr>
          <w:noProof/>
          <w:lang w:val="en-IE"/>
        </w:rPr>
        <w:t>ing</w:t>
      </w:r>
      <w:r w:rsidRPr="00FC48CF">
        <w:rPr>
          <w:noProof/>
        </w:rPr>
        <w:t>.</w:t>
      </w:r>
    </w:p>
    <w:p w14:paraId="57BF07E0" w14:textId="6996FF4B" w:rsidR="009A5467" w:rsidRPr="00FC48CF" w:rsidRDefault="1276E3D6" w:rsidP="008155F0">
      <w:pPr>
        <w:rPr>
          <w:noProof/>
          <w:lang w:val="en-IE"/>
        </w:rPr>
      </w:pPr>
      <w:r w:rsidRPr="00FC48CF">
        <w:rPr>
          <w:noProof/>
          <w:lang w:val="en-IE"/>
        </w:rPr>
        <w:t xml:space="preserve">The RED has been designed in a neutral way that allows </w:t>
      </w:r>
      <w:r w:rsidR="63E3FF39" w:rsidRPr="00FC48CF">
        <w:rPr>
          <w:noProof/>
          <w:lang w:val="en-IE"/>
        </w:rPr>
        <w:t>adapt</w:t>
      </w:r>
      <w:r w:rsidR="003C1803" w:rsidRPr="00FC48CF">
        <w:rPr>
          <w:noProof/>
          <w:lang w:val="en-IE"/>
        </w:rPr>
        <w:t xml:space="preserve">ation </w:t>
      </w:r>
      <w:r w:rsidRPr="00FC48CF">
        <w:rPr>
          <w:noProof/>
          <w:lang w:val="en-IE"/>
        </w:rPr>
        <w:t xml:space="preserve">to new risks and </w:t>
      </w:r>
      <w:r w:rsidR="008446D2">
        <w:rPr>
          <w:noProof/>
          <w:lang w:val="en-IE"/>
        </w:rPr>
        <w:t xml:space="preserve">technological </w:t>
      </w:r>
      <w:r w:rsidRPr="00FC48CF">
        <w:rPr>
          <w:noProof/>
          <w:lang w:val="en-IE"/>
        </w:rPr>
        <w:t xml:space="preserve">evolution by using two mechanisms. First, the harmonised standards are continuously updated to </w:t>
      </w:r>
      <w:r w:rsidR="008446D2">
        <w:rPr>
          <w:noProof/>
          <w:lang w:val="en-IE"/>
        </w:rPr>
        <w:t xml:space="preserve">cater for </w:t>
      </w:r>
      <w:r w:rsidR="003C1803" w:rsidRPr="00FC48CF">
        <w:rPr>
          <w:noProof/>
          <w:lang w:val="en-IE"/>
        </w:rPr>
        <w:t>state-of-the-art</w:t>
      </w:r>
      <w:r w:rsidR="710338F1" w:rsidRPr="00FC48CF">
        <w:rPr>
          <w:noProof/>
          <w:lang w:val="en-IE"/>
        </w:rPr>
        <w:t xml:space="preserve"> and new telecommunication technologies. Second, the a</w:t>
      </w:r>
      <w:r w:rsidR="0073640E" w:rsidRPr="00FC48CF">
        <w:rPr>
          <w:noProof/>
          <w:lang w:val="en-IE"/>
        </w:rPr>
        <w:t>doption</w:t>
      </w:r>
      <w:r w:rsidR="710338F1" w:rsidRPr="00FC48CF">
        <w:rPr>
          <w:noProof/>
          <w:lang w:val="en-IE"/>
        </w:rPr>
        <w:t xml:space="preserve"> of delegated acts</w:t>
      </w:r>
      <w:r w:rsidR="0073640E" w:rsidRPr="00FC48CF">
        <w:rPr>
          <w:noProof/>
          <w:lang w:val="en-IE"/>
        </w:rPr>
        <w:t xml:space="preserve"> under the RED </w:t>
      </w:r>
      <w:r w:rsidR="710338F1" w:rsidRPr="00FC48CF">
        <w:rPr>
          <w:noProof/>
          <w:lang w:val="en-IE"/>
        </w:rPr>
        <w:t xml:space="preserve">responds to </w:t>
      </w:r>
      <w:r w:rsidR="002D56F3">
        <w:rPr>
          <w:noProof/>
          <w:lang w:val="en-IE"/>
        </w:rPr>
        <w:t>needs</w:t>
      </w:r>
      <w:r w:rsidR="710338F1" w:rsidRPr="00FC48CF">
        <w:rPr>
          <w:noProof/>
          <w:lang w:val="en-IE"/>
        </w:rPr>
        <w:t xml:space="preserve"> as regards access to the emergency services</w:t>
      </w:r>
      <w:r w:rsidR="003C1803" w:rsidRPr="00FC48CF">
        <w:rPr>
          <w:noProof/>
          <w:lang w:val="en-IE"/>
        </w:rPr>
        <w:t xml:space="preserve"> and cybersecurity</w:t>
      </w:r>
      <w:r w:rsidR="710338F1" w:rsidRPr="00FC48CF">
        <w:rPr>
          <w:noProof/>
          <w:lang w:val="en-IE"/>
        </w:rPr>
        <w:t xml:space="preserve"> protection.</w:t>
      </w:r>
      <w:bookmarkEnd w:id="0"/>
    </w:p>
    <w:sectPr w:rsidR="009A5467" w:rsidRPr="00FC48CF" w:rsidSect="00BA5C4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AA402" w14:textId="77777777" w:rsidR="008C2619" w:rsidRDefault="008C2619" w:rsidP="00B73661">
      <w:pPr>
        <w:spacing w:after="0" w:line="240" w:lineRule="auto"/>
      </w:pPr>
      <w:r>
        <w:separator/>
      </w:r>
    </w:p>
  </w:endnote>
  <w:endnote w:type="continuationSeparator" w:id="0">
    <w:p w14:paraId="2E7A778D" w14:textId="77777777" w:rsidR="008C2619" w:rsidRDefault="008C2619" w:rsidP="00B73661">
      <w:pPr>
        <w:spacing w:after="0" w:line="240" w:lineRule="auto"/>
      </w:pPr>
      <w:r>
        <w:continuationSeparator/>
      </w:r>
    </w:p>
  </w:endnote>
  <w:endnote w:type="continuationNotice" w:id="1">
    <w:p w14:paraId="314D2543" w14:textId="77777777" w:rsidR="008C2619" w:rsidRDefault="008C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6C73" w14:textId="3A8C9585" w:rsidR="00AC4939" w:rsidRPr="00AC4939" w:rsidRDefault="00AC4939" w:rsidP="00AC4939">
    <w:pPr>
      <w:pStyle w:val="FooterCoverPage"/>
      <w:rPr>
        <w:rFonts w:ascii="Arial" w:hAnsi="Arial" w:cs="Arial"/>
        <w:b/>
        <w:sz w:val="48"/>
      </w:rPr>
    </w:pPr>
    <w:r w:rsidRPr="00AC4939">
      <w:rPr>
        <w:rFonts w:ascii="Arial" w:hAnsi="Arial" w:cs="Arial"/>
        <w:b/>
        <w:sz w:val="48"/>
      </w:rPr>
      <w:t>EN</w:t>
    </w:r>
    <w:r w:rsidRPr="00AC4939">
      <w:rPr>
        <w:rFonts w:ascii="Arial" w:hAnsi="Arial" w:cs="Arial"/>
        <w:b/>
        <w:sz w:val="48"/>
      </w:rPr>
      <w:tab/>
    </w:r>
    <w:r w:rsidRPr="00AC4939">
      <w:rPr>
        <w:rFonts w:ascii="Arial" w:hAnsi="Arial" w:cs="Arial"/>
        <w:b/>
        <w:sz w:val="48"/>
      </w:rPr>
      <w:tab/>
    </w:r>
    <w:r w:rsidRPr="00AC4939">
      <w:tab/>
    </w:r>
    <w:r w:rsidRPr="00AC493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7D54" w14:textId="27703C21" w:rsidR="00AC4939" w:rsidRPr="00AC4939" w:rsidRDefault="00AC4939" w:rsidP="00AC4939">
    <w:pPr>
      <w:pStyle w:val="FooterCoverPage"/>
      <w:rPr>
        <w:rFonts w:ascii="Arial" w:hAnsi="Arial" w:cs="Arial"/>
        <w:b/>
        <w:sz w:val="48"/>
      </w:rPr>
    </w:pPr>
    <w:r w:rsidRPr="00AC4939">
      <w:rPr>
        <w:rFonts w:ascii="Arial" w:hAnsi="Arial" w:cs="Arial"/>
        <w:b/>
        <w:sz w:val="48"/>
      </w:rPr>
      <w:t>EN</w:t>
    </w:r>
    <w:r w:rsidRPr="00AC4939">
      <w:rPr>
        <w:rFonts w:ascii="Arial" w:hAnsi="Arial" w:cs="Arial"/>
        <w:b/>
        <w:sz w:val="48"/>
      </w:rPr>
      <w:tab/>
    </w:r>
    <w:r w:rsidRPr="00AC4939">
      <w:rPr>
        <w:rFonts w:ascii="Arial" w:hAnsi="Arial" w:cs="Arial"/>
        <w:b/>
        <w:sz w:val="48"/>
      </w:rPr>
      <w:tab/>
    </w:r>
    <w:r w:rsidRPr="00AC4939">
      <w:tab/>
    </w:r>
    <w:r w:rsidRPr="00AC493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FFC8" w14:textId="77777777" w:rsidR="00AC4939" w:rsidRPr="00AC4939" w:rsidRDefault="00AC4939" w:rsidP="00AC493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5D4F" w14:textId="77777777" w:rsidR="001B6897" w:rsidRDefault="001B68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551183"/>
      <w:docPartObj>
        <w:docPartGallery w:val="Page Numbers (Bottom of Page)"/>
        <w:docPartUnique/>
      </w:docPartObj>
    </w:sdtPr>
    <w:sdtEndPr>
      <w:rPr>
        <w:noProof/>
      </w:rPr>
    </w:sdtEndPr>
    <w:sdtContent>
      <w:p w14:paraId="1E5C6448" w14:textId="1C02E7B0" w:rsidR="001B6897" w:rsidRDefault="001B6897">
        <w:pPr>
          <w:pStyle w:val="Footer"/>
          <w:jc w:val="center"/>
        </w:pPr>
        <w:r>
          <w:fldChar w:fldCharType="begin"/>
        </w:r>
        <w:r>
          <w:instrText xml:space="preserve"> PAGE   \* MERGEFORMAT </w:instrText>
        </w:r>
        <w:r>
          <w:fldChar w:fldCharType="separate"/>
        </w:r>
        <w:r w:rsidR="00AC4939">
          <w:rPr>
            <w:noProof/>
          </w:rPr>
          <w:t>1</w:t>
        </w:r>
        <w:r>
          <w:rPr>
            <w:noProof/>
          </w:rPr>
          <w:fldChar w:fldCharType="end"/>
        </w:r>
      </w:p>
    </w:sdtContent>
  </w:sdt>
  <w:p w14:paraId="597FDB12" w14:textId="77777777" w:rsidR="001B6897" w:rsidRDefault="001B68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9AF0" w14:textId="77777777" w:rsidR="001B6897" w:rsidRDefault="001B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6454" w14:textId="77777777" w:rsidR="008C2619" w:rsidRDefault="008C2619" w:rsidP="00B73661">
      <w:pPr>
        <w:spacing w:after="0" w:line="240" w:lineRule="auto"/>
      </w:pPr>
      <w:r>
        <w:separator/>
      </w:r>
    </w:p>
  </w:footnote>
  <w:footnote w:type="continuationSeparator" w:id="0">
    <w:p w14:paraId="5766F787" w14:textId="77777777" w:rsidR="008C2619" w:rsidRDefault="008C2619" w:rsidP="00B73661">
      <w:pPr>
        <w:spacing w:after="0" w:line="240" w:lineRule="auto"/>
      </w:pPr>
      <w:r>
        <w:continuationSeparator/>
      </w:r>
    </w:p>
  </w:footnote>
  <w:footnote w:type="continuationNotice" w:id="1">
    <w:p w14:paraId="5068B437" w14:textId="77777777" w:rsidR="008C2619" w:rsidRDefault="008C2619">
      <w:pPr>
        <w:spacing w:after="0" w:line="240" w:lineRule="auto"/>
      </w:pPr>
    </w:p>
  </w:footnote>
  <w:footnote w:id="2">
    <w:p w14:paraId="5D9D8750" w14:textId="54186D89" w:rsidR="006037AB" w:rsidRPr="006037AB" w:rsidRDefault="006037AB" w:rsidP="007E2CCB">
      <w:pPr>
        <w:pStyle w:val="FootnoteText"/>
      </w:pPr>
      <w:r>
        <w:rPr>
          <w:rStyle w:val="FootnoteReference"/>
        </w:rPr>
        <w:footnoteRef/>
      </w:r>
      <w:r w:rsidR="00D979E0">
        <w:t> </w:t>
      </w:r>
      <w:r>
        <w:t>Directive</w:t>
      </w:r>
      <w:r w:rsidR="0075085F">
        <w:t> </w:t>
      </w:r>
      <w:r>
        <w:t>2014/53/EU of the European Parliament and of the Council of 16</w:t>
      </w:r>
      <w:r w:rsidR="0075085F">
        <w:t> </w:t>
      </w:r>
      <w:r>
        <w:t>April</w:t>
      </w:r>
      <w:r w:rsidR="0075085F">
        <w:t> </w:t>
      </w:r>
      <w:r>
        <w:t>2014 on the harmonisation of</w:t>
      </w:r>
      <w:r w:rsidR="00B06136">
        <w:t xml:space="preserve"> </w:t>
      </w:r>
      <w:r>
        <w:t>the laws of the Member States relating to the making available on the market of radio equipment and</w:t>
      </w:r>
      <w:r w:rsidR="00B06136">
        <w:t xml:space="preserve"> </w:t>
      </w:r>
      <w:r>
        <w:t>repealing Directive 1999/5/EC</w:t>
      </w:r>
      <w:r w:rsidR="00696F91" w:rsidRPr="00696F91">
        <w:t>.</w:t>
      </w:r>
    </w:p>
  </w:footnote>
  <w:footnote w:id="3">
    <w:p w14:paraId="05182A20" w14:textId="4BD316FB" w:rsidR="00FD1D2B" w:rsidRPr="00FD1D2B" w:rsidRDefault="00FD1D2B">
      <w:pPr>
        <w:pStyle w:val="FootnoteText"/>
        <w:rPr>
          <w:lang w:val="en-IE"/>
        </w:rPr>
      </w:pPr>
      <w:r>
        <w:rPr>
          <w:rStyle w:val="FootnoteReference"/>
        </w:rPr>
        <w:footnoteRef/>
      </w:r>
      <w:r>
        <w:t xml:space="preserve"> </w:t>
      </w:r>
      <w:r w:rsidRPr="00FD1D2B">
        <w:t xml:space="preserve">The references in this report to  ‘single market’, ‘EU’ or ‘Member States’, should, wherever necessary, be read in conjunction with section 2.9 of the </w:t>
      </w:r>
      <w:hyperlink r:id="rId1" w:history="1">
        <w:r w:rsidRPr="00AB6D9A">
          <w:rPr>
            <w:rStyle w:val="Hyperlink"/>
          </w:rPr>
          <w:t>Blue Guide on the implementation of EU product rules 2022</w:t>
        </w:r>
      </w:hyperlink>
      <w:r w:rsidRPr="00FD1D2B">
        <w:t>,</w:t>
      </w:r>
      <w:r>
        <w:t xml:space="preserve">) </w:t>
      </w:r>
      <w:r w:rsidRPr="00FD1D2B">
        <w:t xml:space="preserve">and section 1.2.2.1 of the </w:t>
      </w:r>
      <w:hyperlink r:id="rId2" w:history="1">
        <w:r w:rsidRPr="00AB6D9A">
          <w:rPr>
            <w:rStyle w:val="Hyperlink"/>
          </w:rPr>
          <w:t xml:space="preserve">Guide to the </w:t>
        </w:r>
        <w:r w:rsidR="00AB6D9A" w:rsidRPr="00AB6D9A">
          <w:rPr>
            <w:rStyle w:val="Hyperlink"/>
          </w:rPr>
          <w:t>RED</w:t>
        </w:r>
      </w:hyperlink>
      <w:r w:rsidRPr="00FD1D2B">
        <w:t>,</w:t>
      </w:r>
      <w:r>
        <w:t>).</w:t>
      </w:r>
    </w:p>
  </w:footnote>
  <w:footnote w:id="4">
    <w:p w14:paraId="0F455DAA" w14:textId="3F4B3FDE" w:rsidR="00CF5BC9" w:rsidRPr="00CF5BC9" w:rsidRDefault="00CF5BC9">
      <w:pPr>
        <w:pStyle w:val="FootnoteText"/>
      </w:pPr>
      <w:r>
        <w:rPr>
          <w:rStyle w:val="FootnoteReference"/>
        </w:rPr>
        <w:footnoteRef/>
      </w:r>
      <w:r w:rsidR="00D979E0">
        <w:t> </w:t>
      </w:r>
      <w:r w:rsidRPr="00CF5BC9">
        <w:t>Regulation</w:t>
      </w:r>
      <w:r w:rsidR="004332E8">
        <w:t> </w:t>
      </w:r>
      <w:r w:rsidRPr="00CF5BC9">
        <w:t>(EU)</w:t>
      </w:r>
      <w:r w:rsidR="004332E8">
        <w:t> </w:t>
      </w:r>
      <w:r w:rsidRPr="00CF5BC9">
        <w:t>2018/1139 of the European Parliament and of the Council of 4</w:t>
      </w:r>
      <w:r w:rsidR="0075085F">
        <w:t> </w:t>
      </w:r>
      <w:r w:rsidRPr="00CF5BC9">
        <w:t>July</w:t>
      </w:r>
      <w:r w:rsidR="0075085F">
        <w:t> </w:t>
      </w:r>
      <w:r w:rsidRPr="00CF5BC9">
        <w:t>2018 on common rules in the field of civil aviation and establishing a European Union Aviation Safety Agency</w:t>
      </w:r>
      <w:r w:rsidR="00F40815" w:rsidRPr="00CF5BC9" w:rsidDel="00F40815">
        <w:t xml:space="preserve"> </w:t>
      </w:r>
      <w:r w:rsidR="00557D46">
        <w:t>.</w:t>
      </w:r>
    </w:p>
  </w:footnote>
  <w:footnote w:id="5">
    <w:p w14:paraId="095F69AB" w14:textId="60EED9F2" w:rsidR="00E25C57" w:rsidRPr="00841577" w:rsidRDefault="00E25C57" w:rsidP="00F81DD3">
      <w:pPr>
        <w:pStyle w:val="FootnoteText"/>
      </w:pPr>
      <w:r>
        <w:rPr>
          <w:rStyle w:val="FootnoteReference"/>
        </w:rPr>
        <w:footnoteRef/>
      </w:r>
      <w:r w:rsidR="00D979E0">
        <w:t> </w:t>
      </w:r>
      <w:r>
        <w:t>Commission Delegated Regulation (EU)</w:t>
      </w:r>
      <w:r w:rsidR="004332E8">
        <w:t> </w:t>
      </w:r>
      <w:r>
        <w:t>2019/320 of 12</w:t>
      </w:r>
      <w:r w:rsidR="0075085F">
        <w:t> </w:t>
      </w:r>
      <w:r>
        <w:t>December</w:t>
      </w:r>
      <w:r w:rsidR="0075085F">
        <w:t> </w:t>
      </w:r>
      <w:r>
        <w:t>2018 supplementing of Directive</w:t>
      </w:r>
      <w:r w:rsidR="004332E8">
        <w:t> </w:t>
      </w:r>
      <w:r>
        <w:t>2014/53/EU of the European Parliament and of the Council with regard to the application of the essential requirements referred to in Article</w:t>
      </w:r>
      <w:r w:rsidR="004332E8">
        <w:t> </w:t>
      </w:r>
      <w:r>
        <w:t>3(3)(g) of that Directive in order to ensure caller location in emergency communications from mobile devices</w:t>
      </w:r>
      <w:r w:rsidR="00557D46">
        <w:t>.</w:t>
      </w:r>
    </w:p>
  </w:footnote>
  <w:footnote w:id="6">
    <w:p w14:paraId="12EE0BE2" w14:textId="45E17F5F" w:rsidR="0016323B" w:rsidRDefault="0016323B" w:rsidP="0016323B">
      <w:pPr>
        <w:pStyle w:val="FootnoteText"/>
        <w:rPr>
          <w:lang w:val="en-IE"/>
        </w:rPr>
      </w:pPr>
      <w:r w:rsidRPr="11DD51CB">
        <w:rPr>
          <w:rStyle w:val="FootnoteReference"/>
        </w:rPr>
        <w:footnoteRef/>
      </w:r>
      <w:r w:rsidR="00D979E0">
        <w:t> </w:t>
      </w:r>
      <w:r>
        <w:t>Regulation</w:t>
      </w:r>
      <w:r w:rsidR="004332E8">
        <w:t> </w:t>
      </w:r>
      <w:r>
        <w:t>(EU)</w:t>
      </w:r>
      <w:r w:rsidR="004332E8">
        <w:t> </w:t>
      </w:r>
      <w:r>
        <w:t>2019/1020 of the European Parliament and of the Council of 20</w:t>
      </w:r>
      <w:r w:rsidR="0075085F">
        <w:t> </w:t>
      </w:r>
      <w:r>
        <w:t>June</w:t>
      </w:r>
      <w:r w:rsidR="0075085F">
        <w:t> </w:t>
      </w:r>
      <w:r>
        <w:t>2019 on market surveillance and compliance of products</w:t>
      </w:r>
      <w:r w:rsidR="002C0871">
        <w:t>.</w:t>
      </w:r>
    </w:p>
  </w:footnote>
  <w:footnote w:id="7">
    <w:p w14:paraId="734ACA5B" w14:textId="7BF1A6EC" w:rsidR="00517B20" w:rsidRPr="00517B20" w:rsidRDefault="00517B20" w:rsidP="00F81DD3">
      <w:pPr>
        <w:pStyle w:val="FootnoteText"/>
      </w:pPr>
      <w:r>
        <w:rPr>
          <w:rStyle w:val="FootnoteReference"/>
        </w:rPr>
        <w:footnoteRef/>
      </w:r>
      <w:r w:rsidR="00D979E0">
        <w:t> </w:t>
      </w:r>
      <w:r w:rsidR="00C505B0">
        <w:t>Commission Delegated Regulation</w:t>
      </w:r>
      <w:r w:rsidR="004332E8">
        <w:t> </w:t>
      </w:r>
      <w:r w:rsidR="00C505B0">
        <w:t>(EU)</w:t>
      </w:r>
      <w:r w:rsidR="004332E8">
        <w:t> </w:t>
      </w:r>
      <w:r w:rsidR="00C505B0">
        <w:t>2022/30 of 29 October 2021 supplementing Directive 2014/53/EU of the European Parliament and of the Council with regard to the application of the essential requirements referred to in Article 3(3), points (d), (e) and (f), of that Directive</w:t>
      </w:r>
      <w:r w:rsidR="005A1E0F">
        <w:t>.</w:t>
      </w:r>
    </w:p>
  </w:footnote>
  <w:footnote w:id="8">
    <w:p w14:paraId="1316CE47" w14:textId="77777777" w:rsidR="009A67A2" w:rsidRPr="00637129" w:rsidRDefault="009A67A2" w:rsidP="009A67A2">
      <w:pPr>
        <w:pStyle w:val="FootnoteText"/>
      </w:pPr>
      <w:r>
        <w:rPr>
          <w:rStyle w:val="FootnoteReference"/>
        </w:rPr>
        <w:footnoteRef/>
      </w:r>
      <w:r>
        <w:t> The deadline established in Commission Delegated Regulation 2022/30 has been postponed from 1 August 2024 to 1 August 2025, following a formal request from CEN and CENELEC. The amending Delegated Regulation (2023/2444) has been adopted and published in the OJEU.</w:t>
      </w:r>
    </w:p>
  </w:footnote>
  <w:footnote w:id="9">
    <w:p w14:paraId="19A48657" w14:textId="5E264CD9" w:rsidR="00637129" w:rsidRPr="00246117" w:rsidRDefault="00637129" w:rsidP="00637129">
      <w:pPr>
        <w:pStyle w:val="FootnoteText"/>
      </w:pPr>
      <w:r>
        <w:rPr>
          <w:rStyle w:val="FootnoteReference"/>
        </w:rPr>
        <w:footnoteRef/>
      </w:r>
      <w:r w:rsidR="00D979E0">
        <w:t> </w:t>
      </w:r>
      <w:r>
        <w:t>Commission Implementing Decision</w:t>
      </w:r>
      <w:r w:rsidRPr="0013166F">
        <w:t xml:space="preserve"> </w:t>
      </w:r>
      <w:r w:rsidRPr="00246117">
        <w:t xml:space="preserve">on a standardisation request to </w:t>
      </w:r>
      <w:r w:rsidR="00320826">
        <w:t>CEN and CENELEC</w:t>
      </w:r>
      <w:r w:rsidRPr="00246117">
        <w:t xml:space="preserve"> as regards radio equipment in support of Directive 2014/53/EU of the European Parliament and of the Council and Commission Delegated Regulation</w:t>
      </w:r>
      <w:r w:rsidR="00923F25">
        <w:t> </w:t>
      </w:r>
      <w:r w:rsidRPr="00246117">
        <w:t>(EU)</w:t>
      </w:r>
      <w:r w:rsidR="00923F25">
        <w:t> </w:t>
      </w:r>
      <w:r w:rsidRPr="00246117">
        <w:t>2022/30</w:t>
      </w:r>
      <w:hyperlink w:history="1"/>
      <w:r w:rsidR="00923F25">
        <w:t>.</w:t>
      </w:r>
    </w:p>
  </w:footnote>
  <w:footnote w:id="10">
    <w:p w14:paraId="3F93DD31" w14:textId="5ABDC4A3" w:rsidR="00637129" w:rsidRPr="00637129" w:rsidRDefault="00637129">
      <w:pPr>
        <w:pStyle w:val="FootnoteText"/>
        <w:rPr>
          <w:lang w:val="en-IE"/>
        </w:rPr>
      </w:pPr>
      <w:r>
        <w:rPr>
          <w:rStyle w:val="FootnoteReference"/>
        </w:rPr>
        <w:footnoteRef/>
      </w:r>
      <w:r w:rsidR="00D979E0">
        <w:t> </w:t>
      </w:r>
      <w:r w:rsidRPr="00637129">
        <w:rPr>
          <w:lang w:val="en-IE"/>
        </w:rPr>
        <w:t xml:space="preserve">The initial deadline was </w:t>
      </w:r>
      <w:r>
        <w:rPr>
          <w:lang w:val="en-IE"/>
        </w:rPr>
        <w:t>established on 30</w:t>
      </w:r>
      <w:r w:rsidR="0075085F">
        <w:rPr>
          <w:lang w:val="en-IE"/>
        </w:rPr>
        <w:t> </w:t>
      </w:r>
      <w:r>
        <w:rPr>
          <w:lang w:val="en-IE"/>
        </w:rPr>
        <w:t>September</w:t>
      </w:r>
      <w:r w:rsidR="0075085F">
        <w:rPr>
          <w:lang w:val="en-IE"/>
        </w:rPr>
        <w:t> </w:t>
      </w:r>
      <w:r>
        <w:rPr>
          <w:lang w:val="en-IE"/>
        </w:rPr>
        <w:t xml:space="preserve">2023 and </w:t>
      </w:r>
      <w:r w:rsidR="00487799">
        <w:rPr>
          <w:lang w:val="en-IE"/>
        </w:rPr>
        <w:t>has been</w:t>
      </w:r>
      <w:r>
        <w:rPr>
          <w:lang w:val="en-IE"/>
        </w:rPr>
        <w:t xml:space="preserve"> </w:t>
      </w:r>
      <w:r w:rsidR="007A1B62">
        <w:rPr>
          <w:lang w:val="en-IE"/>
        </w:rPr>
        <w:t xml:space="preserve">postponed </w:t>
      </w:r>
      <w:r>
        <w:rPr>
          <w:lang w:val="en-IE"/>
        </w:rPr>
        <w:t>to 30</w:t>
      </w:r>
      <w:r w:rsidR="0075085F">
        <w:rPr>
          <w:lang w:val="en-IE"/>
        </w:rPr>
        <w:t> </w:t>
      </w:r>
      <w:r>
        <w:rPr>
          <w:lang w:val="en-IE"/>
        </w:rPr>
        <w:t>June</w:t>
      </w:r>
      <w:r w:rsidR="0075085F">
        <w:rPr>
          <w:lang w:val="en-IE"/>
        </w:rPr>
        <w:t> </w:t>
      </w:r>
      <w:r>
        <w:rPr>
          <w:lang w:val="en-IE"/>
        </w:rPr>
        <w:t>2024, following the formal request</w:t>
      </w:r>
      <w:r w:rsidR="00F81DD3">
        <w:rPr>
          <w:lang w:val="en-IE"/>
        </w:rPr>
        <w:t xml:space="preserve"> </w:t>
      </w:r>
      <w:r w:rsidR="007A1B62">
        <w:rPr>
          <w:lang w:val="en-IE"/>
        </w:rPr>
        <w:t xml:space="preserve">of </w:t>
      </w:r>
      <w:r w:rsidR="00F81DD3">
        <w:rPr>
          <w:lang w:val="en-IE"/>
        </w:rPr>
        <w:t>CEN and CENELEC</w:t>
      </w:r>
      <w:r>
        <w:rPr>
          <w:lang w:val="en-IE"/>
        </w:rPr>
        <w:t>.</w:t>
      </w:r>
    </w:p>
  </w:footnote>
  <w:footnote w:id="11">
    <w:p w14:paraId="1A02A5B6" w14:textId="3D6C4C58" w:rsidR="00DA2C8E" w:rsidRDefault="00DA2C8E" w:rsidP="00DA2C8E">
      <w:pPr>
        <w:spacing w:after="0" w:line="240" w:lineRule="auto"/>
      </w:pPr>
      <w:r w:rsidRPr="00AF167C">
        <w:rPr>
          <w:rStyle w:val="FootnoteReference"/>
          <w:sz w:val="20"/>
          <w:szCs w:val="20"/>
        </w:rPr>
        <w:footnoteRef/>
      </w:r>
      <w:r>
        <w:t> </w:t>
      </w:r>
      <w:r w:rsidRPr="00AF167C">
        <w:rPr>
          <w:sz w:val="20"/>
          <w:szCs w:val="20"/>
        </w:rPr>
        <w:t>Directive</w:t>
      </w:r>
      <w:r>
        <w:rPr>
          <w:sz w:val="20"/>
          <w:szCs w:val="20"/>
        </w:rPr>
        <w:t> </w:t>
      </w:r>
      <w:r w:rsidRPr="00AF167C">
        <w:rPr>
          <w:sz w:val="20"/>
          <w:szCs w:val="20"/>
        </w:rPr>
        <w:t>(EU)</w:t>
      </w:r>
      <w:r>
        <w:rPr>
          <w:sz w:val="20"/>
          <w:szCs w:val="20"/>
        </w:rPr>
        <w:t> </w:t>
      </w:r>
      <w:r w:rsidRPr="00AF167C">
        <w:rPr>
          <w:sz w:val="20"/>
          <w:szCs w:val="20"/>
        </w:rPr>
        <w:t>2022/2380 of the European Parliament and of the Council of 23 November</w:t>
      </w:r>
      <w:r>
        <w:rPr>
          <w:sz w:val="20"/>
          <w:szCs w:val="20"/>
        </w:rPr>
        <w:t> </w:t>
      </w:r>
      <w:r w:rsidRPr="00AF167C">
        <w:rPr>
          <w:sz w:val="20"/>
          <w:szCs w:val="20"/>
        </w:rPr>
        <w:t>2022 amending Directive</w:t>
      </w:r>
      <w:r>
        <w:rPr>
          <w:sz w:val="20"/>
          <w:szCs w:val="20"/>
        </w:rPr>
        <w:t> </w:t>
      </w:r>
      <w:r w:rsidRPr="00AF167C">
        <w:rPr>
          <w:sz w:val="20"/>
          <w:szCs w:val="20"/>
        </w:rPr>
        <w:t>2014/53/EU on the harmonisation of the laws of the Member States relating to the making available on the market of radio equipment.</w:t>
      </w:r>
    </w:p>
  </w:footnote>
  <w:footnote w:id="12">
    <w:p w14:paraId="16604A6C" w14:textId="69133E34" w:rsidR="24177189" w:rsidRDefault="24177189" w:rsidP="00D909A8">
      <w:pPr>
        <w:pStyle w:val="FootnoteText"/>
      </w:pPr>
      <w:r w:rsidRPr="24177189">
        <w:rPr>
          <w:rStyle w:val="FootnoteReference"/>
        </w:rPr>
        <w:footnoteRef/>
      </w:r>
      <w:r w:rsidR="00D979E0">
        <w:t> </w:t>
      </w:r>
      <w:r w:rsidR="00D909A8">
        <w:t>It r</w:t>
      </w:r>
      <w:r>
        <w:t>emain</w:t>
      </w:r>
      <w:r w:rsidR="00D909A8">
        <w:t>s</w:t>
      </w:r>
      <w:r>
        <w:t xml:space="preserve"> valid under the RED, with the exception of the provisions of </w:t>
      </w:r>
      <w:r w:rsidR="00AA128B">
        <w:t>Commission</w:t>
      </w:r>
      <w:r>
        <w:t xml:space="preserve"> Decision </w:t>
      </w:r>
      <w:r w:rsidR="00AA128B">
        <w:t xml:space="preserve">2000/299/EC </w:t>
      </w:r>
      <w:r>
        <w:t xml:space="preserve">that refer to the </w:t>
      </w:r>
      <w:r w:rsidR="00AA128B">
        <w:t>‘a</w:t>
      </w:r>
      <w:r>
        <w:t>lert sign</w:t>
      </w:r>
      <w:r w:rsidR="00AA128B">
        <w:t>’</w:t>
      </w:r>
      <w:r>
        <w:t>.</w:t>
      </w:r>
    </w:p>
  </w:footnote>
  <w:footnote w:id="13">
    <w:p w14:paraId="34CE58F0" w14:textId="5CC47015" w:rsidR="003844EA" w:rsidRPr="0013166F" w:rsidRDefault="003844EA" w:rsidP="003844EA">
      <w:pPr>
        <w:pStyle w:val="FootnoteText"/>
        <w:rPr>
          <w:lang w:val="en-IE"/>
        </w:rPr>
      </w:pPr>
      <w:r>
        <w:rPr>
          <w:rStyle w:val="FootnoteReference"/>
        </w:rPr>
        <w:footnoteRef/>
      </w:r>
      <w:r w:rsidR="00D979E0">
        <w:t> </w:t>
      </w:r>
      <w:r>
        <w:t>Commission Implementing Decision</w:t>
      </w:r>
      <w:r w:rsidRPr="0013166F">
        <w:t xml:space="preserve"> on a standardisation request to </w:t>
      </w:r>
      <w:r w:rsidR="00AD7A19">
        <w:t xml:space="preserve">ETSI </w:t>
      </w:r>
      <w:r w:rsidRPr="0013166F">
        <w:t>as regards handheld mobile phones in support of Directive</w:t>
      </w:r>
      <w:r w:rsidR="004332E8">
        <w:t> </w:t>
      </w:r>
      <w:r w:rsidRPr="0013166F">
        <w:t>2014/53/EU of the European Parliament and of the Council in conjunction with Commission Delegated Regulation</w:t>
      </w:r>
      <w:r w:rsidR="00923F25">
        <w:t> </w:t>
      </w:r>
      <w:r w:rsidRPr="0013166F">
        <w:t>(EU)</w:t>
      </w:r>
      <w:r w:rsidR="00923F25">
        <w:t> </w:t>
      </w:r>
      <w:r w:rsidRPr="0013166F">
        <w:t>2019/320</w:t>
      </w:r>
      <w:r w:rsidR="00574B10">
        <w:t>.</w:t>
      </w:r>
      <w:r>
        <w:t xml:space="preserve"> </w:t>
      </w:r>
    </w:p>
  </w:footnote>
  <w:footnote w:id="14">
    <w:p w14:paraId="3E425CF3" w14:textId="5B3D6FFE" w:rsidR="00A3702D" w:rsidRPr="00246117" w:rsidRDefault="00A3702D" w:rsidP="00A3702D">
      <w:pPr>
        <w:pStyle w:val="FootnoteText"/>
      </w:pPr>
      <w:r>
        <w:rPr>
          <w:rStyle w:val="FootnoteReference"/>
        </w:rPr>
        <w:footnoteRef/>
      </w:r>
      <w:r w:rsidR="00D979E0">
        <w:t> </w:t>
      </w:r>
      <w:r>
        <w:t>Commission Implementing Decision</w:t>
      </w:r>
      <w:r w:rsidRPr="0013166F">
        <w:t xml:space="preserve"> </w:t>
      </w:r>
      <w:r w:rsidRPr="00246117">
        <w:t xml:space="preserve">on a standardisation request to </w:t>
      </w:r>
      <w:r w:rsidR="00AD7A19">
        <w:t>CEN and CENELEC</w:t>
      </w:r>
      <w:r w:rsidRPr="00246117">
        <w:t xml:space="preserve"> as regards radio equipment in support of Directive</w:t>
      </w:r>
      <w:r w:rsidR="00923F25">
        <w:t> </w:t>
      </w:r>
      <w:r w:rsidRPr="00246117">
        <w:t>2014/53/EU of the European Parliament and of the Council and Commission Delegated Regulation</w:t>
      </w:r>
      <w:r w:rsidR="00923F25">
        <w:t> </w:t>
      </w:r>
      <w:r w:rsidRPr="00246117">
        <w:t>(EU) 2022/30</w:t>
      </w:r>
      <w:r w:rsidR="00574B10">
        <w:t>.</w:t>
      </w:r>
    </w:p>
  </w:footnote>
  <w:footnote w:id="15">
    <w:p w14:paraId="09D58536" w14:textId="1F18C237" w:rsidR="00915E2E" w:rsidRPr="00CC361C" w:rsidRDefault="00915E2E">
      <w:pPr>
        <w:pStyle w:val="FootnoteText"/>
        <w:rPr>
          <w:lang w:val="en-IE"/>
        </w:rPr>
      </w:pPr>
      <w:r>
        <w:rPr>
          <w:rStyle w:val="FootnoteReference"/>
        </w:rPr>
        <w:footnoteRef/>
      </w:r>
      <w:r w:rsidR="00D979E0">
        <w:t> </w:t>
      </w:r>
      <w:r w:rsidR="00D80FD7">
        <w:rPr>
          <w:lang w:val="en-IE"/>
        </w:rPr>
        <w:t>R</w:t>
      </w:r>
      <w:r w:rsidR="00CC361C" w:rsidRPr="00CC361C">
        <w:rPr>
          <w:lang w:val="en-IE"/>
        </w:rPr>
        <w:t>equirements on safety an</w:t>
      </w:r>
      <w:r w:rsidR="00CC361C">
        <w:rPr>
          <w:lang w:val="en-IE"/>
        </w:rPr>
        <w:t>d electromagnetic compatibility.</w:t>
      </w:r>
    </w:p>
  </w:footnote>
  <w:footnote w:id="16">
    <w:p w14:paraId="481DC224" w14:textId="225CE5D5" w:rsidR="005C6B07" w:rsidRDefault="005C6B07" w:rsidP="005C6B07">
      <w:pPr>
        <w:pStyle w:val="FootnoteText"/>
      </w:pPr>
      <w:r w:rsidRPr="7FF07507">
        <w:rPr>
          <w:rStyle w:val="FootnoteReference"/>
        </w:rPr>
        <w:footnoteRef/>
      </w:r>
      <w:r w:rsidR="00D979E0">
        <w:t> </w:t>
      </w:r>
      <w:r>
        <w:t>See Regulation</w:t>
      </w:r>
      <w:r w:rsidRPr="0041485B">
        <w:t xml:space="preserve"> (EC) No</w:t>
      </w:r>
      <w:r>
        <w:t xml:space="preserve"> 765/2008.</w:t>
      </w:r>
    </w:p>
  </w:footnote>
  <w:footnote w:id="17">
    <w:p w14:paraId="2F83A1A4" w14:textId="6E409DF4" w:rsidR="00962FB8" w:rsidRPr="00962FB8" w:rsidRDefault="00962FB8">
      <w:pPr>
        <w:pStyle w:val="FootnoteText"/>
        <w:rPr>
          <w:lang w:val="en-IE"/>
        </w:rPr>
      </w:pPr>
      <w:r>
        <w:rPr>
          <w:rStyle w:val="FootnoteReference"/>
        </w:rPr>
        <w:footnoteRef/>
      </w:r>
      <w:r w:rsidR="00D979E0">
        <w:t> </w:t>
      </w:r>
      <w:r>
        <w:t>Commission Implementing Regulation</w:t>
      </w:r>
      <w:r w:rsidR="004332E8">
        <w:t> </w:t>
      </w:r>
      <w:r>
        <w:t>(EU)</w:t>
      </w:r>
      <w:r w:rsidR="004332E8">
        <w:t> </w:t>
      </w:r>
      <w:r>
        <w:t>2022/1267 of 20 July 2022 specifying the procedures for the designation of Union testing facilities for the purposes of market surveillance and verification of product compliance in accordance with Regulation</w:t>
      </w:r>
      <w:r w:rsidR="004332E8">
        <w:t> </w:t>
      </w:r>
      <w:r>
        <w:t>(EU)</w:t>
      </w:r>
      <w:r w:rsidR="004332E8">
        <w:t> </w:t>
      </w:r>
      <w:r>
        <w:t>2019/1020 of the European Parliament and of the Council</w:t>
      </w:r>
      <w:r w:rsidR="00C340AE">
        <w:t>.</w:t>
      </w:r>
    </w:p>
  </w:footnote>
  <w:footnote w:id="18">
    <w:p w14:paraId="647C0DE6" w14:textId="0DCE6556" w:rsidR="004265D5" w:rsidRPr="00962FB8" w:rsidRDefault="004265D5" w:rsidP="004265D5">
      <w:pPr>
        <w:pStyle w:val="FootnoteText"/>
        <w:rPr>
          <w:lang w:val="en-IE"/>
        </w:rPr>
      </w:pPr>
      <w:r>
        <w:rPr>
          <w:rStyle w:val="FootnoteReference"/>
        </w:rPr>
        <w:footnoteRef/>
      </w:r>
      <w:r>
        <w:t> Regulation (EU) 2019/1020 of the European Parliament and of the Council of 20 June 2019 on market surveillance and compliance of products.</w:t>
      </w:r>
    </w:p>
  </w:footnote>
  <w:footnote w:id="19">
    <w:p w14:paraId="536B1986" w14:textId="543A7FBD" w:rsidR="00F77C22" w:rsidRPr="00F77C22" w:rsidRDefault="00F77C22">
      <w:pPr>
        <w:pStyle w:val="FootnoteText"/>
        <w:rPr>
          <w:lang w:val="en-IE"/>
        </w:rPr>
      </w:pPr>
      <w:r>
        <w:rPr>
          <w:rStyle w:val="FootnoteReference"/>
        </w:rPr>
        <w:footnoteRef/>
      </w:r>
      <w:r w:rsidRPr="00F77C22">
        <w:rPr>
          <w:lang w:val="en-IE"/>
        </w:rPr>
        <w:t xml:space="preserve"> Article 3(2) and Article 3(3)(g) of</w:t>
      </w:r>
      <w:r>
        <w:rPr>
          <w:lang w:val="en-IE"/>
        </w:rPr>
        <w:t xml:space="preserve"> the RED.</w:t>
      </w:r>
    </w:p>
  </w:footnote>
  <w:footnote w:id="20">
    <w:p w14:paraId="3EBD2B01" w14:textId="77777777" w:rsidR="00056420" w:rsidRPr="00FD1D2B" w:rsidRDefault="00056420" w:rsidP="00056420">
      <w:pPr>
        <w:pStyle w:val="FootnoteText"/>
        <w:rPr>
          <w:lang w:val="fr-BE"/>
        </w:rPr>
      </w:pPr>
      <w:r>
        <w:rPr>
          <w:rStyle w:val="FootnoteReference"/>
        </w:rPr>
        <w:footnoteRef/>
      </w:r>
      <w:r w:rsidRPr="00FD1D2B">
        <w:rPr>
          <w:lang w:val="fr-BE"/>
        </w:rPr>
        <w:t xml:space="preserve"> Recommendation ITU-R M.2135-0.</w:t>
      </w:r>
    </w:p>
  </w:footnote>
  <w:footnote w:id="21">
    <w:p w14:paraId="1E5873EC" w14:textId="18D8316E" w:rsidR="009F1AFE" w:rsidRPr="009F1AFE" w:rsidRDefault="009F1AFE">
      <w:pPr>
        <w:pStyle w:val="FootnoteText"/>
      </w:pPr>
      <w:r>
        <w:rPr>
          <w:rStyle w:val="FootnoteReference"/>
        </w:rPr>
        <w:footnoteRef/>
      </w:r>
      <w:r w:rsidR="00D979E0" w:rsidRPr="00673F05">
        <w:rPr>
          <w:lang w:val="fr-BE"/>
        </w:rPr>
        <w:t> </w:t>
      </w:r>
      <w:r w:rsidR="0024673B" w:rsidRPr="00673F05">
        <w:rPr>
          <w:lang w:val="fr-BE"/>
        </w:rPr>
        <w:t xml:space="preserve">EN 50 566:2017. </w:t>
      </w:r>
      <w:r w:rsidRPr="00485D0C">
        <w:rPr>
          <w:lang w:val="en-IE"/>
        </w:rPr>
        <w:t>Product standard to demonstrate the compliance of wireless communication devices with the basic restrictions and exposure limit values related to human exposure to electromagnetic fields in the frequency range from 30</w:t>
      </w:r>
      <w:r w:rsidR="0075085F">
        <w:rPr>
          <w:lang w:val="en-IE"/>
        </w:rPr>
        <w:t> </w:t>
      </w:r>
      <w:r w:rsidRPr="00485D0C">
        <w:rPr>
          <w:lang w:val="en-IE"/>
        </w:rPr>
        <w:t>MHz to 6</w:t>
      </w:r>
      <w:r w:rsidR="0075085F">
        <w:rPr>
          <w:lang w:val="en-IE"/>
        </w:rPr>
        <w:t> </w:t>
      </w:r>
      <w:r w:rsidRPr="00485D0C">
        <w:rPr>
          <w:lang w:val="en-IE"/>
        </w:rPr>
        <w:t>GHz: handheld and body</w:t>
      </w:r>
      <w:r w:rsidR="0075085F">
        <w:rPr>
          <w:lang w:val="en-IE"/>
        </w:rPr>
        <w:t>-</w:t>
      </w:r>
      <w:r w:rsidRPr="00485D0C">
        <w:rPr>
          <w:lang w:val="en-IE"/>
        </w:rPr>
        <w:t>mounted devices in close proximity to the human body.</w:t>
      </w:r>
    </w:p>
  </w:footnote>
  <w:footnote w:id="22">
    <w:p w14:paraId="4698E279" w14:textId="77777777" w:rsidR="00C4528F" w:rsidRPr="00E702A7" w:rsidRDefault="00C4528F" w:rsidP="00C4528F">
      <w:pPr>
        <w:pStyle w:val="FootnoteText"/>
      </w:pPr>
      <w:r>
        <w:rPr>
          <w:rStyle w:val="FootnoteReference"/>
        </w:rPr>
        <w:footnoteRef/>
      </w:r>
      <w:r>
        <w:t xml:space="preserve"> Dynamic frequency selection is a technical element that automatically shifts the transmission to another frequency if it is detected that the channel is occupied. </w:t>
      </w:r>
    </w:p>
  </w:footnote>
  <w:footnote w:id="23">
    <w:p w14:paraId="6CA88C51" w14:textId="381B9E14" w:rsidR="002431D0" w:rsidRPr="002431D0" w:rsidRDefault="002431D0">
      <w:pPr>
        <w:pStyle w:val="FootnoteText"/>
      </w:pPr>
      <w:r>
        <w:rPr>
          <w:rStyle w:val="FootnoteReference"/>
        </w:rPr>
        <w:footnoteRef/>
      </w:r>
      <w:r>
        <w:t xml:space="preserve"> </w:t>
      </w:r>
      <w:r w:rsidR="00C6303C" w:rsidRPr="00C6303C">
        <w:t>Commission Implementing Decision (EU) 2022/2307</w:t>
      </w:r>
      <w:r w:rsidR="00C6303C">
        <w:t>.</w:t>
      </w:r>
    </w:p>
  </w:footnote>
  <w:footnote w:id="24">
    <w:p w14:paraId="2A7B5DFF" w14:textId="58B8EECE" w:rsidR="005F74CA" w:rsidRPr="005F74CA" w:rsidRDefault="005F74CA">
      <w:pPr>
        <w:pStyle w:val="FootnoteText"/>
        <w:rPr>
          <w:lang w:val="en-IE"/>
        </w:rPr>
      </w:pPr>
      <w:r>
        <w:rPr>
          <w:rStyle w:val="FootnoteReference"/>
        </w:rPr>
        <w:footnoteRef/>
      </w:r>
      <w:r w:rsidR="00D979E0">
        <w:t> </w:t>
      </w:r>
      <w:r w:rsidRPr="005F74CA">
        <w:rPr>
          <w:lang w:val="en-IE"/>
        </w:rPr>
        <w:t>Voice over LTE (Long</w:t>
      </w:r>
      <w:r w:rsidR="00D1670E">
        <w:rPr>
          <w:lang w:val="en-IE"/>
        </w:rPr>
        <w:t>-</w:t>
      </w:r>
      <w:r>
        <w:rPr>
          <w:lang w:val="en-IE"/>
        </w:rPr>
        <w:t xml:space="preserve">Term Evolution). </w:t>
      </w:r>
      <w:r w:rsidR="00D1670E">
        <w:rPr>
          <w:lang w:val="en-IE"/>
        </w:rPr>
        <w:t xml:space="preserve">This </w:t>
      </w:r>
      <w:r>
        <w:rPr>
          <w:lang w:val="en-IE"/>
        </w:rPr>
        <w:t xml:space="preserve">is the technology </w:t>
      </w:r>
      <w:r w:rsidR="00D1670E">
        <w:rPr>
          <w:lang w:val="en-IE"/>
        </w:rPr>
        <w:t xml:space="preserve">used </w:t>
      </w:r>
      <w:r>
        <w:rPr>
          <w:lang w:val="en-IE"/>
        </w:rPr>
        <w:t>by the fourth generation of cellular networks (4G) to implement the voice service.</w:t>
      </w:r>
    </w:p>
  </w:footnote>
  <w:footnote w:id="25">
    <w:p w14:paraId="7DAB7229" w14:textId="67436F07" w:rsidR="00D95476" w:rsidRPr="00D95476" w:rsidRDefault="00D95476">
      <w:pPr>
        <w:pStyle w:val="FootnoteText"/>
        <w:rPr>
          <w:lang w:val="en-IE"/>
        </w:rPr>
      </w:pPr>
      <w:r>
        <w:rPr>
          <w:rStyle w:val="FootnoteReference"/>
        </w:rPr>
        <w:footnoteRef/>
      </w:r>
      <w:r w:rsidR="00D979E0">
        <w:t> </w:t>
      </w:r>
      <w:r w:rsidR="00675F6B">
        <w:t>T</w:t>
      </w:r>
      <w:r>
        <w:t xml:space="preserve">he aim of the TGNs is to </w:t>
      </w:r>
      <w:r w:rsidR="00CA07B7">
        <w:t>address</w:t>
      </w:r>
      <w:r>
        <w:t xml:space="preserve"> the lack of clarity </w:t>
      </w:r>
      <w:r w:rsidR="00CA07B7">
        <w:t>regarding</w:t>
      </w:r>
      <w:r>
        <w:t xml:space="preserve"> the RED and/or </w:t>
      </w:r>
      <w:r w:rsidR="00CA07B7">
        <w:t xml:space="preserve">the </w:t>
      </w:r>
      <w:r>
        <w:t>RED Guide</w:t>
      </w:r>
      <w:r w:rsidR="00CA07B7">
        <w:t xml:space="preserve"> as perceived within the REDCA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8BD4" w14:textId="77777777" w:rsidR="00AC4939" w:rsidRPr="00AC4939" w:rsidRDefault="00AC4939" w:rsidP="00AC493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6436" w14:textId="77777777" w:rsidR="00AC4939" w:rsidRPr="00AC4939" w:rsidRDefault="00AC4939" w:rsidP="00AC493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16FA" w14:textId="77777777" w:rsidR="00AC4939" w:rsidRPr="00AC4939" w:rsidRDefault="00AC4939" w:rsidP="00AC493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4BC6" w14:textId="77777777" w:rsidR="001B6897" w:rsidRDefault="001B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105C" w14:textId="77777777" w:rsidR="001B6897" w:rsidRDefault="001B68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8599" w14:textId="77777777" w:rsidR="001B6897" w:rsidRDefault="001B6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89C"/>
    <w:multiLevelType w:val="hybridMultilevel"/>
    <w:tmpl w:val="C6600B2A"/>
    <w:lvl w:ilvl="0" w:tplc="00B815DE">
      <w:numFmt w:val="bullet"/>
      <w:lvlText w:val="-"/>
      <w:lvlJc w:val="left"/>
      <w:pPr>
        <w:ind w:left="720" w:hanging="360"/>
      </w:pPr>
      <w:rPr>
        <w:rFonts w:ascii="Calibri" w:eastAsiaTheme="minorHAnsi" w:hAnsi="Calibri" w:cs="Calibri" w:hint="default"/>
      </w:rPr>
    </w:lvl>
    <w:lvl w:ilvl="1" w:tplc="00B815DE">
      <w:numFmt w:val="bullet"/>
      <w:lvlText w:val="-"/>
      <w:lvlJc w:val="left"/>
      <w:pPr>
        <w:ind w:left="1440" w:hanging="360"/>
      </w:pPr>
      <w:rPr>
        <w:rFonts w:ascii="Calibri" w:eastAsiaTheme="minorHAnsi" w:hAnsi="Calibri" w:cs="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07388D"/>
    <w:multiLevelType w:val="multilevel"/>
    <w:tmpl w:val="F74602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numFmt w:val="bullet"/>
      <w:lvlText w:val="-"/>
      <w:lvlJc w:val="left"/>
      <w:pPr>
        <w:ind w:left="1080" w:hanging="360"/>
      </w:pPr>
      <w:rPr>
        <w:rFonts w:ascii="Calibri" w:eastAsiaTheme="minorHAns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E0FB4"/>
    <w:multiLevelType w:val="hybridMultilevel"/>
    <w:tmpl w:val="E13C4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906940"/>
    <w:multiLevelType w:val="hybridMultilevel"/>
    <w:tmpl w:val="529A5694"/>
    <w:lvl w:ilvl="0" w:tplc="1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C87C04"/>
    <w:multiLevelType w:val="multilevel"/>
    <w:tmpl w:val="D6E0C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D1BC4"/>
    <w:multiLevelType w:val="hybridMultilevel"/>
    <w:tmpl w:val="4984B8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007FA2"/>
    <w:multiLevelType w:val="hybridMultilevel"/>
    <w:tmpl w:val="A2E0DE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F97176"/>
    <w:multiLevelType w:val="hybridMultilevel"/>
    <w:tmpl w:val="25F0D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E52FB9"/>
    <w:multiLevelType w:val="hybridMultilevel"/>
    <w:tmpl w:val="23FCFC96"/>
    <w:lvl w:ilvl="0" w:tplc="00B815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5518CB"/>
    <w:multiLevelType w:val="hybridMultilevel"/>
    <w:tmpl w:val="B846F1BC"/>
    <w:lvl w:ilvl="0" w:tplc="18090001">
      <w:start w:val="1"/>
      <w:numFmt w:val="bullet"/>
      <w:lvlText w:val=""/>
      <w:lvlJc w:val="left"/>
      <w:pPr>
        <w:ind w:left="720" w:hanging="360"/>
      </w:pPr>
      <w:rPr>
        <w:rFonts w:ascii="Symbol" w:hAnsi="Symbol" w:hint="default"/>
      </w:rPr>
    </w:lvl>
    <w:lvl w:ilvl="1" w:tplc="7B341940">
      <w:numFmt w:val="bullet"/>
      <w:lvlText w:val="-"/>
      <w:lvlJc w:val="left"/>
      <w:pPr>
        <w:ind w:left="1800" w:hanging="72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2914E1"/>
    <w:multiLevelType w:val="multilevel"/>
    <w:tmpl w:val="F74602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numFmt w:val="bullet"/>
      <w:lvlText w:val="-"/>
      <w:lvlJc w:val="left"/>
      <w:pPr>
        <w:ind w:left="1080" w:hanging="360"/>
      </w:pPr>
      <w:rPr>
        <w:rFonts w:ascii="Calibri" w:eastAsiaTheme="minorHAns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23FDD"/>
    <w:multiLevelType w:val="hybridMultilevel"/>
    <w:tmpl w:val="9C98E34A"/>
    <w:lvl w:ilvl="0" w:tplc="E0E0825C">
      <w:numFmt w:val="bullet"/>
      <w:lvlText w:val="-"/>
      <w:lvlJc w:val="left"/>
      <w:pPr>
        <w:ind w:left="720" w:hanging="720"/>
      </w:pPr>
      <w:rPr>
        <w:rFonts w:ascii="Times New Roman" w:eastAsiaTheme="minorHAns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CE767EE"/>
    <w:multiLevelType w:val="multilevel"/>
    <w:tmpl w:val="F74602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numFmt w:val="bullet"/>
      <w:lvlText w:val="-"/>
      <w:lvlJc w:val="left"/>
      <w:pPr>
        <w:ind w:left="1080" w:hanging="360"/>
      </w:pPr>
      <w:rPr>
        <w:rFonts w:ascii="Calibri" w:eastAsiaTheme="minorHAns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903867"/>
    <w:multiLevelType w:val="hybridMultilevel"/>
    <w:tmpl w:val="2376AD2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34D91F04"/>
    <w:multiLevelType w:val="hybridMultilevel"/>
    <w:tmpl w:val="033666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AA63D26"/>
    <w:multiLevelType w:val="hybridMultilevel"/>
    <w:tmpl w:val="588A2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8234BA"/>
    <w:multiLevelType w:val="hybridMultilevel"/>
    <w:tmpl w:val="E78A5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15F1D3C"/>
    <w:multiLevelType w:val="hybridMultilevel"/>
    <w:tmpl w:val="7F043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EA5AE0"/>
    <w:multiLevelType w:val="multilevel"/>
    <w:tmpl w:val="F74602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numFmt w:val="bullet"/>
      <w:lvlText w:val="-"/>
      <w:lvlJc w:val="left"/>
      <w:pPr>
        <w:ind w:left="1080" w:hanging="360"/>
      </w:pPr>
      <w:rPr>
        <w:rFonts w:ascii="Calibri" w:eastAsiaTheme="minorHAns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6664F8"/>
    <w:multiLevelType w:val="hybridMultilevel"/>
    <w:tmpl w:val="B6241B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853E3B"/>
    <w:multiLevelType w:val="multilevel"/>
    <w:tmpl w:val="FA6807E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DE6109"/>
    <w:multiLevelType w:val="hybridMultilevel"/>
    <w:tmpl w:val="E1AAE2A6"/>
    <w:lvl w:ilvl="0" w:tplc="00B815DE">
      <w:numFmt w:val="bullet"/>
      <w:lvlText w:val="-"/>
      <w:lvlJc w:val="left"/>
      <w:pPr>
        <w:ind w:left="1512" w:hanging="360"/>
      </w:pPr>
      <w:rPr>
        <w:rFonts w:ascii="Calibri" w:eastAsiaTheme="minorHAnsi" w:hAnsi="Calibri" w:cs="Calibri" w:hint="default"/>
      </w:rPr>
    </w:lvl>
    <w:lvl w:ilvl="1" w:tplc="18090003">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22" w15:restartNumberingAfterBreak="0">
    <w:nsid w:val="47DF6A9E"/>
    <w:multiLevelType w:val="hybridMultilevel"/>
    <w:tmpl w:val="10EECE8C"/>
    <w:lvl w:ilvl="0" w:tplc="6BAACD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AC1332"/>
    <w:multiLevelType w:val="hybridMultilevel"/>
    <w:tmpl w:val="50369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2C48B7"/>
    <w:multiLevelType w:val="hybridMultilevel"/>
    <w:tmpl w:val="D556D344"/>
    <w:lvl w:ilvl="0" w:tplc="24E855C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B105783"/>
    <w:multiLevelType w:val="hybridMultilevel"/>
    <w:tmpl w:val="16AC2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B1225A2"/>
    <w:multiLevelType w:val="hybridMultilevel"/>
    <w:tmpl w:val="00029D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122ACB"/>
    <w:multiLevelType w:val="hybridMultilevel"/>
    <w:tmpl w:val="DC427142"/>
    <w:lvl w:ilvl="0" w:tplc="00B815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F61E8E"/>
    <w:multiLevelType w:val="hybridMultilevel"/>
    <w:tmpl w:val="E7A4F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D2782"/>
    <w:multiLevelType w:val="hybridMultilevel"/>
    <w:tmpl w:val="BE1EF600"/>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30" w15:restartNumberingAfterBreak="0">
    <w:nsid w:val="5EFD5CE0"/>
    <w:multiLevelType w:val="hybridMultilevel"/>
    <w:tmpl w:val="1A78BB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EE73F2"/>
    <w:multiLevelType w:val="hybridMultilevel"/>
    <w:tmpl w:val="9AE838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D04557"/>
    <w:multiLevelType w:val="hybridMultilevel"/>
    <w:tmpl w:val="B39E3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F33565"/>
    <w:multiLevelType w:val="hybridMultilevel"/>
    <w:tmpl w:val="56D6B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F520FF"/>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1D735A"/>
    <w:multiLevelType w:val="hybridMultilevel"/>
    <w:tmpl w:val="0A2E0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F81C27"/>
    <w:multiLevelType w:val="hybridMultilevel"/>
    <w:tmpl w:val="5BAEBB6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7" w15:restartNumberingAfterBreak="0">
    <w:nsid w:val="72E86C39"/>
    <w:multiLevelType w:val="hybridMultilevel"/>
    <w:tmpl w:val="21FE91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FF584B"/>
    <w:multiLevelType w:val="hybridMultilevel"/>
    <w:tmpl w:val="16285FA4"/>
    <w:lvl w:ilvl="0" w:tplc="6F6C160A">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65279D6"/>
    <w:multiLevelType w:val="hybridMultilevel"/>
    <w:tmpl w:val="AB5C7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71A6284"/>
    <w:multiLevelType w:val="hybridMultilevel"/>
    <w:tmpl w:val="0F7690E6"/>
    <w:lvl w:ilvl="0" w:tplc="18090001">
      <w:start w:val="1"/>
      <w:numFmt w:val="bullet"/>
      <w:lvlText w:val=""/>
      <w:lvlJc w:val="left"/>
      <w:pPr>
        <w:ind w:left="720" w:hanging="360"/>
      </w:pPr>
      <w:rPr>
        <w:rFonts w:ascii="Symbol" w:hAnsi="Symbol" w:hint="default"/>
      </w:rPr>
    </w:lvl>
    <w:lvl w:ilvl="1" w:tplc="4C224242">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D775DE"/>
    <w:multiLevelType w:val="multilevel"/>
    <w:tmpl w:val="FA6807E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21"/>
  </w:num>
  <w:num w:numId="4">
    <w:abstractNumId w:val="18"/>
  </w:num>
  <w:num w:numId="5">
    <w:abstractNumId w:val="12"/>
  </w:num>
  <w:num w:numId="6">
    <w:abstractNumId w:val="1"/>
  </w:num>
  <w:num w:numId="7">
    <w:abstractNumId w:val="10"/>
  </w:num>
  <w:num w:numId="8">
    <w:abstractNumId w:val="5"/>
  </w:num>
  <w:num w:numId="9">
    <w:abstractNumId w:val="24"/>
  </w:num>
  <w:num w:numId="10">
    <w:abstractNumId w:val="38"/>
  </w:num>
  <w:num w:numId="11">
    <w:abstractNumId w:val="34"/>
  </w:num>
  <w:num w:numId="12">
    <w:abstractNumId w:val="8"/>
  </w:num>
  <w:num w:numId="13">
    <w:abstractNumId w:val="30"/>
  </w:num>
  <w:num w:numId="14">
    <w:abstractNumId w:val="13"/>
  </w:num>
  <w:num w:numId="15">
    <w:abstractNumId w:val="19"/>
  </w:num>
  <w:num w:numId="16">
    <w:abstractNumId w:val="7"/>
  </w:num>
  <w:num w:numId="17">
    <w:abstractNumId w:val="9"/>
  </w:num>
  <w:num w:numId="18">
    <w:abstractNumId w:val="35"/>
  </w:num>
  <w:num w:numId="19">
    <w:abstractNumId w:val="27"/>
  </w:num>
  <w:num w:numId="20">
    <w:abstractNumId w:val="40"/>
  </w:num>
  <w:num w:numId="21">
    <w:abstractNumId w:val="31"/>
  </w:num>
  <w:num w:numId="22">
    <w:abstractNumId w:val="22"/>
  </w:num>
  <w:num w:numId="23">
    <w:abstractNumId w:val="41"/>
  </w:num>
  <w:num w:numId="24">
    <w:abstractNumId w:val="37"/>
  </w:num>
  <w:num w:numId="25">
    <w:abstractNumId w:val="39"/>
  </w:num>
  <w:num w:numId="26">
    <w:abstractNumId w:val="32"/>
  </w:num>
  <w:num w:numId="27">
    <w:abstractNumId w:val="28"/>
  </w:num>
  <w:num w:numId="28">
    <w:abstractNumId w:val="16"/>
  </w:num>
  <w:num w:numId="29">
    <w:abstractNumId w:val="11"/>
  </w:num>
  <w:num w:numId="30">
    <w:abstractNumId w:val="3"/>
  </w:num>
  <w:num w:numId="31">
    <w:abstractNumId w:val="14"/>
  </w:num>
  <w:num w:numId="32">
    <w:abstractNumId w:val="25"/>
  </w:num>
  <w:num w:numId="33">
    <w:abstractNumId w:val="4"/>
  </w:num>
  <w:num w:numId="34">
    <w:abstractNumId w:val="15"/>
  </w:num>
  <w:num w:numId="35">
    <w:abstractNumId w:val="26"/>
  </w:num>
  <w:num w:numId="36">
    <w:abstractNumId w:val="6"/>
  </w:num>
  <w:num w:numId="37">
    <w:abstractNumId w:val="2"/>
  </w:num>
  <w:num w:numId="38">
    <w:abstractNumId w:val="33"/>
  </w:num>
  <w:num w:numId="39">
    <w:abstractNumId w:val="36"/>
  </w:num>
  <w:num w:numId="40">
    <w:abstractNumId w:val="17"/>
  </w:num>
  <w:num w:numId="41">
    <w:abstractNumId w:val="2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E29B22E-0598-4E29-BDEB-611400CFB4A0"/>
    <w:docVar w:name="LW_COVERPAGE_TYPE" w:val="1"/>
    <w:docVar w:name="LW_CROSSREFERENCE" w:val="&lt;UNUSED&gt;"/>
    <w:docVar w:name="LW_DocType" w:val="NORMAL"/>
    <w:docVar w:name="LW_EMISSION" w:val="10.4.2024"/>
    <w:docVar w:name="LW_EMISSION_ISODATE" w:val="2024-04-10"/>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1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econd Report on the operation of Radio Equipment Directive 2014/53/EU"/>
    <w:docVar w:name="LW_TYPE.DOC.CP" w:val="REPORT FROM THE COMMISSION TO THE EUROPEAN PARLIAMENT AND THE COUNCIL"/>
    <w:docVar w:name="LwApiVersions" w:val="LW4CoDe 1.24.5.0; LW 9.0, Build 20240221"/>
  </w:docVars>
  <w:rsids>
    <w:rsidRoot w:val="006307AF"/>
    <w:rsid w:val="00000D20"/>
    <w:rsid w:val="00000ED7"/>
    <w:rsid w:val="00001DB3"/>
    <w:rsid w:val="00002616"/>
    <w:rsid w:val="00007096"/>
    <w:rsid w:val="000113C3"/>
    <w:rsid w:val="00012111"/>
    <w:rsid w:val="0001309F"/>
    <w:rsid w:val="0001323A"/>
    <w:rsid w:val="000133AC"/>
    <w:rsid w:val="0001458E"/>
    <w:rsid w:val="00022CA0"/>
    <w:rsid w:val="000245F6"/>
    <w:rsid w:val="00025441"/>
    <w:rsid w:val="00027742"/>
    <w:rsid w:val="000311C1"/>
    <w:rsid w:val="00032040"/>
    <w:rsid w:val="0003589F"/>
    <w:rsid w:val="00037988"/>
    <w:rsid w:val="000410E0"/>
    <w:rsid w:val="00043328"/>
    <w:rsid w:val="00044A75"/>
    <w:rsid w:val="00047C34"/>
    <w:rsid w:val="000508DE"/>
    <w:rsid w:val="00054081"/>
    <w:rsid w:val="000557EE"/>
    <w:rsid w:val="00056420"/>
    <w:rsid w:val="00064D75"/>
    <w:rsid w:val="00072060"/>
    <w:rsid w:val="00075028"/>
    <w:rsid w:val="0007586C"/>
    <w:rsid w:val="0008133B"/>
    <w:rsid w:val="00083495"/>
    <w:rsid w:val="000901DF"/>
    <w:rsid w:val="000908E5"/>
    <w:rsid w:val="0009641E"/>
    <w:rsid w:val="0009737A"/>
    <w:rsid w:val="000974ED"/>
    <w:rsid w:val="000A4E05"/>
    <w:rsid w:val="000B1FF8"/>
    <w:rsid w:val="000B4D86"/>
    <w:rsid w:val="000B73D0"/>
    <w:rsid w:val="000C0694"/>
    <w:rsid w:val="000C0825"/>
    <w:rsid w:val="000C23B5"/>
    <w:rsid w:val="000C2689"/>
    <w:rsid w:val="000D1FA1"/>
    <w:rsid w:val="000D1FC1"/>
    <w:rsid w:val="000D4A1D"/>
    <w:rsid w:val="000D79C3"/>
    <w:rsid w:val="000D7D0D"/>
    <w:rsid w:val="000E24EA"/>
    <w:rsid w:val="000E2F76"/>
    <w:rsid w:val="000E45A0"/>
    <w:rsid w:val="000E45B8"/>
    <w:rsid w:val="000E4923"/>
    <w:rsid w:val="000F0767"/>
    <w:rsid w:val="000F29C8"/>
    <w:rsid w:val="000F2D6D"/>
    <w:rsid w:val="00104F4C"/>
    <w:rsid w:val="00105767"/>
    <w:rsid w:val="001120BF"/>
    <w:rsid w:val="0011336E"/>
    <w:rsid w:val="00113C99"/>
    <w:rsid w:val="001142D9"/>
    <w:rsid w:val="00121130"/>
    <w:rsid w:val="00121A6F"/>
    <w:rsid w:val="00123CBD"/>
    <w:rsid w:val="00125610"/>
    <w:rsid w:val="00126242"/>
    <w:rsid w:val="001265E4"/>
    <w:rsid w:val="0013166F"/>
    <w:rsid w:val="001360B6"/>
    <w:rsid w:val="001424F5"/>
    <w:rsid w:val="001529BF"/>
    <w:rsid w:val="001623A0"/>
    <w:rsid w:val="00162907"/>
    <w:rsid w:val="0016323B"/>
    <w:rsid w:val="00163A0D"/>
    <w:rsid w:val="001642C7"/>
    <w:rsid w:val="0016453A"/>
    <w:rsid w:val="00166369"/>
    <w:rsid w:val="00170999"/>
    <w:rsid w:val="00171970"/>
    <w:rsid w:val="001721DD"/>
    <w:rsid w:val="00174D87"/>
    <w:rsid w:val="0017639F"/>
    <w:rsid w:val="00177657"/>
    <w:rsid w:val="0017A127"/>
    <w:rsid w:val="00180669"/>
    <w:rsid w:val="00191C65"/>
    <w:rsid w:val="00192DC7"/>
    <w:rsid w:val="0019470A"/>
    <w:rsid w:val="00194775"/>
    <w:rsid w:val="00195732"/>
    <w:rsid w:val="00195F04"/>
    <w:rsid w:val="00196850"/>
    <w:rsid w:val="001A2611"/>
    <w:rsid w:val="001A4605"/>
    <w:rsid w:val="001A724A"/>
    <w:rsid w:val="001A743F"/>
    <w:rsid w:val="001A75C0"/>
    <w:rsid w:val="001B006C"/>
    <w:rsid w:val="001B3A36"/>
    <w:rsid w:val="001B4307"/>
    <w:rsid w:val="001B6897"/>
    <w:rsid w:val="001C1062"/>
    <w:rsid w:val="001C10B0"/>
    <w:rsid w:val="001C419B"/>
    <w:rsid w:val="001C459E"/>
    <w:rsid w:val="001C58D6"/>
    <w:rsid w:val="001C74D7"/>
    <w:rsid w:val="001D4F4D"/>
    <w:rsid w:val="001D6EA1"/>
    <w:rsid w:val="001E2D63"/>
    <w:rsid w:val="001E44B4"/>
    <w:rsid w:val="001E495B"/>
    <w:rsid w:val="001E524E"/>
    <w:rsid w:val="001F00D3"/>
    <w:rsid w:val="001F165B"/>
    <w:rsid w:val="001F2077"/>
    <w:rsid w:val="001F40F1"/>
    <w:rsid w:val="001F423C"/>
    <w:rsid w:val="001F5556"/>
    <w:rsid w:val="001F55B0"/>
    <w:rsid w:val="001F668A"/>
    <w:rsid w:val="001F7BBA"/>
    <w:rsid w:val="0020025A"/>
    <w:rsid w:val="0020158B"/>
    <w:rsid w:val="00211E3C"/>
    <w:rsid w:val="00212513"/>
    <w:rsid w:val="00214540"/>
    <w:rsid w:val="00214B75"/>
    <w:rsid w:val="00215E0E"/>
    <w:rsid w:val="00216383"/>
    <w:rsid w:val="0022052E"/>
    <w:rsid w:val="00222640"/>
    <w:rsid w:val="00225D82"/>
    <w:rsid w:val="00230CF4"/>
    <w:rsid w:val="002320FC"/>
    <w:rsid w:val="00233E2A"/>
    <w:rsid w:val="00237A05"/>
    <w:rsid w:val="002404CA"/>
    <w:rsid w:val="002431D0"/>
    <w:rsid w:val="00246117"/>
    <w:rsid w:val="0024673B"/>
    <w:rsid w:val="00246BDA"/>
    <w:rsid w:val="00257683"/>
    <w:rsid w:val="00264E11"/>
    <w:rsid w:val="002748A3"/>
    <w:rsid w:val="002772FE"/>
    <w:rsid w:val="002774AD"/>
    <w:rsid w:val="00281CAB"/>
    <w:rsid w:val="002826D8"/>
    <w:rsid w:val="0028783E"/>
    <w:rsid w:val="00287C3E"/>
    <w:rsid w:val="00290B76"/>
    <w:rsid w:val="00290EE4"/>
    <w:rsid w:val="00294FBE"/>
    <w:rsid w:val="00297C08"/>
    <w:rsid w:val="002A457F"/>
    <w:rsid w:val="002ADD9A"/>
    <w:rsid w:val="002B411F"/>
    <w:rsid w:val="002B4F8A"/>
    <w:rsid w:val="002B51F2"/>
    <w:rsid w:val="002B7AA2"/>
    <w:rsid w:val="002C0871"/>
    <w:rsid w:val="002C0EC1"/>
    <w:rsid w:val="002C1C21"/>
    <w:rsid w:val="002C257B"/>
    <w:rsid w:val="002C4655"/>
    <w:rsid w:val="002C59C0"/>
    <w:rsid w:val="002C5B4A"/>
    <w:rsid w:val="002C655C"/>
    <w:rsid w:val="002C781C"/>
    <w:rsid w:val="002D0229"/>
    <w:rsid w:val="002D0323"/>
    <w:rsid w:val="002D0526"/>
    <w:rsid w:val="002D1824"/>
    <w:rsid w:val="002D1838"/>
    <w:rsid w:val="002D425D"/>
    <w:rsid w:val="002D56F3"/>
    <w:rsid w:val="002E2930"/>
    <w:rsid w:val="002E3ABF"/>
    <w:rsid w:val="002E4303"/>
    <w:rsid w:val="002E546C"/>
    <w:rsid w:val="002E5AD0"/>
    <w:rsid w:val="002E643D"/>
    <w:rsid w:val="002E6B26"/>
    <w:rsid w:val="002E75C3"/>
    <w:rsid w:val="002E7949"/>
    <w:rsid w:val="002F0513"/>
    <w:rsid w:val="002F28B9"/>
    <w:rsid w:val="002F65FA"/>
    <w:rsid w:val="002F78FF"/>
    <w:rsid w:val="00305EDE"/>
    <w:rsid w:val="0031377D"/>
    <w:rsid w:val="003165A7"/>
    <w:rsid w:val="00320826"/>
    <w:rsid w:val="00321C46"/>
    <w:rsid w:val="00321EDA"/>
    <w:rsid w:val="003227C4"/>
    <w:rsid w:val="00324E0C"/>
    <w:rsid w:val="00325F29"/>
    <w:rsid w:val="00326C97"/>
    <w:rsid w:val="003305D6"/>
    <w:rsid w:val="00333991"/>
    <w:rsid w:val="00340705"/>
    <w:rsid w:val="00340CB3"/>
    <w:rsid w:val="0034348E"/>
    <w:rsid w:val="00350642"/>
    <w:rsid w:val="003525D9"/>
    <w:rsid w:val="003527BA"/>
    <w:rsid w:val="00362A64"/>
    <w:rsid w:val="00362FCD"/>
    <w:rsid w:val="00363EAE"/>
    <w:rsid w:val="00367114"/>
    <w:rsid w:val="00370AE9"/>
    <w:rsid w:val="00370C3A"/>
    <w:rsid w:val="00371C91"/>
    <w:rsid w:val="00374DA5"/>
    <w:rsid w:val="00375E4B"/>
    <w:rsid w:val="00381359"/>
    <w:rsid w:val="00383527"/>
    <w:rsid w:val="00383C92"/>
    <w:rsid w:val="003844EA"/>
    <w:rsid w:val="003846E2"/>
    <w:rsid w:val="00386565"/>
    <w:rsid w:val="0038722E"/>
    <w:rsid w:val="003905EB"/>
    <w:rsid w:val="00390EA4"/>
    <w:rsid w:val="00394C33"/>
    <w:rsid w:val="00397258"/>
    <w:rsid w:val="003979F8"/>
    <w:rsid w:val="003A1CF3"/>
    <w:rsid w:val="003A3BD3"/>
    <w:rsid w:val="003A627A"/>
    <w:rsid w:val="003A66C2"/>
    <w:rsid w:val="003B13C0"/>
    <w:rsid w:val="003B1D09"/>
    <w:rsid w:val="003B2AFF"/>
    <w:rsid w:val="003B64D0"/>
    <w:rsid w:val="003C1803"/>
    <w:rsid w:val="003C30C2"/>
    <w:rsid w:val="003C3DCD"/>
    <w:rsid w:val="003D0CEE"/>
    <w:rsid w:val="003D2A00"/>
    <w:rsid w:val="003D45DB"/>
    <w:rsid w:val="003D46C0"/>
    <w:rsid w:val="003E09DB"/>
    <w:rsid w:val="003E2502"/>
    <w:rsid w:val="003E2BAB"/>
    <w:rsid w:val="003E577C"/>
    <w:rsid w:val="003E72C5"/>
    <w:rsid w:val="003E75D6"/>
    <w:rsid w:val="003F2B76"/>
    <w:rsid w:val="003F3CF8"/>
    <w:rsid w:val="003F70DD"/>
    <w:rsid w:val="0040039A"/>
    <w:rsid w:val="004004A7"/>
    <w:rsid w:val="00401E17"/>
    <w:rsid w:val="004026E4"/>
    <w:rsid w:val="00404275"/>
    <w:rsid w:val="00405C37"/>
    <w:rsid w:val="0041069B"/>
    <w:rsid w:val="0041485B"/>
    <w:rsid w:val="00421D39"/>
    <w:rsid w:val="00421F62"/>
    <w:rsid w:val="004265D5"/>
    <w:rsid w:val="00427FB1"/>
    <w:rsid w:val="00430001"/>
    <w:rsid w:val="004332E8"/>
    <w:rsid w:val="00433F10"/>
    <w:rsid w:val="00434A6F"/>
    <w:rsid w:val="004361E7"/>
    <w:rsid w:val="00442655"/>
    <w:rsid w:val="0044445E"/>
    <w:rsid w:val="004444E9"/>
    <w:rsid w:val="0044683E"/>
    <w:rsid w:val="00447A56"/>
    <w:rsid w:val="004522AE"/>
    <w:rsid w:val="004535DF"/>
    <w:rsid w:val="004572DD"/>
    <w:rsid w:val="00462507"/>
    <w:rsid w:val="004700FF"/>
    <w:rsid w:val="00471301"/>
    <w:rsid w:val="00472E90"/>
    <w:rsid w:val="00477962"/>
    <w:rsid w:val="004801AD"/>
    <w:rsid w:val="00484261"/>
    <w:rsid w:val="0048538B"/>
    <w:rsid w:val="00485D0C"/>
    <w:rsid w:val="00487187"/>
    <w:rsid w:val="00487799"/>
    <w:rsid w:val="004910EF"/>
    <w:rsid w:val="004A3914"/>
    <w:rsid w:val="004B147D"/>
    <w:rsid w:val="004C0615"/>
    <w:rsid w:val="004C1F70"/>
    <w:rsid w:val="004C2559"/>
    <w:rsid w:val="004C38D4"/>
    <w:rsid w:val="004C6266"/>
    <w:rsid w:val="004D0246"/>
    <w:rsid w:val="004D37E2"/>
    <w:rsid w:val="004D3D24"/>
    <w:rsid w:val="004D53F6"/>
    <w:rsid w:val="004D58E4"/>
    <w:rsid w:val="004E0A82"/>
    <w:rsid w:val="004F3F83"/>
    <w:rsid w:val="004F6323"/>
    <w:rsid w:val="0050354E"/>
    <w:rsid w:val="00505859"/>
    <w:rsid w:val="00510FC3"/>
    <w:rsid w:val="00512608"/>
    <w:rsid w:val="00514A86"/>
    <w:rsid w:val="005165B0"/>
    <w:rsid w:val="00517B20"/>
    <w:rsid w:val="0052094B"/>
    <w:rsid w:val="00521E0E"/>
    <w:rsid w:val="00525362"/>
    <w:rsid w:val="005269CF"/>
    <w:rsid w:val="00532382"/>
    <w:rsid w:val="005330F5"/>
    <w:rsid w:val="00534A3D"/>
    <w:rsid w:val="00537557"/>
    <w:rsid w:val="00537733"/>
    <w:rsid w:val="005408D4"/>
    <w:rsid w:val="005423CB"/>
    <w:rsid w:val="005429AF"/>
    <w:rsid w:val="00543385"/>
    <w:rsid w:val="005437CB"/>
    <w:rsid w:val="00543DD7"/>
    <w:rsid w:val="00547D22"/>
    <w:rsid w:val="00551FDE"/>
    <w:rsid w:val="005526D4"/>
    <w:rsid w:val="0055779B"/>
    <w:rsid w:val="00557D46"/>
    <w:rsid w:val="00561C2B"/>
    <w:rsid w:val="00561F3C"/>
    <w:rsid w:val="00562A2C"/>
    <w:rsid w:val="0056329F"/>
    <w:rsid w:val="00566AD3"/>
    <w:rsid w:val="00574B10"/>
    <w:rsid w:val="005774CC"/>
    <w:rsid w:val="00577E1B"/>
    <w:rsid w:val="00582B16"/>
    <w:rsid w:val="005862F8"/>
    <w:rsid w:val="00591BD4"/>
    <w:rsid w:val="00591DAF"/>
    <w:rsid w:val="00592C1D"/>
    <w:rsid w:val="00595BBA"/>
    <w:rsid w:val="00595F16"/>
    <w:rsid w:val="00597623"/>
    <w:rsid w:val="00597D31"/>
    <w:rsid w:val="005A14FB"/>
    <w:rsid w:val="005A1E0F"/>
    <w:rsid w:val="005A6EE8"/>
    <w:rsid w:val="005B156A"/>
    <w:rsid w:val="005B1F84"/>
    <w:rsid w:val="005B56ED"/>
    <w:rsid w:val="005C014C"/>
    <w:rsid w:val="005C0CEE"/>
    <w:rsid w:val="005C0D5B"/>
    <w:rsid w:val="005C13EC"/>
    <w:rsid w:val="005C1F4A"/>
    <w:rsid w:val="005C3F17"/>
    <w:rsid w:val="005C3F4B"/>
    <w:rsid w:val="005C6B07"/>
    <w:rsid w:val="005D4393"/>
    <w:rsid w:val="005D795D"/>
    <w:rsid w:val="005E10EC"/>
    <w:rsid w:val="005E12D5"/>
    <w:rsid w:val="005E21A0"/>
    <w:rsid w:val="005E29C4"/>
    <w:rsid w:val="005E2C35"/>
    <w:rsid w:val="005E347D"/>
    <w:rsid w:val="005E371D"/>
    <w:rsid w:val="005E6D30"/>
    <w:rsid w:val="005F07C3"/>
    <w:rsid w:val="005F1DCB"/>
    <w:rsid w:val="005F30EA"/>
    <w:rsid w:val="005F4005"/>
    <w:rsid w:val="005F74CA"/>
    <w:rsid w:val="006037AB"/>
    <w:rsid w:val="00615413"/>
    <w:rsid w:val="006222F3"/>
    <w:rsid w:val="006242F9"/>
    <w:rsid w:val="006269F3"/>
    <w:rsid w:val="00630158"/>
    <w:rsid w:val="006307AF"/>
    <w:rsid w:val="0063480B"/>
    <w:rsid w:val="006353E3"/>
    <w:rsid w:val="006356AB"/>
    <w:rsid w:val="00637129"/>
    <w:rsid w:val="0063747F"/>
    <w:rsid w:val="006377ED"/>
    <w:rsid w:val="0064147C"/>
    <w:rsid w:val="00641FD6"/>
    <w:rsid w:val="0064290F"/>
    <w:rsid w:val="00642F3A"/>
    <w:rsid w:val="00643A8F"/>
    <w:rsid w:val="00647BBC"/>
    <w:rsid w:val="00656CD6"/>
    <w:rsid w:val="00660AC3"/>
    <w:rsid w:val="00662222"/>
    <w:rsid w:val="0066550D"/>
    <w:rsid w:val="00665800"/>
    <w:rsid w:val="006664C4"/>
    <w:rsid w:val="00667880"/>
    <w:rsid w:val="006678AA"/>
    <w:rsid w:val="00670733"/>
    <w:rsid w:val="00670C0A"/>
    <w:rsid w:val="00671034"/>
    <w:rsid w:val="006737B7"/>
    <w:rsid w:val="00673F05"/>
    <w:rsid w:val="00675F6B"/>
    <w:rsid w:val="0067708B"/>
    <w:rsid w:val="00677790"/>
    <w:rsid w:val="00681ADB"/>
    <w:rsid w:val="00682B0A"/>
    <w:rsid w:val="00683D40"/>
    <w:rsid w:val="006851C8"/>
    <w:rsid w:val="00690CF9"/>
    <w:rsid w:val="00691E74"/>
    <w:rsid w:val="00693F57"/>
    <w:rsid w:val="00696F91"/>
    <w:rsid w:val="006A00B3"/>
    <w:rsid w:val="006A3781"/>
    <w:rsid w:val="006A393B"/>
    <w:rsid w:val="006A7FC9"/>
    <w:rsid w:val="006B0D44"/>
    <w:rsid w:val="006B13D6"/>
    <w:rsid w:val="006B1E4A"/>
    <w:rsid w:val="006B20A7"/>
    <w:rsid w:val="006B47A7"/>
    <w:rsid w:val="006B4C80"/>
    <w:rsid w:val="006B5DAF"/>
    <w:rsid w:val="006B654E"/>
    <w:rsid w:val="006C5759"/>
    <w:rsid w:val="006C5BE2"/>
    <w:rsid w:val="006D1A4D"/>
    <w:rsid w:val="006D1A6F"/>
    <w:rsid w:val="006D2CAA"/>
    <w:rsid w:val="006D5680"/>
    <w:rsid w:val="006E04A8"/>
    <w:rsid w:val="006E5448"/>
    <w:rsid w:val="006F0B3F"/>
    <w:rsid w:val="006F7F6C"/>
    <w:rsid w:val="007058F0"/>
    <w:rsid w:val="0071118A"/>
    <w:rsid w:val="00713B5F"/>
    <w:rsid w:val="00715EBE"/>
    <w:rsid w:val="0072209C"/>
    <w:rsid w:val="00722D15"/>
    <w:rsid w:val="007235AD"/>
    <w:rsid w:val="00730F3F"/>
    <w:rsid w:val="0073399A"/>
    <w:rsid w:val="007348B8"/>
    <w:rsid w:val="0073640E"/>
    <w:rsid w:val="00742117"/>
    <w:rsid w:val="007460C8"/>
    <w:rsid w:val="00746728"/>
    <w:rsid w:val="00746D22"/>
    <w:rsid w:val="0075085F"/>
    <w:rsid w:val="00752977"/>
    <w:rsid w:val="00754FB1"/>
    <w:rsid w:val="00757DFD"/>
    <w:rsid w:val="0076060D"/>
    <w:rsid w:val="007617E8"/>
    <w:rsid w:val="0077133E"/>
    <w:rsid w:val="00772F68"/>
    <w:rsid w:val="0078020E"/>
    <w:rsid w:val="0078109C"/>
    <w:rsid w:val="007820C9"/>
    <w:rsid w:val="0078463F"/>
    <w:rsid w:val="00785902"/>
    <w:rsid w:val="0078693D"/>
    <w:rsid w:val="00787335"/>
    <w:rsid w:val="00787875"/>
    <w:rsid w:val="00787BC3"/>
    <w:rsid w:val="00787F99"/>
    <w:rsid w:val="0079604D"/>
    <w:rsid w:val="00797788"/>
    <w:rsid w:val="007977C6"/>
    <w:rsid w:val="007A0346"/>
    <w:rsid w:val="007A1B62"/>
    <w:rsid w:val="007A3C56"/>
    <w:rsid w:val="007A75DE"/>
    <w:rsid w:val="007A7A82"/>
    <w:rsid w:val="007B1C6B"/>
    <w:rsid w:val="007B3508"/>
    <w:rsid w:val="007B464B"/>
    <w:rsid w:val="007B71C8"/>
    <w:rsid w:val="007B7996"/>
    <w:rsid w:val="007C55BB"/>
    <w:rsid w:val="007E2CCB"/>
    <w:rsid w:val="007E6F91"/>
    <w:rsid w:val="007F0BA9"/>
    <w:rsid w:val="00801B7F"/>
    <w:rsid w:val="0080275B"/>
    <w:rsid w:val="00803FC9"/>
    <w:rsid w:val="008046EA"/>
    <w:rsid w:val="00804FB1"/>
    <w:rsid w:val="00805302"/>
    <w:rsid w:val="008076DC"/>
    <w:rsid w:val="0081042C"/>
    <w:rsid w:val="00810CE0"/>
    <w:rsid w:val="00811B49"/>
    <w:rsid w:val="008155F0"/>
    <w:rsid w:val="00817D94"/>
    <w:rsid w:val="00820D62"/>
    <w:rsid w:val="0082381B"/>
    <w:rsid w:val="00825D20"/>
    <w:rsid w:val="00830874"/>
    <w:rsid w:val="00832C82"/>
    <w:rsid w:val="008343C6"/>
    <w:rsid w:val="00836663"/>
    <w:rsid w:val="00836B88"/>
    <w:rsid w:val="00836C95"/>
    <w:rsid w:val="00841577"/>
    <w:rsid w:val="0084173F"/>
    <w:rsid w:val="008446D2"/>
    <w:rsid w:val="00845348"/>
    <w:rsid w:val="00845778"/>
    <w:rsid w:val="0085079A"/>
    <w:rsid w:val="00851823"/>
    <w:rsid w:val="00853AF9"/>
    <w:rsid w:val="00857C0C"/>
    <w:rsid w:val="008600B0"/>
    <w:rsid w:val="00860393"/>
    <w:rsid w:val="00866C88"/>
    <w:rsid w:val="0087455B"/>
    <w:rsid w:val="008749D9"/>
    <w:rsid w:val="00880CED"/>
    <w:rsid w:val="00881874"/>
    <w:rsid w:val="0088412C"/>
    <w:rsid w:val="00885E0E"/>
    <w:rsid w:val="00891917"/>
    <w:rsid w:val="00893347"/>
    <w:rsid w:val="0089688F"/>
    <w:rsid w:val="008A4A6E"/>
    <w:rsid w:val="008A4B3C"/>
    <w:rsid w:val="008A6D96"/>
    <w:rsid w:val="008A706A"/>
    <w:rsid w:val="008B08F2"/>
    <w:rsid w:val="008B18EB"/>
    <w:rsid w:val="008B2B1D"/>
    <w:rsid w:val="008B54F6"/>
    <w:rsid w:val="008B5502"/>
    <w:rsid w:val="008B77E1"/>
    <w:rsid w:val="008C08DA"/>
    <w:rsid w:val="008C2619"/>
    <w:rsid w:val="008C4023"/>
    <w:rsid w:val="008C7CED"/>
    <w:rsid w:val="008D147E"/>
    <w:rsid w:val="008D26F7"/>
    <w:rsid w:val="008D53DF"/>
    <w:rsid w:val="008D5FE4"/>
    <w:rsid w:val="008F0461"/>
    <w:rsid w:val="008F0F16"/>
    <w:rsid w:val="008F2456"/>
    <w:rsid w:val="008F2C8F"/>
    <w:rsid w:val="008F5192"/>
    <w:rsid w:val="008F7759"/>
    <w:rsid w:val="00900A07"/>
    <w:rsid w:val="009028C2"/>
    <w:rsid w:val="00905A14"/>
    <w:rsid w:val="00905AE7"/>
    <w:rsid w:val="00907025"/>
    <w:rsid w:val="0090781B"/>
    <w:rsid w:val="00912C4A"/>
    <w:rsid w:val="00913B5F"/>
    <w:rsid w:val="00915E2E"/>
    <w:rsid w:val="0091724E"/>
    <w:rsid w:val="0092174D"/>
    <w:rsid w:val="00922453"/>
    <w:rsid w:val="00923F25"/>
    <w:rsid w:val="00924C50"/>
    <w:rsid w:val="009265C4"/>
    <w:rsid w:val="00930114"/>
    <w:rsid w:val="00930D51"/>
    <w:rsid w:val="00932CA1"/>
    <w:rsid w:val="0093555A"/>
    <w:rsid w:val="00935D34"/>
    <w:rsid w:val="00935EF5"/>
    <w:rsid w:val="0093747A"/>
    <w:rsid w:val="00942890"/>
    <w:rsid w:val="00943B0F"/>
    <w:rsid w:val="00951844"/>
    <w:rsid w:val="00951C13"/>
    <w:rsid w:val="00954CBF"/>
    <w:rsid w:val="00956730"/>
    <w:rsid w:val="009601B5"/>
    <w:rsid w:val="00962F62"/>
    <w:rsid w:val="00962FB8"/>
    <w:rsid w:val="009647CD"/>
    <w:rsid w:val="00964C7F"/>
    <w:rsid w:val="00974749"/>
    <w:rsid w:val="00980849"/>
    <w:rsid w:val="00984009"/>
    <w:rsid w:val="00985524"/>
    <w:rsid w:val="00986403"/>
    <w:rsid w:val="00995448"/>
    <w:rsid w:val="009A1204"/>
    <w:rsid w:val="009A3AF6"/>
    <w:rsid w:val="009A5467"/>
    <w:rsid w:val="009A67A2"/>
    <w:rsid w:val="009A6996"/>
    <w:rsid w:val="009A6EA4"/>
    <w:rsid w:val="009B34BC"/>
    <w:rsid w:val="009C0E3C"/>
    <w:rsid w:val="009C477C"/>
    <w:rsid w:val="009C4A88"/>
    <w:rsid w:val="009C4DF8"/>
    <w:rsid w:val="009D0BBA"/>
    <w:rsid w:val="009D4580"/>
    <w:rsid w:val="009D5E46"/>
    <w:rsid w:val="009D6893"/>
    <w:rsid w:val="009D72D0"/>
    <w:rsid w:val="009E0512"/>
    <w:rsid w:val="009E7528"/>
    <w:rsid w:val="009F1AFE"/>
    <w:rsid w:val="009F1B3D"/>
    <w:rsid w:val="009F25E6"/>
    <w:rsid w:val="009F38C3"/>
    <w:rsid w:val="009F6102"/>
    <w:rsid w:val="00A00D40"/>
    <w:rsid w:val="00A108F5"/>
    <w:rsid w:val="00A10BD0"/>
    <w:rsid w:val="00A122FA"/>
    <w:rsid w:val="00A136CE"/>
    <w:rsid w:val="00A14D95"/>
    <w:rsid w:val="00A16A01"/>
    <w:rsid w:val="00A1737C"/>
    <w:rsid w:val="00A208B5"/>
    <w:rsid w:val="00A2214E"/>
    <w:rsid w:val="00A22E25"/>
    <w:rsid w:val="00A25CB7"/>
    <w:rsid w:val="00A278A8"/>
    <w:rsid w:val="00A30240"/>
    <w:rsid w:val="00A31428"/>
    <w:rsid w:val="00A32EB4"/>
    <w:rsid w:val="00A349E4"/>
    <w:rsid w:val="00A3702D"/>
    <w:rsid w:val="00A434DD"/>
    <w:rsid w:val="00A44843"/>
    <w:rsid w:val="00A474B8"/>
    <w:rsid w:val="00A52337"/>
    <w:rsid w:val="00A5243A"/>
    <w:rsid w:val="00A57DEA"/>
    <w:rsid w:val="00A63B67"/>
    <w:rsid w:val="00A645BA"/>
    <w:rsid w:val="00A66341"/>
    <w:rsid w:val="00A755EA"/>
    <w:rsid w:val="00A81DA1"/>
    <w:rsid w:val="00A83A44"/>
    <w:rsid w:val="00A874E5"/>
    <w:rsid w:val="00A94BB0"/>
    <w:rsid w:val="00A95311"/>
    <w:rsid w:val="00AA128B"/>
    <w:rsid w:val="00AA12BE"/>
    <w:rsid w:val="00AA3E8E"/>
    <w:rsid w:val="00AA580B"/>
    <w:rsid w:val="00AA5C6A"/>
    <w:rsid w:val="00AA7080"/>
    <w:rsid w:val="00AA7963"/>
    <w:rsid w:val="00AB29C6"/>
    <w:rsid w:val="00AB6650"/>
    <w:rsid w:val="00AB6D9A"/>
    <w:rsid w:val="00AC2582"/>
    <w:rsid w:val="00AC4939"/>
    <w:rsid w:val="00AC5CBC"/>
    <w:rsid w:val="00AD2944"/>
    <w:rsid w:val="00AD33A5"/>
    <w:rsid w:val="00AD7A19"/>
    <w:rsid w:val="00AE23EE"/>
    <w:rsid w:val="00AE2CB6"/>
    <w:rsid w:val="00AE5A62"/>
    <w:rsid w:val="00AE5BF6"/>
    <w:rsid w:val="00AE5EC5"/>
    <w:rsid w:val="00AF06BB"/>
    <w:rsid w:val="00AF167C"/>
    <w:rsid w:val="00AF1E93"/>
    <w:rsid w:val="00AF4840"/>
    <w:rsid w:val="00AF557E"/>
    <w:rsid w:val="00AF5656"/>
    <w:rsid w:val="00AF7389"/>
    <w:rsid w:val="00B046B7"/>
    <w:rsid w:val="00B0473F"/>
    <w:rsid w:val="00B056EF"/>
    <w:rsid w:val="00B05D9F"/>
    <w:rsid w:val="00B06136"/>
    <w:rsid w:val="00B06DF6"/>
    <w:rsid w:val="00B11191"/>
    <w:rsid w:val="00B12533"/>
    <w:rsid w:val="00B12D70"/>
    <w:rsid w:val="00B130B7"/>
    <w:rsid w:val="00B14619"/>
    <w:rsid w:val="00B14690"/>
    <w:rsid w:val="00B253F5"/>
    <w:rsid w:val="00B27A9D"/>
    <w:rsid w:val="00B3272C"/>
    <w:rsid w:val="00B4034D"/>
    <w:rsid w:val="00B403C4"/>
    <w:rsid w:val="00B44CD8"/>
    <w:rsid w:val="00B45A7C"/>
    <w:rsid w:val="00B470A5"/>
    <w:rsid w:val="00B50539"/>
    <w:rsid w:val="00B51984"/>
    <w:rsid w:val="00B54334"/>
    <w:rsid w:val="00B55ACA"/>
    <w:rsid w:val="00B56700"/>
    <w:rsid w:val="00B578CF"/>
    <w:rsid w:val="00B606FA"/>
    <w:rsid w:val="00B60822"/>
    <w:rsid w:val="00B60C08"/>
    <w:rsid w:val="00B6313D"/>
    <w:rsid w:val="00B644FB"/>
    <w:rsid w:val="00B64D5C"/>
    <w:rsid w:val="00B66736"/>
    <w:rsid w:val="00B66F09"/>
    <w:rsid w:val="00B71AE1"/>
    <w:rsid w:val="00B73661"/>
    <w:rsid w:val="00B756DC"/>
    <w:rsid w:val="00B77620"/>
    <w:rsid w:val="00B8037C"/>
    <w:rsid w:val="00B80A0C"/>
    <w:rsid w:val="00B85519"/>
    <w:rsid w:val="00B85CDD"/>
    <w:rsid w:val="00B85D1E"/>
    <w:rsid w:val="00B9391E"/>
    <w:rsid w:val="00B941E7"/>
    <w:rsid w:val="00B94B37"/>
    <w:rsid w:val="00BA1426"/>
    <w:rsid w:val="00BA2F22"/>
    <w:rsid w:val="00BA4A4C"/>
    <w:rsid w:val="00BA5C47"/>
    <w:rsid w:val="00BA738F"/>
    <w:rsid w:val="00BA7A95"/>
    <w:rsid w:val="00BB61E0"/>
    <w:rsid w:val="00BB65C7"/>
    <w:rsid w:val="00BC17FC"/>
    <w:rsid w:val="00BC49D3"/>
    <w:rsid w:val="00BC7862"/>
    <w:rsid w:val="00BD0C87"/>
    <w:rsid w:val="00BD1345"/>
    <w:rsid w:val="00BD7C62"/>
    <w:rsid w:val="00BE013C"/>
    <w:rsid w:val="00BE2D92"/>
    <w:rsid w:val="00BF12E3"/>
    <w:rsid w:val="00BF18A9"/>
    <w:rsid w:val="00BF1EDC"/>
    <w:rsid w:val="00BF559F"/>
    <w:rsid w:val="00BF64FD"/>
    <w:rsid w:val="00BF7B3A"/>
    <w:rsid w:val="00C01180"/>
    <w:rsid w:val="00C0639D"/>
    <w:rsid w:val="00C076CF"/>
    <w:rsid w:val="00C078D6"/>
    <w:rsid w:val="00C1414A"/>
    <w:rsid w:val="00C15241"/>
    <w:rsid w:val="00C16D9B"/>
    <w:rsid w:val="00C20A8F"/>
    <w:rsid w:val="00C21426"/>
    <w:rsid w:val="00C22482"/>
    <w:rsid w:val="00C22C63"/>
    <w:rsid w:val="00C30285"/>
    <w:rsid w:val="00C312B7"/>
    <w:rsid w:val="00C3303C"/>
    <w:rsid w:val="00C3360A"/>
    <w:rsid w:val="00C340AE"/>
    <w:rsid w:val="00C34C50"/>
    <w:rsid w:val="00C42D1F"/>
    <w:rsid w:val="00C44551"/>
    <w:rsid w:val="00C4528F"/>
    <w:rsid w:val="00C46B71"/>
    <w:rsid w:val="00C476BA"/>
    <w:rsid w:val="00C505B0"/>
    <w:rsid w:val="00C50688"/>
    <w:rsid w:val="00C506B4"/>
    <w:rsid w:val="00C5649A"/>
    <w:rsid w:val="00C5660A"/>
    <w:rsid w:val="00C5669E"/>
    <w:rsid w:val="00C57C05"/>
    <w:rsid w:val="00C57E27"/>
    <w:rsid w:val="00C6303C"/>
    <w:rsid w:val="00C6568D"/>
    <w:rsid w:val="00C6792F"/>
    <w:rsid w:val="00C85828"/>
    <w:rsid w:val="00C90891"/>
    <w:rsid w:val="00C9536E"/>
    <w:rsid w:val="00C973A1"/>
    <w:rsid w:val="00CA07B7"/>
    <w:rsid w:val="00CA2E35"/>
    <w:rsid w:val="00CA4BDD"/>
    <w:rsid w:val="00CA4E36"/>
    <w:rsid w:val="00CB017F"/>
    <w:rsid w:val="00CB55D3"/>
    <w:rsid w:val="00CB5925"/>
    <w:rsid w:val="00CB771F"/>
    <w:rsid w:val="00CB7A89"/>
    <w:rsid w:val="00CC098E"/>
    <w:rsid w:val="00CC1E6E"/>
    <w:rsid w:val="00CC361C"/>
    <w:rsid w:val="00CC4B3B"/>
    <w:rsid w:val="00CD1F09"/>
    <w:rsid w:val="00CD6593"/>
    <w:rsid w:val="00CD6B9F"/>
    <w:rsid w:val="00CE027E"/>
    <w:rsid w:val="00CE58B3"/>
    <w:rsid w:val="00CF5BC9"/>
    <w:rsid w:val="00CF6FC5"/>
    <w:rsid w:val="00D026D9"/>
    <w:rsid w:val="00D064C0"/>
    <w:rsid w:val="00D122F4"/>
    <w:rsid w:val="00D12A0D"/>
    <w:rsid w:val="00D12CF7"/>
    <w:rsid w:val="00D15223"/>
    <w:rsid w:val="00D154CE"/>
    <w:rsid w:val="00D1670E"/>
    <w:rsid w:val="00D22F41"/>
    <w:rsid w:val="00D2494A"/>
    <w:rsid w:val="00D25EF6"/>
    <w:rsid w:val="00D30E72"/>
    <w:rsid w:val="00D31234"/>
    <w:rsid w:val="00D34F75"/>
    <w:rsid w:val="00D359FA"/>
    <w:rsid w:val="00D35EC4"/>
    <w:rsid w:val="00D36D45"/>
    <w:rsid w:val="00D371E2"/>
    <w:rsid w:val="00D4221D"/>
    <w:rsid w:val="00D4597B"/>
    <w:rsid w:val="00D473B6"/>
    <w:rsid w:val="00D50652"/>
    <w:rsid w:val="00D512D2"/>
    <w:rsid w:val="00D51B30"/>
    <w:rsid w:val="00D53815"/>
    <w:rsid w:val="00D641B4"/>
    <w:rsid w:val="00D64365"/>
    <w:rsid w:val="00D66189"/>
    <w:rsid w:val="00D673CC"/>
    <w:rsid w:val="00D675C6"/>
    <w:rsid w:val="00D70B4A"/>
    <w:rsid w:val="00D71E3D"/>
    <w:rsid w:val="00D80A94"/>
    <w:rsid w:val="00D80FD7"/>
    <w:rsid w:val="00D828F6"/>
    <w:rsid w:val="00D8316B"/>
    <w:rsid w:val="00D84449"/>
    <w:rsid w:val="00D87F6B"/>
    <w:rsid w:val="00D909A8"/>
    <w:rsid w:val="00D95476"/>
    <w:rsid w:val="00D979E0"/>
    <w:rsid w:val="00DA2C8E"/>
    <w:rsid w:val="00DA6CE1"/>
    <w:rsid w:val="00DA715E"/>
    <w:rsid w:val="00DB00C5"/>
    <w:rsid w:val="00DB1F0D"/>
    <w:rsid w:val="00DB5136"/>
    <w:rsid w:val="00DB7978"/>
    <w:rsid w:val="00DC0C5C"/>
    <w:rsid w:val="00DC185A"/>
    <w:rsid w:val="00DC56F3"/>
    <w:rsid w:val="00DC6E3B"/>
    <w:rsid w:val="00DC7471"/>
    <w:rsid w:val="00DD094D"/>
    <w:rsid w:val="00DD1697"/>
    <w:rsid w:val="00DD1883"/>
    <w:rsid w:val="00DD230F"/>
    <w:rsid w:val="00DE02A0"/>
    <w:rsid w:val="00DE37BD"/>
    <w:rsid w:val="00DE3C9C"/>
    <w:rsid w:val="00DE5C72"/>
    <w:rsid w:val="00DE684C"/>
    <w:rsid w:val="00DF0D66"/>
    <w:rsid w:val="00DF2D79"/>
    <w:rsid w:val="00DF41D6"/>
    <w:rsid w:val="00DF4F7D"/>
    <w:rsid w:val="00DF5422"/>
    <w:rsid w:val="00DF6AE8"/>
    <w:rsid w:val="00E014C2"/>
    <w:rsid w:val="00E06874"/>
    <w:rsid w:val="00E079DA"/>
    <w:rsid w:val="00E23011"/>
    <w:rsid w:val="00E25561"/>
    <w:rsid w:val="00E25C57"/>
    <w:rsid w:val="00E35983"/>
    <w:rsid w:val="00E42D43"/>
    <w:rsid w:val="00E43BBE"/>
    <w:rsid w:val="00E4415F"/>
    <w:rsid w:val="00E44DF5"/>
    <w:rsid w:val="00E46011"/>
    <w:rsid w:val="00E4606B"/>
    <w:rsid w:val="00E55731"/>
    <w:rsid w:val="00E62BA6"/>
    <w:rsid w:val="00E672D5"/>
    <w:rsid w:val="00E702A7"/>
    <w:rsid w:val="00E709DD"/>
    <w:rsid w:val="00E75F10"/>
    <w:rsid w:val="00E7664C"/>
    <w:rsid w:val="00E80809"/>
    <w:rsid w:val="00E83BBD"/>
    <w:rsid w:val="00E8631F"/>
    <w:rsid w:val="00E90D67"/>
    <w:rsid w:val="00E9492E"/>
    <w:rsid w:val="00E96C70"/>
    <w:rsid w:val="00E9735F"/>
    <w:rsid w:val="00EA0079"/>
    <w:rsid w:val="00EA2310"/>
    <w:rsid w:val="00EA2DB5"/>
    <w:rsid w:val="00EB0D52"/>
    <w:rsid w:val="00EB1291"/>
    <w:rsid w:val="00EB13AC"/>
    <w:rsid w:val="00EB14E8"/>
    <w:rsid w:val="00EB1758"/>
    <w:rsid w:val="00EB1A2F"/>
    <w:rsid w:val="00EB49F7"/>
    <w:rsid w:val="00EB516B"/>
    <w:rsid w:val="00EC0A47"/>
    <w:rsid w:val="00ED24D4"/>
    <w:rsid w:val="00ED31F0"/>
    <w:rsid w:val="00ED6D98"/>
    <w:rsid w:val="00EE02B4"/>
    <w:rsid w:val="00EE082D"/>
    <w:rsid w:val="00EE1732"/>
    <w:rsid w:val="00EE2196"/>
    <w:rsid w:val="00EE307F"/>
    <w:rsid w:val="00EE33D0"/>
    <w:rsid w:val="00EF0AFA"/>
    <w:rsid w:val="00EF694D"/>
    <w:rsid w:val="00EF71A4"/>
    <w:rsid w:val="00F00CF9"/>
    <w:rsid w:val="00F00E43"/>
    <w:rsid w:val="00F039D6"/>
    <w:rsid w:val="00F0492D"/>
    <w:rsid w:val="00F076F0"/>
    <w:rsid w:val="00F1000E"/>
    <w:rsid w:val="00F13974"/>
    <w:rsid w:val="00F15C62"/>
    <w:rsid w:val="00F160D4"/>
    <w:rsid w:val="00F17222"/>
    <w:rsid w:val="00F21DE0"/>
    <w:rsid w:val="00F247CE"/>
    <w:rsid w:val="00F27AFF"/>
    <w:rsid w:val="00F3091A"/>
    <w:rsid w:val="00F370C4"/>
    <w:rsid w:val="00F37A03"/>
    <w:rsid w:val="00F40815"/>
    <w:rsid w:val="00F43777"/>
    <w:rsid w:val="00F43B2F"/>
    <w:rsid w:val="00F50861"/>
    <w:rsid w:val="00F5223E"/>
    <w:rsid w:val="00F575E6"/>
    <w:rsid w:val="00F64291"/>
    <w:rsid w:val="00F665CD"/>
    <w:rsid w:val="00F66684"/>
    <w:rsid w:val="00F70F58"/>
    <w:rsid w:val="00F71BE8"/>
    <w:rsid w:val="00F74BC0"/>
    <w:rsid w:val="00F766C9"/>
    <w:rsid w:val="00F773D7"/>
    <w:rsid w:val="00F776A0"/>
    <w:rsid w:val="00F77C22"/>
    <w:rsid w:val="00F81DD3"/>
    <w:rsid w:val="00F8264D"/>
    <w:rsid w:val="00F82E0B"/>
    <w:rsid w:val="00F82E19"/>
    <w:rsid w:val="00F83A0C"/>
    <w:rsid w:val="00F843D8"/>
    <w:rsid w:val="00F94D21"/>
    <w:rsid w:val="00F95841"/>
    <w:rsid w:val="00FA1E34"/>
    <w:rsid w:val="00FA3F06"/>
    <w:rsid w:val="00FA40BA"/>
    <w:rsid w:val="00FA61D8"/>
    <w:rsid w:val="00FA6305"/>
    <w:rsid w:val="00FB2033"/>
    <w:rsid w:val="00FB28BA"/>
    <w:rsid w:val="00FB4374"/>
    <w:rsid w:val="00FB7B15"/>
    <w:rsid w:val="00FC0E22"/>
    <w:rsid w:val="00FC48CF"/>
    <w:rsid w:val="00FC7488"/>
    <w:rsid w:val="00FD1D2B"/>
    <w:rsid w:val="00FD2FD6"/>
    <w:rsid w:val="00FD2FD7"/>
    <w:rsid w:val="00FD3C33"/>
    <w:rsid w:val="00FD4EAC"/>
    <w:rsid w:val="00FD5FAE"/>
    <w:rsid w:val="00FD740A"/>
    <w:rsid w:val="00FE2093"/>
    <w:rsid w:val="00FE563A"/>
    <w:rsid w:val="00FE63A9"/>
    <w:rsid w:val="00FF413A"/>
    <w:rsid w:val="00FF65CF"/>
    <w:rsid w:val="00FF65E8"/>
    <w:rsid w:val="00FF6C64"/>
    <w:rsid w:val="00FF72E3"/>
    <w:rsid w:val="011B18BE"/>
    <w:rsid w:val="01201274"/>
    <w:rsid w:val="015A8D22"/>
    <w:rsid w:val="0160CF79"/>
    <w:rsid w:val="0196D0C6"/>
    <w:rsid w:val="01A2C016"/>
    <w:rsid w:val="01BC0572"/>
    <w:rsid w:val="01D54A59"/>
    <w:rsid w:val="01D79C29"/>
    <w:rsid w:val="01F14B9E"/>
    <w:rsid w:val="020E2D16"/>
    <w:rsid w:val="02212409"/>
    <w:rsid w:val="02A07244"/>
    <w:rsid w:val="02C4108C"/>
    <w:rsid w:val="02DDA40B"/>
    <w:rsid w:val="0309B7D6"/>
    <w:rsid w:val="031D3E25"/>
    <w:rsid w:val="0330FE74"/>
    <w:rsid w:val="03658885"/>
    <w:rsid w:val="0366142A"/>
    <w:rsid w:val="03711ABA"/>
    <w:rsid w:val="03AA60F4"/>
    <w:rsid w:val="040F2B1C"/>
    <w:rsid w:val="04312760"/>
    <w:rsid w:val="043B0D5F"/>
    <w:rsid w:val="0440FCBC"/>
    <w:rsid w:val="0469EF6E"/>
    <w:rsid w:val="0488ABF3"/>
    <w:rsid w:val="04AB334A"/>
    <w:rsid w:val="04D3A9F5"/>
    <w:rsid w:val="04D740F6"/>
    <w:rsid w:val="04EBCEFA"/>
    <w:rsid w:val="05011AB4"/>
    <w:rsid w:val="0505BF2F"/>
    <w:rsid w:val="050B6126"/>
    <w:rsid w:val="056EC3FD"/>
    <w:rsid w:val="059E6B92"/>
    <w:rsid w:val="05EAF2E1"/>
    <w:rsid w:val="05F6A68F"/>
    <w:rsid w:val="0612AA7F"/>
    <w:rsid w:val="061D4F53"/>
    <w:rsid w:val="0641A5DB"/>
    <w:rsid w:val="064703AB"/>
    <w:rsid w:val="067BC4FB"/>
    <w:rsid w:val="06F4952C"/>
    <w:rsid w:val="0780B031"/>
    <w:rsid w:val="07E16A0B"/>
    <w:rsid w:val="0817FD9F"/>
    <w:rsid w:val="08448BDD"/>
    <w:rsid w:val="0858DF8C"/>
    <w:rsid w:val="085C5279"/>
    <w:rsid w:val="08EE8D4C"/>
    <w:rsid w:val="09217AAA"/>
    <w:rsid w:val="0924DB3F"/>
    <w:rsid w:val="09335210"/>
    <w:rsid w:val="09D0B397"/>
    <w:rsid w:val="09FF9E0E"/>
    <w:rsid w:val="0A3755E7"/>
    <w:rsid w:val="0A468FAD"/>
    <w:rsid w:val="0A55E385"/>
    <w:rsid w:val="0A609A4F"/>
    <w:rsid w:val="0A83AFED"/>
    <w:rsid w:val="0AC957DC"/>
    <w:rsid w:val="0AD94524"/>
    <w:rsid w:val="0B0D1FDB"/>
    <w:rsid w:val="0B367268"/>
    <w:rsid w:val="0BB022B7"/>
    <w:rsid w:val="0BBE6811"/>
    <w:rsid w:val="0BDE3EB4"/>
    <w:rsid w:val="0C3B8B75"/>
    <w:rsid w:val="0CC813DD"/>
    <w:rsid w:val="0CE72BFA"/>
    <w:rsid w:val="0CF186A5"/>
    <w:rsid w:val="0D0F5586"/>
    <w:rsid w:val="0D457A43"/>
    <w:rsid w:val="0D46B7E2"/>
    <w:rsid w:val="0D731A8A"/>
    <w:rsid w:val="0D8BE9CA"/>
    <w:rsid w:val="0D8D8447"/>
    <w:rsid w:val="0D9F62DD"/>
    <w:rsid w:val="0DE33873"/>
    <w:rsid w:val="0DE5D3DD"/>
    <w:rsid w:val="0DE855C4"/>
    <w:rsid w:val="0DF4F65E"/>
    <w:rsid w:val="0DF84C62"/>
    <w:rsid w:val="0E79FF77"/>
    <w:rsid w:val="0E9C583B"/>
    <w:rsid w:val="0EAB40CD"/>
    <w:rsid w:val="0EABBB92"/>
    <w:rsid w:val="0EDD8B72"/>
    <w:rsid w:val="0F12BF57"/>
    <w:rsid w:val="0F14CB65"/>
    <w:rsid w:val="0F15E5A9"/>
    <w:rsid w:val="0F2CFB88"/>
    <w:rsid w:val="0F3F978D"/>
    <w:rsid w:val="0F609753"/>
    <w:rsid w:val="0F68E6CE"/>
    <w:rsid w:val="0F806EDC"/>
    <w:rsid w:val="0F878431"/>
    <w:rsid w:val="0F941CC3"/>
    <w:rsid w:val="0FA5BC41"/>
    <w:rsid w:val="0FAB7718"/>
    <w:rsid w:val="0FC7FD43"/>
    <w:rsid w:val="0FDAFF78"/>
    <w:rsid w:val="0FF7383E"/>
    <w:rsid w:val="1000B043"/>
    <w:rsid w:val="1068B6C0"/>
    <w:rsid w:val="1078372A"/>
    <w:rsid w:val="10C05693"/>
    <w:rsid w:val="10C52509"/>
    <w:rsid w:val="10DA8747"/>
    <w:rsid w:val="11243AFB"/>
    <w:rsid w:val="113BFC58"/>
    <w:rsid w:val="114E3ECF"/>
    <w:rsid w:val="115FF325"/>
    <w:rsid w:val="1161F12F"/>
    <w:rsid w:val="11670C54"/>
    <w:rsid w:val="1170C14A"/>
    <w:rsid w:val="11768EC5"/>
    <w:rsid w:val="11A0D608"/>
    <w:rsid w:val="11C5FE4B"/>
    <w:rsid w:val="11C909FC"/>
    <w:rsid w:val="11DD51CB"/>
    <w:rsid w:val="11F058A6"/>
    <w:rsid w:val="124B4740"/>
    <w:rsid w:val="124C79D1"/>
    <w:rsid w:val="12543E40"/>
    <w:rsid w:val="1263050F"/>
    <w:rsid w:val="1276E3D6"/>
    <w:rsid w:val="12BEDCA3"/>
    <w:rsid w:val="1344D3B4"/>
    <w:rsid w:val="1359BB23"/>
    <w:rsid w:val="1391CDF6"/>
    <w:rsid w:val="139B1B3B"/>
    <w:rsid w:val="13CDC05E"/>
    <w:rsid w:val="13EFE4A9"/>
    <w:rsid w:val="1440668C"/>
    <w:rsid w:val="149951C0"/>
    <w:rsid w:val="14E09249"/>
    <w:rsid w:val="14E5972B"/>
    <w:rsid w:val="15039C21"/>
    <w:rsid w:val="15187A57"/>
    <w:rsid w:val="156A2742"/>
    <w:rsid w:val="15864CF4"/>
    <w:rsid w:val="158ABA0C"/>
    <w:rsid w:val="15FDA97B"/>
    <w:rsid w:val="1605C2F7"/>
    <w:rsid w:val="162021C4"/>
    <w:rsid w:val="167E044A"/>
    <w:rsid w:val="16B8301C"/>
    <w:rsid w:val="16BFA0E0"/>
    <w:rsid w:val="16C96EB8"/>
    <w:rsid w:val="16F5DDBB"/>
    <w:rsid w:val="170D2A87"/>
    <w:rsid w:val="17668557"/>
    <w:rsid w:val="17697F4E"/>
    <w:rsid w:val="176CE802"/>
    <w:rsid w:val="17963678"/>
    <w:rsid w:val="17981484"/>
    <w:rsid w:val="17F8A283"/>
    <w:rsid w:val="18248DFB"/>
    <w:rsid w:val="18288DB9"/>
    <w:rsid w:val="182CBC51"/>
    <w:rsid w:val="18B10693"/>
    <w:rsid w:val="18BF904E"/>
    <w:rsid w:val="18C8D09C"/>
    <w:rsid w:val="196E7876"/>
    <w:rsid w:val="1980D7A5"/>
    <w:rsid w:val="19A03CB5"/>
    <w:rsid w:val="19A7C994"/>
    <w:rsid w:val="19B5A50C"/>
    <w:rsid w:val="19CEA8F3"/>
    <w:rsid w:val="1A1BF705"/>
    <w:rsid w:val="1A92ED33"/>
    <w:rsid w:val="1AB6CFE0"/>
    <w:rsid w:val="1AC2651D"/>
    <w:rsid w:val="1AED33C1"/>
    <w:rsid w:val="1B1CA806"/>
    <w:rsid w:val="1B2D8DF6"/>
    <w:rsid w:val="1B5E7E59"/>
    <w:rsid w:val="1B649354"/>
    <w:rsid w:val="1B918289"/>
    <w:rsid w:val="1BBA7191"/>
    <w:rsid w:val="1C1E49B6"/>
    <w:rsid w:val="1C844C45"/>
    <w:rsid w:val="1C951A78"/>
    <w:rsid w:val="1CA228BC"/>
    <w:rsid w:val="1CA9B7EF"/>
    <w:rsid w:val="1D0A1F23"/>
    <w:rsid w:val="1D2F2CF8"/>
    <w:rsid w:val="1D375C95"/>
    <w:rsid w:val="1DAFE6B2"/>
    <w:rsid w:val="1E2332C9"/>
    <w:rsid w:val="1E57636B"/>
    <w:rsid w:val="1EA3AE44"/>
    <w:rsid w:val="1EC9234B"/>
    <w:rsid w:val="1EDD2365"/>
    <w:rsid w:val="1F4EDE39"/>
    <w:rsid w:val="1F7A4EAE"/>
    <w:rsid w:val="1F8479F9"/>
    <w:rsid w:val="1F86395C"/>
    <w:rsid w:val="1F883474"/>
    <w:rsid w:val="1FA560C7"/>
    <w:rsid w:val="1FE56295"/>
    <w:rsid w:val="20098DCE"/>
    <w:rsid w:val="20142013"/>
    <w:rsid w:val="209E0380"/>
    <w:rsid w:val="20AB2EBB"/>
    <w:rsid w:val="20F09238"/>
    <w:rsid w:val="20F79FC0"/>
    <w:rsid w:val="2131CC07"/>
    <w:rsid w:val="217CCF0E"/>
    <w:rsid w:val="21F004EC"/>
    <w:rsid w:val="21F1AF30"/>
    <w:rsid w:val="22578988"/>
    <w:rsid w:val="22855AEA"/>
    <w:rsid w:val="22ACB629"/>
    <w:rsid w:val="22C2C3C9"/>
    <w:rsid w:val="22DDFD38"/>
    <w:rsid w:val="232FA4E8"/>
    <w:rsid w:val="2348F198"/>
    <w:rsid w:val="236D3C79"/>
    <w:rsid w:val="2378941C"/>
    <w:rsid w:val="23B42138"/>
    <w:rsid w:val="23C3DE86"/>
    <w:rsid w:val="23EB28B7"/>
    <w:rsid w:val="23F1CA15"/>
    <w:rsid w:val="24177189"/>
    <w:rsid w:val="247EE51D"/>
    <w:rsid w:val="24845252"/>
    <w:rsid w:val="24F4C58D"/>
    <w:rsid w:val="256AD785"/>
    <w:rsid w:val="256E895F"/>
    <w:rsid w:val="257174A3"/>
    <w:rsid w:val="2576E624"/>
    <w:rsid w:val="2587BBAB"/>
    <w:rsid w:val="25B21574"/>
    <w:rsid w:val="25B43714"/>
    <w:rsid w:val="2602F136"/>
    <w:rsid w:val="260A2BDD"/>
    <w:rsid w:val="262FA55D"/>
    <w:rsid w:val="264F3806"/>
    <w:rsid w:val="26622F04"/>
    <w:rsid w:val="2665B59A"/>
    <w:rsid w:val="267C736A"/>
    <w:rsid w:val="2680CB65"/>
    <w:rsid w:val="26C8F93E"/>
    <w:rsid w:val="272BEC94"/>
    <w:rsid w:val="27577C3B"/>
    <w:rsid w:val="278859D1"/>
    <w:rsid w:val="278CF95E"/>
    <w:rsid w:val="278E42C5"/>
    <w:rsid w:val="27A1BDFA"/>
    <w:rsid w:val="27AF9DA6"/>
    <w:rsid w:val="27C60C15"/>
    <w:rsid w:val="27D147EE"/>
    <w:rsid w:val="280D4EE7"/>
    <w:rsid w:val="2810A1B9"/>
    <w:rsid w:val="281295A9"/>
    <w:rsid w:val="2858CC48"/>
    <w:rsid w:val="28A1FB41"/>
    <w:rsid w:val="28E61A2E"/>
    <w:rsid w:val="28E67B96"/>
    <w:rsid w:val="28FE4B3A"/>
    <w:rsid w:val="293245AA"/>
    <w:rsid w:val="296D184F"/>
    <w:rsid w:val="297B554E"/>
    <w:rsid w:val="29D2B759"/>
    <w:rsid w:val="29D3D2DD"/>
    <w:rsid w:val="29EC8B41"/>
    <w:rsid w:val="29EDE92E"/>
    <w:rsid w:val="2A2AF41B"/>
    <w:rsid w:val="2A43FBF9"/>
    <w:rsid w:val="2A8F1CFD"/>
    <w:rsid w:val="2AA6636C"/>
    <w:rsid w:val="2AE73E68"/>
    <w:rsid w:val="2B2C95FA"/>
    <w:rsid w:val="2B82A0EF"/>
    <w:rsid w:val="2BD5C46A"/>
    <w:rsid w:val="2BE0FAE2"/>
    <w:rsid w:val="2C4CDD50"/>
    <w:rsid w:val="2C4D3B72"/>
    <w:rsid w:val="2C8240E9"/>
    <w:rsid w:val="2C8EA466"/>
    <w:rsid w:val="2CD76AB2"/>
    <w:rsid w:val="2CEFFE5C"/>
    <w:rsid w:val="2D208D1E"/>
    <w:rsid w:val="2D635E2B"/>
    <w:rsid w:val="2DA154D4"/>
    <w:rsid w:val="2DC6BDBF"/>
    <w:rsid w:val="2E4C4854"/>
    <w:rsid w:val="2E6B1E3A"/>
    <w:rsid w:val="2E7CF0CB"/>
    <w:rsid w:val="2E7F01DD"/>
    <w:rsid w:val="2E931512"/>
    <w:rsid w:val="2E9680E3"/>
    <w:rsid w:val="2E96ED12"/>
    <w:rsid w:val="2EA4F829"/>
    <w:rsid w:val="2EA59D2B"/>
    <w:rsid w:val="2F574AEF"/>
    <w:rsid w:val="2F628E20"/>
    <w:rsid w:val="2F73E584"/>
    <w:rsid w:val="2F74284F"/>
    <w:rsid w:val="2F823083"/>
    <w:rsid w:val="2F89F4D7"/>
    <w:rsid w:val="2F8BA2DC"/>
    <w:rsid w:val="2F8F9855"/>
    <w:rsid w:val="2FBD5615"/>
    <w:rsid w:val="3000E210"/>
    <w:rsid w:val="303A57D9"/>
    <w:rsid w:val="303AA2ED"/>
    <w:rsid w:val="30405E21"/>
    <w:rsid w:val="305FD135"/>
    <w:rsid w:val="30755C35"/>
    <w:rsid w:val="30B38FD2"/>
    <w:rsid w:val="30BA324A"/>
    <w:rsid w:val="30C390A6"/>
    <w:rsid w:val="30C8758C"/>
    <w:rsid w:val="30D3331F"/>
    <w:rsid w:val="30DF4B84"/>
    <w:rsid w:val="30F3C635"/>
    <w:rsid w:val="310A6B6F"/>
    <w:rsid w:val="3115EC71"/>
    <w:rsid w:val="313D578F"/>
    <w:rsid w:val="31529F3F"/>
    <w:rsid w:val="3155B20C"/>
    <w:rsid w:val="315F1F04"/>
    <w:rsid w:val="31661A1C"/>
    <w:rsid w:val="31C36F7F"/>
    <w:rsid w:val="31C5B51A"/>
    <w:rsid w:val="31CD8F2B"/>
    <w:rsid w:val="31D4A8B3"/>
    <w:rsid w:val="32047491"/>
    <w:rsid w:val="3205C3C8"/>
    <w:rsid w:val="32366227"/>
    <w:rsid w:val="3249C527"/>
    <w:rsid w:val="324D33A5"/>
    <w:rsid w:val="32932832"/>
    <w:rsid w:val="32C036C6"/>
    <w:rsid w:val="32C3A8D4"/>
    <w:rsid w:val="32DAB0AD"/>
    <w:rsid w:val="32EBE2CF"/>
    <w:rsid w:val="3310712B"/>
    <w:rsid w:val="333C31BF"/>
    <w:rsid w:val="33461783"/>
    <w:rsid w:val="3348A739"/>
    <w:rsid w:val="335FCDE3"/>
    <w:rsid w:val="33631D57"/>
    <w:rsid w:val="336B3312"/>
    <w:rsid w:val="3384408D"/>
    <w:rsid w:val="33BF5F52"/>
    <w:rsid w:val="33D18AA1"/>
    <w:rsid w:val="341BD047"/>
    <w:rsid w:val="3449F556"/>
    <w:rsid w:val="3463B1F7"/>
    <w:rsid w:val="34D98A30"/>
    <w:rsid w:val="34E59841"/>
    <w:rsid w:val="34F18E48"/>
    <w:rsid w:val="35196A24"/>
    <w:rsid w:val="3519C749"/>
    <w:rsid w:val="35840268"/>
    <w:rsid w:val="359889F9"/>
    <w:rsid w:val="35E99F40"/>
    <w:rsid w:val="3629232F"/>
    <w:rsid w:val="365C6A17"/>
    <w:rsid w:val="3676A14D"/>
    <w:rsid w:val="36B0AF10"/>
    <w:rsid w:val="36DE07B3"/>
    <w:rsid w:val="36EA1AC1"/>
    <w:rsid w:val="372A270A"/>
    <w:rsid w:val="374242CD"/>
    <w:rsid w:val="3753539A"/>
    <w:rsid w:val="375CE1DC"/>
    <w:rsid w:val="3762F528"/>
    <w:rsid w:val="37AD5AAD"/>
    <w:rsid w:val="37DE3078"/>
    <w:rsid w:val="37F02F3C"/>
    <w:rsid w:val="382E80E4"/>
    <w:rsid w:val="38660C78"/>
    <w:rsid w:val="3873D5BF"/>
    <w:rsid w:val="38A60D16"/>
    <w:rsid w:val="38B9BCE7"/>
    <w:rsid w:val="38CBBB00"/>
    <w:rsid w:val="38EECE27"/>
    <w:rsid w:val="396E421A"/>
    <w:rsid w:val="397E63CC"/>
    <w:rsid w:val="39813DF1"/>
    <w:rsid w:val="3A17919B"/>
    <w:rsid w:val="3A7608F0"/>
    <w:rsid w:val="3A79E38F"/>
    <w:rsid w:val="3A91ED6B"/>
    <w:rsid w:val="3AC60D95"/>
    <w:rsid w:val="3AC8BD2C"/>
    <w:rsid w:val="3ACFE069"/>
    <w:rsid w:val="3AD78E47"/>
    <w:rsid w:val="3B1E04C8"/>
    <w:rsid w:val="3B2A4C8D"/>
    <w:rsid w:val="3B33F65F"/>
    <w:rsid w:val="3B678115"/>
    <w:rsid w:val="3B90691B"/>
    <w:rsid w:val="3BA584EC"/>
    <w:rsid w:val="3BB9BF5D"/>
    <w:rsid w:val="3BBE1767"/>
    <w:rsid w:val="3BDC5D7E"/>
    <w:rsid w:val="3C21E4E0"/>
    <w:rsid w:val="3C3D6CDD"/>
    <w:rsid w:val="3C5BF796"/>
    <w:rsid w:val="3D7CD3F8"/>
    <w:rsid w:val="3D9780CD"/>
    <w:rsid w:val="3E51D4EF"/>
    <w:rsid w:val="3E567B32"/>
    <w:rsid w:val="3E7BB79F"/>
    <w:rsid w:val="3EA8A4A1"/>
    <w:rsid w:val="3EBCADFA"/>
    <w:rsid w:val="3EC3AE7B"/>
    <w:rsid w:val="3ED889D4"/>
    <w:rsid w:val="3F276426"/>
    <w:rsid w:val="3F29318F"/>
    <w:rsid w:val="3F39AFBE"/>
    <w:rsid w:val="3F50A65C"/>
    <w:rsid w:val="3F5F9415"/>
    <w:rsid w:val="3F7C8D1D"/>
    <w:rsid w:val="3FE3504D"/>
    <w:rsid w:val="40151CB4"/>
    <w:rsid w:val="40BEFEEA"/>
    <w:rsid w:val="40C33487"/>
    <w:rsid w:val="40CA5EAB"/>
    <w:rsid w:val="40DF00D4"/>
    <w:rsid w:val="413E24AB"/>
    <w:rsid w:val="4197887A"/>
    <w:rsid w:val="41A1FA66"/>
    <w:rsid w:val="41F90EA5"/>
    <w:rsid w:val="41FB4F3D"/>
    <w:rsid w:val="42414352"/>
    <w:rsid w:val="4260F32E"/>
    <w:rsid w:val="42C77255"/>
    <w:rsid w:val="430F93BD"/>
    <w:rsid w:val="43571A62"/>
    <w:rsid w:val="43AB94EA"/>
    <w:rsid w:val="43C7475F"/>
    <w:rsid w:val="43E7145C"/>
    <w:rsid w:val="44079D78"/>
    <w:rsid w:val="44095595"/>
    <w:rsid w:val="44203720"/>
    <w:rsid w:val="442890A2"/>
    <w:rsid w:val="445D0D64"/>
    <w:rsid w:val="4478E792"/>
    <w:rsid w:val="44976A57"/>
    <w:rsid w:val="44F30BF9"/>
    <w:rsid w:val="451EC50B"/>
    <w:rsid w:val="451F15C6"/>
    <w:rsid w:val="4526BDA3"/>
    <w:rsid w:val="452761CE"/>
    <w:rsid w:val="4539306A"/>
    <w:rsid w:val="45459634"/>
    <w:rsid w:val="45496A23"/>
    <w:rsid w:val="454981AE"/>
    <w:rsid w:val="45735903"/>
    <w:rsid w:val="45BDD3C3"/>
    <w:rsid w:val="465C7F86"/>
    <w:rsid w:val="46626CEB"/>
    <w:rsid w:val="46700E87"/>
    <w:rsid w:val="467F3CA1"/>
    <w:rsid w:val="46B5908E"/>
    <w:rsid w:val="46B7B944"/>
    <w:rsid w:val="46C2A1E7"/>
    <w:rsid w:val="46D90343"/>
    <w:rsid w:val="46EC3A33"/>
    <w:rsid w:val="4721379D"/>
    <w:rsid w:val="473739DC"/>
    <w:rsid w:val="474E4343"/>
    <w:rsid w:val="474EC5F8"/>
    <w:rsid w:val="474F85A7"/>
    <w:rsid w:val="4764ABA8"/>
    <w:rsid w:val="476E76A5"/>
    <w:rsid w:val="478D34A1"/>
    <w:rsid w:val="47AEC8A6"/>
    <w:rsid w:val="47D422D4"/>
    <w:rsid w:val="47E304E0"/>
    <w:rsid w:val="485B1B61"/>
    <w:rsid w:val="48920599"/>
    <w:rsid w:val="48DB821E"/>
    <w:rsid w:val="48E73059"/>
    <w:rsid w:val="48EBA22E"/>
    <w:rsid w:val="48F4AB81"/>
    <w:rsid w:val="48F8D846"/>
    <w:rsid w:val="49236F63"/>
    <w:rsid w:val="49245C45"/>
    <w:rsid w:val="496ADB7A"/>
    <w:rsid w:val="496FF335"/>
    <w:rsid w:val="499CF546"/>
    <w:rsid w:val="49A03FFC"/>
    <w:rsid w:val="49B3F52A"/>
    <w:rsid w:val="4A0AF4E4"/>
    <w:rsid w:val="4A12E8E8"/>
    <w:rsid w:val="4A41155A"/>
    <w:rsid w:val="4A58D85F"/>
    <w:rsid w:val="4A942DAF"/>
    <w:rsid w:val="4AA7D85E"/>
    <w:rsid w:val="4AE3662D"/>
    <w:rsid w:val="4AFCF039"/>
    <w:rsid w:val="4B2DB62E"/>
    <w:rsid w:val="4B2FB44F"/>
    <w:rsid w:val="4B42BD7D"/>
    <w:rsid w:val="4B48CCFF"/>
    <w:rsid w:val="4B55E7DD"/>
    <w:rsid w:val="4B71CA56"/>
    <w:rsid w:val="4B7BF9D6"/>
    <w:rsid w:val="4B9B1537"/>
    <w:rsid w:val="4BA43209"/>
    <w:rsid w:val="4BB7FEE6"/>
    <w:rsid w:val="4BD5FC50"/>
    <w:rsid w:val="4BDCE5BB"/>
    <w:rsid w:val="4BFA5C5A"/>
    <w:rsid w:val="4C2EBDED"/>
    <w:rsid w:val="4C5C4187"/>
    <w:rsid w:val="4CD299CF"/>
    <w:rsid w:val="4CFB44B9"/>
    <w:rsid w:val="4CFCB112"/>
    <w:rsid w:val="4D0A4B6C"/>
    <w:rsid w:val="4D4D3D38"/>
    <w:rsid w:val="4D73755E"/>
    <w:rsid w:val="4D73A448"/>
    <w:rsid w:val="4D78B61C"/>
    <w:rsid w:val="4D91DE79"/>
    <w:rsid w:val="4DB608ED"/>
    <w:rsid w:val="4DF43D43"/>
    <w:rsid w:val="4DF45815"/>
    <w:rsid w:val="4E524664"/>
    <w:rsid w:val="4E58FD91"/>
    <w:rsid w:val="4E722DDB"/>
    <w:rsid w:val="4E7BF712"/>
    <w:rsid w:val="4E9F4701"/>
    <w:rsid w:val="4EB9FB02"/>
    <w:rsid w:val="4EE7E3C2"/>
    <w:rsid w:val="4EE7F4A3"/>
    <w:rsid w:val="4EECFDE7"/>
    <w:rsid w:val="4F0613DD"/>
    <w:rsid w:val="4F4299F4"/>
    <w:rsid w:val="4F493E57"/>
    <w:rsid w:val="4F79888A"/>
    <w:rsid w:val="4F86B3FB"/>
    <w:rsid w:val="4F900DA4"/>
    <w:rsid w:val="4F9A73EF"/>
    <w:rsid w:val="4F9F9A9C"/>
    <w:rsid w:val="4FA33621"/>
    <w:rsid w:val="5004D856"/>
    <w:rsid w:val="500BB6A0"/>
    <w:rsid w:val="500CB235"/>
    <w:rsid w:val="5021B5B6"/>
    <w:rsid w:val="503C4269"/>
    <w:rsid w:val="504251CC"/>
    <w:rsid w:val="50A54CBD"/>
    <w:rsid w:val="50CEB040"/>
    <w:rsid w:val="51183A43"/>
    <w:rsid w:val="511BC35D"/>
    <w:rsid w:val="513D897D"/>
    <w:rsid w:val="51403909"/>
    <w:rsid w:val="5143CBDF"/>
    <w:rsid w:val="515A12E0"/>
    <w:rsid w:val="516FDB29"/>
    <w:rsid w:val="518FE62C"/>
    <w:rsid w:val="51A78701"/>
    <w:rsid w:val="51B8456E"/>
    <w:rsid w:val="51C379D8"/>
    <w:rsid w:val="51CF5ED0"/>
    <w:rsid w:val="51E06067"/>
    <w:rsid w:val="51EA6F6E"/>
    <w:rsid w:val="520397CB"/>
    <w:rsid w:val="5226AC50"/>
    <w:rsid w:val="522ACD3D"/>
    <w:rsid w:val="5255D952"/>
    <w:rsid w:val="525B09C1"/>
    <w:rsid w:val="52E95B63"/>
    <w:rsid w:val="52EF708C"/>
    <w:rsid w:val="533106FB"/>
    <w:rsid w:val="533D4451"/>
    <w:rsid w:val="536EA10E"/>
    <w:rsid w:val="537950CF"/>
    <w:rsid w:val="53972677"/>
    <w:rsid w:val="53A4EC3F"/>
    <w:rsid w:val="53B5391D"/>
    <w:rsid w:val="53B58F9E"/>
    <w:rsid w:val="53C12066"/>
    <w:rsid w:val="53CEA821"/>
    <w:rsid w:val="54006BC3"/>
    <w:rsid w:val="5401B462"/>
    <w:rsid w:val="5425CBA4"/>
    <w:rsid w:val="544E2F7B"/>
    <w:rsid w:val="54A8FAFD"/>
    <w:rsid w:val="54C84702"/>
    <w:rsid w:val="54CDC178"/>
    <w:rsid w:val="54D30756"/>
    <w:rsid w:val="5524900D"/>
    <w:rsid w:val="55990BD5"/>
    <w:rsid w:val="55C85317"/>
    <w:rsid w:val="55D54B4B"/>
    <w:rsid w:val="55DAF24F"/>
    <w:rsid w:val="55EAA026"/>
    <w:rsid w:val="55EF1677"/>
    <w:rsid w:val="55F6D0A1"/>
    <w:rsid w:val="561277A5"/>
    <w:rsid w:val="5646E360"/>
    <w:rsid w:val="56556D8C"/>
    <w:rsid w:val="565917BE"/>
    <w:rsid w:val="5661CFC7"/>
    <w:rsid w:val="56AEE82D"/>
    <w:rsid w:val="56B31EC1"/>
    <w:rsid w:val="56E167C2"/>
    <w:rsid w:val="56F2A1E1"/>
    <w:rsid w:val="573809A7"/>
    <w:rsid w:val="5747C7DB"/>
    <w:rsid w:val="578C87F5"/>
    <w:rsid w:val="578E3DFE"/>
    <w:rsid w:val="579C610B"/>
    <w:rsid w:val="57A166E4"/>
    <w:rsid w:val="5835F534"/>
    <w:rsid w:val="58849FC0"/>
    <w:rsid w:val="5885F845"/>
    <w:rsid w:val="58BFC979"/>
    <w:rsid w:val="58C1A025"/>
    <w:rsid w:val="59285856"/>
    <w:rsid w:val="593FE73B"/>
    <w:rsid w:val="59597925"/>
    <w:rsid w:val="595B4F21"/>
    <w:rsid w:val="596CBBD1"/>
    <w:rsid w:val="59CBCCFB"/>
    <w:rsid w:val="59E82C60"/>
    <w:rsid w:val="59F0859D"/>
    <w:rsid w:val="59F58153"/>
    <w:rsid w:val="5A288A86"/>
    <w:rsid w:val="5A43D24B"/>
    <w:rsid w:val="5A9996F4"/>
    <w:rsid w:val="5AF321EB"/>
    <w:rsid w:val="5B2C7934"/>
    <w:rsid w:val="5B37C957"/>
    <w:rsid w:val="5B5E142F"/>
    <w:rsid w:val="5B67D8DC"/>
    <w:rsid w:val="5B9151B4"/>
    <w:rsid w:val="5B94E8EA"/>
    <w:rsid w:val="5BD0010B"/>
    <w:rsid w:val="5BD40322"/>
    <w:rsid w:val="5BF30985"/>
    <w:rsid w:val="5C111C65"/>
    <w:rsid w:val="5C16C154"/>
    <w:rsid w:val="5C6B8523"/>
    <w:rsid w:val="5C822AE9"/>
    <w:rsid w:val="5CDDB534"/>
    <w:rsid w:val="5CE58D08"/>
    <w:rsid w:val="5CE61D4A"/>
    <w:rsid w:val="5CEC8144"/>
    <w:rsid w:val="5CF1F2C5"/>
    <w:rsid w:val="5D051229"/>
    <w:rsid w:val="5D069AB6"/>
    <w:rsid w:val="5D15CE2A"/>
    <w:rsid w:val="5D236A14"/>
    <w:rsid w:val="5D47FE26"/>
    <w:rsid w:val="5D5187AA"/>
    <w:rsid w:val="5D6FD383"/>
    <w:rsid w:val="5DA5370D"/>
    <w:rsid w:val="5DA6A082"/>
    <w:rsid w:val="5DC60A78"/>
    <w:rsid w:val="5DF0822C"/>
    <w:rsid w:val="5DF7800B"/>
    <w:rsid w:val="5E428093"/>
    <w:rsid w:val="5EA79EBC"/>
    <w:rsid w:val="5ECA83C8"/>
    <w:rsid w:val="5F2F0AFD"/>
    <w:rsid w:val="5F47EE54"/>
    <w:rsid w:val="5F63F553"/>
    <w:rsid w:val="5F7BEE63"/>
    <w:rsid w:val="5FCA90A5"/>
    <w:rsid w:val="5FD0A4E7"/>
    <w:rsid w:val="6002D4B4"/>
    <w:rsid w:val="600553AD"/>
    <w:rsid w:val="6051E7ED"/>
    <w:rsid w:val="605A4496"/>
    <w:rsid w:val="6072D580"/>
    <w:rsid w:val="607E7FBF"/>
    <w:rsid w:val="6080CC04"/>
    <w:rsid w:val="60A77445"/>
    <w:rsid w:val="60AC540A"/>
    <w:rsid w:val="60CADB5E"/>
    <w:rsid w:val="60D3D2D9"/>
    <w:rsid w:val="60F21BEE"/>
    <w:rsid w:val="615B32F3"/>
    <w:rsid w:val="61666106"/>
    <w:rsid w:val="616B9C52"/>
    <w:rsid w:val="61A1153E"/>
    <w:rsid w:val="61BAE4FF"/>
    <w:rsid w:val="61BBABE0"/>
    <w:rsid w:val="61DE6C26"/>
    <w:rsid w:val="61F56F62"/>
    <w:rsid w:val="621C9C65"/>
    <w:rsid w:val="62320590"/>
    <w:rsid w:val="623AA88D"/>
    <w:rsid w:val="62630456"/>
    <w:rsid w:val="6286BC06"/>
    <w:rsid w:val="629AE7A4"/>
    <w:rsid w:val="62A4A320"/>
    <w:rsid w:val="62B3124F"/>
    <w:rsid w:val="62E3CA30"/>
    <w:rsid w:val="6388978D"/>
    <w:rsid w:val="638B4C35"/>
    <w:rsid w:val="63B5237A"/>
    <w:rsid w:val="63E3FF39"/>
    <w:rsid w:val="63FD4D8A"/>
    <w:rsid w:val="6411E1CB"/>
    <w:rsid w:val="641FC5B2"/>
    <w:rsid w:val="6450403C"/>
    <w:rsid w:val="645CB0F6"/>
    <w:rsid w:val="647393E4"/>
    <w:rsid w:val="64A33D14"/>
    <w:rsid w:val="64C666A5"/>
    <w:rsid w:val="6556E06A"/>
    <w:rsid w:val="65A3316B"/>
    <w:rsid w:val="65B30929"/>
    <w:rsid w:val="65BB9613"/>
    <w:rsid w:val="65DC7A23"/>
    <w:rsid w:val="66246376"/>
    <w:rsid w:val="663F0D75"/>
    <w:rsid w:val="66AAE4C3"/>
    <w:rsid w:val="66BF5550"/>
    <w:rsid w:val="670F7133"/>
    <w:rsid w:val="67434194"/>
    <w:rsid w:val="67576674"/>
    <w:rsid w:val="677C3E06"/>
    <w:rsid w:val="678DA38D"/>
    <w:rsid w:val="67A1F9A5"/>
    <w:rsid w:val="67A2ABBF"/>
    <w:rsid w:val="6820D49A"/>
    <w:rsid w:val="6848F93E"/>
    <w:rsid w:val="68D0BEAD"/>
    <w:rsid w:val="692BC2FB"/>
    <w:rsid w:val="69584A8E"/>
    <w:rsid w:val="69AB9016"/>
    <w:rsid w:val="69C2D9C5"/>
    <w:rsid w:val="6A5640A8"/>
    <w:rsid w:val="6A68EF88"/>
    <w:rsid w:val="6A9FAE6A"/>
    <w:rsid w:val="6AA4D7F6"/>
    <w:rsid w:val="6B0C56FA"/>
    <w:rsid w:val="6B217107"/>
    <w:rsid w:val="6B2724C5"/>
    <w:rsid w:val="6B4A4679"/>
    <w:rsid w:val="6B7FCEA3"/>
    <w:rsid w:val="6BB33607"/>
    <w:rsid w:val="6C3C4732"/>
    <w:rsid w:val="6C415768"/>
    <w:rsid w:val="6C4FFB8D"/>
    <w:rsid w:val="6CC28281"/>
    <w:rsid w:val="6D89E6B7"/>
    <w:rsid w:val="6D8D5F71"/>
    <w:rsid w:val="6DA5BF4A"/>
    <w:rsid w:val="6DC1CFAB"/>
    <w:rsid w:val="6DE4F9D0"/>
    <w:rsid w:val="6E128DD4"/>
    <w:rsid w:val="6E190D80"/>
    <w:rsid w:val="6E1DE075"/>
    <w:rsid w:val="6E29B3DF"/>
    <w:rsid w:val="6E3705E8"/>
    <w:rsid w:val="6E52A1C5"/>
    <w:rsid w:val="6E7E3743"/>
    <w:rsid w:val="6EC81795"/>
    <w:rsid w:val="6F0166C8"/>
    <w:rsid w:val="6F11F1B3"/>
    <w:rsid w:val="6F377B50"/>
    <w:rsid w:val="6F3E833B"/>
    <w:rsid w:val="6F4D1C4D"/>
    <w:rsid w:val="6F5F177B"/>
    <w:rsid w:val="6F6D03ED"/>
    <w:rsid w:val="70094797"/>
    <w:rsid w:val="7037D366"/>
    <w:rsid w:val="7043E6D3"/>
    <w:rsid w:val="70637F27"/>
    <w:rsid w:val="7071C43E"/>
    <w:rsid w:val="70B265BD"/>
    <w:rsid w:val="70B85D55"/>
    <w:rsid w:val="70B97909"/>
    <w:rsid w:val="710338F1"/>
    <w:rsid w:val="712491F5"/>
    <w:rsid w:val="714F8D05"/>
    <w:rsid w:val="7193098D"/>
    <w:rsid w:val="71FC1DA4"/>
    <w:rsid w:val="72154D18"/>
    <w:rsid w:val="7224AC86"/>
    <w:rsid w:val="725C0D3D"/>
    <w:rsid w:val="72811A43"/>
    <w:rsid w:val="72A2DC9F"/>
    <w:rsid w:val="72B3EF42"/>
    <w:rsid w:val="72C8850E"/>
    <w:rsid w:val="72EEDA87"/>
    <w:rsid w:val="72F5E3A0"/>
    <w:rsid w:val="730A2B21"/>
    <w:rsid w:val="731FB0DB"/>
    <w:rsid w:val="7320918D"/>
    <w:rsid w:val="7366CAC7"/>
    <w:rsid w:val="7368583E"/>
    <w:rsid w:val="737B38E2"/>
    <w:rsid w:val="7388A037"/>
    <w:rsid w:val="73BF0AC3"/>
    <w:rsid w:val="73CF91B5"/>
    <w:rsid w:val="73ED6CD7"/>
    <w:rsid w:val="73F3EAE4"/>
    <w:rsid w:val="740D9B81"/>
    <w:rsid w:val="7451F2A9"/>
    <w:rsid w:val="747FCD06"/>
    <w:rsid w:val="7484E7B6"/>
    <w:rsid w:val="74877B3F"/>
    <w:rsid w:val="74C1C8EE"/>
    <w:rsid w:val="7506A066"/>
    <w:rsid w:val="751D6918"/>
    <w:rsid w:val="751E45E8"/>
    <w:rsid w:val="75417BBD"/>
    <w:rsid w:val="7544BC4F"/>
    <w:rsid w:val="7569F72E"/>
    <w:rsid w:val="756B45EC"/>
    <w:rsid w:val="75C23499"/>
    <w:rsid w:val="75D5A902"/>
    <w:rsid w:val="75FBC6F7"/>
    <w:rsid w:val="760CA4E2"/>
    <w:rsid w:val="7648EA91"/>
    <w:rsid w:val="7658324F"/>
    <w:rsid w:val="768AAA2B"/>
    <w:rsid w:val="769315B1"/>
    <w:rsid w:val="76B8E54F"/>
    <w:rsid w:val="76DAF960"/>
    <w:rsid w:val="7715938C"/>
    <w:rsid w:val="77247216"/>
    <w:rsid w:val="7739AC86"/>
    <w:rsid w:val="77598C26"/>
    <w:rsid w:val="776B2590"/>
    <w:rsid w:val="777B0051"/>
    <w:rsid w:val="77C9FA86"/>
    <w:rsid w:val="77E0DC79"/>
    <w:rsid w:val="77F7B15A"/>
    <w:rsid w:val="78341CDE"/>
    <w:rsid w:val="783CE8FB"/>
    <w:rsid w:val="784CF715"/>
    <w:rsid w:val="7852D9DC"/>
    <w:rsid w:val="78A4423A"/>
    <w:rsid w:val="78F8DF8F"/>
    <w:rsid w:val="79003701"/>
    <w:rsid w:val="79066DC6"/>
    <w:rsid w:val="796CE1B4"/>
    <w:rsid w:val="79C45C32"/>
    <w:rsid w:val="79C67BDD"/>
    <w:rsid w:val="79CF31BE"/>
    <w:rsid w:val="79D56DFA"/>
    <w:rsid w:val="7A1A564C"/>
    <w:rsid w:val="7A33909E"/>
    <w:rsid w:val="7A9058C1"/>
    <w:rsid w:val="7AA1D101"/>
    <w:rsid w:val="7AC3B032"/>
    <w:rsid w:val="7ADFB95F"/>
    <w:rsid w:val="7AE44D8B"/>
    <w:rsid w:val="7B030F62"/>
    <w:rsid w:val="7B5E1B4E"/>
    <w:rsid w:val="7B5FBF56"/>
    <w:rsid w:val="7B75E1EA"/>
    <w:rsid w:val="7BB0E6E6"/>
    <w:rsid w:val="7C247369"/>
    <w:rsid w:val="7C78E563"/>
    <w:rsid w:val="7C819F90"/>
    <w:rsid w:val="7CA69EC5"/>
    <w:rsid w:val="7CE066A7"/>
    <w:rsid w:val="7CFE4C65"/>
    <w:rsid w:val="7D016E2A"/>
    <w:rsid w:val="7D11B24B"/>
    <w:rsid w:val="7D2CB3B1"/>
    <w:rsid w:val="7D322DA3"/>
    <w:rsid w:val="7D38981A"/>
    <w:rsid w:val="7D616B89"/>
    <w:rsid w:val="7D6AA480"/>
    <w:rsid w:val="7D9EBAA7"/>
    <w:rsid w:val="7DB21E80"/>
    <w:rsid w:val="7DF2F647"/>
    <w:rsid w:val="7DF9FA43"/>
    <w:rsid w:val="7E2AF63C"/>
    <w:rsid w:val="7E5ADB1A"/>
    <w:rsid w:val="7E6482AC"/>
    <w:rsid w:val="7E95BC10"/>
    <w:rsid w:val="7E9DA996"/>
    <w:rsid w:val="7EC547DB"/>
    <w:rsid w:val="7EC5A357"/>
    <w:rsid w:val="7ED19839"/>
    <w:rsid w:val="7F0B9050"/>
    <w:rsid w:val="7F3A8B08"/>
    <w:rsid w:val="7F552C23"/>
    <w:rsid w:val="7F972155"/>
    <w:rsid w:val="7F9AF2CC"/>
    <w:rsid w:val="7FF07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E74E04"/>
  <w15:docId w15:val="{14D1C881-D56C-48A9-A79D-86058471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DE0"/>
    <w:pPr>
      <w:spacing w:after="12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7B71C8"/>
    <w:pPr>
      <w:keepNext/>
      <w:keepLines/>
      <w:numPr>
        <w:numId w:val="11"/>
      </w:numPr>
      <w:spacing w:before="240"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FC0E22"/>
    <w:pPr>
      <w:keepNext/>
      <w:keepLines/>
      <w:numPr>
        <w:ilvl w:val="1"/>
        <w:numId w:val="11"/>
      </w:numPr>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076CF"/>
    <w:pPr>
      <w:keepNext/>
      <w:keepLines/>
      <w:numPr>
        <w:ilvl w:val="2"/>
        <w:numId w:val="11"/>
      </w:numP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FC0E22"/>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0E22"/>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0E22"/>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0E22"/>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0E2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0E2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AF"/>
    <w:pPr>
      <w:ind w:left="720"/>
      <w:contextualSpacing/>
    </w:pPr>
  </w:style>
  <w:style w:type="character" w:styleId="Hyperlink">
    <w:name w:val="Hyperlink"/>
    <w:basedOn w:val="DefaultParagraphFont"/>
    <w:uiPriority w:val="99"/>
    <w:unhideWhenUsed/>
    <w:rsid w:val="006222F3"/>
    <w:rPr>
      <w:color w:val="0563C1" w:themeColor="hyperlink"/>
      <w:u w:val="single"/>
    </w:rPr>
  </w:style>
  <w:style w:type="character" w:customStyle="1" w:styleId="UnresolvedMention">
    <w:name w:val="Unresolved Mention"/>
    <w:basedOn w:val="DefaultParagraphFont"/>
    <w:uiPriority w:val="99"/>
    <w:semiHidden/>
    <w:unhideWhenUsed/>
    <w:rsid w:val="006222F3"/>
    <w:rPr>
      <w:color w:val="605E5C"/>
      <w:shd w:val="clear" w:color="auto" w:fill="E1DFDD"/>
    </w:rPr>
  </w:style>
  <w:style w:type="character" w:styleId="FollowedHyperlink">
    <w:name w:val="FollowedHyperlink"/>
    <w:basedOn w:val="DefaultParagraphFont"/>
    <w:uiPriority w:val="99"/>
    <w:semiHidden/>
    <w:unhideWhenUsed/>
    <w:rsid w:val="00BA5C47"/>
    <w:rPr>
      <w:color w:val="954F72" w:themeColor="followedHyperlink"/>
      <w:u w:val="single"/>
    </w:rPr>
  </w:style>
  <w:style w:type="character" w:customStyle="1" w:styleId="Marker">
    <w:name w:val="Marker"/>
    <w:basedOn w:val="DefaultParagraphFont"/>
    <w:rsid w:val="00BA5C47"/>
    <w:rPr>
      <w:color w:val="0000FF"/>
      <w:shd w:val="clear" w:color="auto" w:fill="auto"/>
    </w:rPr>
  </w:style>
  <w:style w:type="paragraph" w:styleId="Header">
    <w:name w:val="header"/>
    <w:basedOn w:val="Normal"/>
    <w:link w:val="HeaderChar"/>
    <w:uiPriority w:val="99"/>
    <w:unhideWhenUsed/>
    <w:rsid w:val="00BA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47"/>
  </w:style>
  <w:style w:type="paragraph" w:styleId="Footer">
    <w:name w:val="footer"/>
    <w:basedOn w:val="Normal"/>
    <w:link w:val="FooterChar"/>
    <w:uiPriority w:val="99"/>
    <w:unhideWhenUsed/>
    <w:rsid w:val="009D6893"/>
    <w:pPr>
      <w:tabs>
        <w:tab w:val="center" w:pos="4513"/>
        <w:tab w:val="right" w:pos="9026"/>
      </w:tabs>
      <w:spacing w:after="60" w:line="240" w:lineRule="auto"/>
    </w:pPr>
  </w:style>
  <w:style w:type="character" w:customStyle="1" w:styleId="FooterChar">
    <w:name w:val="Footer Char"/>
    <w:basedOn w:val="DefaultParagraphFont"/>
    <w:link w:val="Footer"/>
    <w:uiPriority w:val="99"/>
    <w:rsid w:val="009D6893"/>
    <w:rPr>
      <w:rFonts w:ascii="Times New Roman" w:hAnsi="Times New Roman"/>
      <w:sz w:val="24"/>
    </w:rPr>
  </w:style>
  <w:style w:type="paragraph" w:customStyle="1" w:styleId="Pagedecouverture">
    <w:name w:val="Page de couverture"/>
    <w:basedOn w:val="Normal"/>
    <w:next w:val="Normal"/>
    <w:rsid w:val="00BA5C47"/>
    <w:pPr>
      <w:spacing w:after="0" w:line="240" w:lineRule="auto"/>
    </w:pPr>
    <w:rPr>
      <w:rFonts w:cs="Times New Roman"/>
    </w:rPr>
  </w:style>
  <w:style w:type="paragraph" w:customStyle="1" w:styleId="FooterCoverPage">
    <w:name w:val="Footer Cover Page"/>
    <w:basedOn w:val="Normal"/>
    <w:link w:val="FooterCoverPageChar"/>
    <w:rsid w:val="00BA5C47"/>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sid w:val="00BA5C47"/>
    <w:rPr>
      <w:rFonts w:ascii="Times New Roman" w:hAnsi="Times New Roman"/>
      <w:sz w:val="24"/>
    </w:rPr>
  </w:style>
  <w:style w:type="paragraph" w:customStyle="1" w:styleId="FooterSensitivity">
    <w:name w:val="Footer Sensitivity"/>
    <w:basedOn w:val="Normal"/>
    <w:link w:val="FooterSensitivityChar"/>
    <w:rsid w:val="00BA5C4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BA5C47"/>
    <w:rPr>
      <w:rFonts w:ascii="Times New Roman" w:hAnsi="Times New Roman"/>
      <w:b/>
      <w:sz w:val="32"/>
    </w:rPr>
  </w:style>
  <w:style w:type="paragraph" w:customStyle="1" w:styleId="HeaderCoverPage">
    <w:name w:val="Header Cover Page"/>
    <w:basedOn w:val="Normal"/>
    <w:link w:val="HeaderCoverPageChar"/>
    <w:rsid w:val="00BA5C47"/>
    <w:pPr>
      <w:tabs>
        <w:tab w:val="center" w:pos="4535"/>
        <w:tab w:val="right" w:pos="9071"/>
      </w:tabs>
      <w:spacing w:line="240" w:lineRule="auto"/>
    </w:pPr>
  </w:style>
  <w:style w:type="character" w:customStyle="1" w:styleId="HeaderCoverPageChar">
    <w:name w:val="Header Cover Page Char"/>
    <w:basedOn w:val="DefaultParagraphFont"/>
    <w:link w:val="HeaderCoverPage"/>
    <w:rsid w:val="00BA5C47"/>
    <w:rPr>
      <w:rFonts w:ascii="Times New Roman" w:hAnsi="Times New Roman"/>
      <w:sz w:val="24"/>
    </w:rPr>
  </w:style>
  <w:style w:type="paragraph" w:customStyle="1" w:styleId="HeaderSensitivity">
    <w:name w:val="Header Sensitivity"/>
    <w:basedOn w:val="Normal"/>
    <w:link w:val="HeaderSensitivityChar"/>
    <w:rsid w:val="00BA5C47"/>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sid w:val="00BA5C47"/>
    <w:rPr>
      <w:rFonts w:ascii="Times New Roman" w:hAnsi="Times New Roman"/>
      <w:b/>
      <w:sz w:val="32"/>
    </w:rPr>
  </w:style>
  <w:style w:type="paragraph" w:customStyle="1" w:styleId="HeaderSensitivityRight">
    <w:name w:val="Header Sensitivity Right"/>
    <w:basedOn w:val="Normal"/>
    <w:link w:val="HeaderSensitivityRightChar"/>
    <w:rsid w:val="00BA5C47"/>
    <w:pPr>
      <w:spacing w:line="240" w:lineRule="auto"/>
      <w:jc w:val="right"/>
    </w:pPr>
    <w:rPr>
      <w:sz w:val="28"/>
    </w:rPr>
  </w:style>
  <w:style w:type="character" w:customStyle="1" w:styleId="HeaderSensitivityRightChar">
    <w:name w:val="Header Sensitivity Right Char"/>
    <w:basedOn w:val="DefaultParagraphFont"/>
    <w:link w:val="HeaderSensitivityRight"/>
    <w:rsid w:val="00BA5C47"/>
    <w:rPr>
      <w:rFonts w:ascii="Times New Roman" w:hAnsi="Times New Roman"/>
      <w:sz w:val="28"/>
    </w:rPr>
  </w:style>
  <w:style w:type="character" w:customStyle="1" w:styleId="Heading1Char">
    <w:name w:val="Heading 1 Char"/>
    <w:basedOn w:val="DefaultParagraphFont"/>
    <w:link w:val="Heading1"/>
    <w:uiPriority w:val="9"/>
    <w:rsid w:val="007B71C8"/>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C0E22"/>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FC0E22"/>
    <w:pPr>
      <w:numPr>
        <w:numId w:val="0"/>
      </w:numPr>
      <w:outlineLvl w:val="9"/>
    </w:pPr>
    <w:rPr>
      <w:color w:val="auto"/>
      <w:lang w:val="en-US"/>
    </w:rPr>
  </w:style>
  <w:style w:type="paragraph" w:styleId="TOC1">
    <w:name w:val="toc 1"/>
    <w:basedOn w:val="Normal"/>
    <w:next w:val="Normal"/>
    <w:autoRedefine/>
    <w:uiPriority w:val="39"/>
    <w:unhideWhenUsed/>
    <w:rsid w:val="0017639F"/>
    <w:pPr>
      <w:tabs>
        <w:tab w:val="left" w:pos="480"/>
        <w:tab w:val="right" w:leader="dot" w:pos="9350"/>
      </w:tabs>
      <w:spacing w:after="100"/>
    </w:pPr>
  </w:style>
  <w:style w:type="character" w:customStyle="1" w:styleId="Heading3Char">
    <w:name w:val="Heading 3 Char"/>
    <w:basedOn w:val="DefaultParagraphFont"/>
    <w:link w:val="Heading3"/>
    <w:uiPriority w:val="9"/>
    <w:rsid w:val="00C076C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FC0E22"/>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C0E2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C0E2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C0E2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C0E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0E22"/>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0C0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694"/>
    <w:rPr>
      <w:rFonts w:ascii="Times New Roman" w:hAnsi="Times New Roman"/>
      <w:sz w:val="20"/>
      <w:szCs w:val="20"/>
    </w:rPr>
  </w:style>
  <w:style w:type="character" w:styleId="FootnoteReference">
    <w:name w:val="footnote reference"/>
    <w:basedOn w:val="DefaultParagraphFont"/>
    <w:uiPriority w:val="99"/>
    <w:semiHidden/>
    <w:unhideWhenUsed/>
    <w:rsid w:val="000C0694"/>
    <w:rPr>
      <w:vertAlign w:val="superscript"/>
    </w:rPr>
  </w:style>
  <w:style w:type="paragraph" w:styleId="EndnoteText">
    <w:name w:val="endnote text"/>
    <w:basedOn w:val="Normal"/>
    <w:link w:val="EndnoteTextChar"/>
    <w:uiPriority w:val="99"/>
    <w:semiHidden/>
    <w:unhideWhenUsed/>
    <w:rsid w:val="006037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37AB"/>
    <w:rPr>
      <w:rFonts w:ascii="Times New Roman" w:hAnsi="Times New Roman"/>
      <w:sz w:val="20"/>
      <w:szCs w:val="20"/>
    </w:rPr>
  </w:style>
  <w:style w:type="character" w:styleId="EndnoteReference">
    <w:name w:val="endnote reference"/>
    <w:basedOn w:val="DefaultParagraphFont"/>
    <w:uiPriority w:val="99"/>
    <w:semiHidden/>
    <w:unhideWhenUsed/>
    <w:rsid w:val="006037AB"/>
    <w:rPr>
      <w:vertAlign w:val="superscript"/>
    </w:rPr>
  </w:style>
  <w:style w:type="character" w:styleId="CommentReference">
    <w:name w:val="annotation reference"/>
    <w:basedOn w:val="DefaultParagraphFont"/>
    <w:uiPriority w:val="99"/>
    <w:semiHidden/>
    <w:unhideWhenUsed/>
    <w:rsid w:val="003F2B76"/>
    <w:rPr>
      <w:sz w:val="16"/>
      <w:szCs w:val="16"/>
    </w:rPr>
  </w:style>
  <w:style w:type="paragraph" w:styleId="CommentText">
    <w:name w:val="annotation text"/>
    <w:basedOn w:val="Normal"/>
    <w:link w:val="CommentTextChar"/>
    <w:uiPriority w:val="99"/>
    <w:unhideWhenUsed/>
    <w:qFormat/>
    <w:rsid w:val="003F2B76"/>
    <w:pPr>
      <w:spacing w:line="240" w:lineRule="auto"/>
    </w:pPr>
    <w:rPr>
      <w:sz w:val="20"/>
      <w:szCs w:val="20"/>
    </w:rPr>
  </w:style>
  <w:style w:type="character" w:customStyle="1" w:styleId="CommentTextChar">
    <w:name w:val="Comment Text Char"/>
    <w:basedOn w:val="DefaultParagraphFont"/>
    <w:link w:val="CommentText"/>
    <w:uiPriority w:val="99"/>
    <w:qFormat/>
    <w:rsid w:val="003F2B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2B76"/>
    <w:rPr>
      <w:b/>
      <w:bCs/>
    </w:rPr>
  </w:style>
  <w:style w:type="character" w:customStyle="1" w:styleId="CommentSubjectChar">
    <w:name w:val="Comment Subject Char"/>
    <w:basedOn w:val="CommentTextChar"/>
    <w:link w:val="CommentSubject"/>
    <w:uiPriority w:val="99"/>
    <w:semiHidden/>
    <w:rsid w:val="003F2B76"/>
    <w:rPr>
      <w:rFonts w:ascii="Times New Roman" w:hAnsi="Times New Roman"/>
      <w:b/>
      <w:bCs/>
      <w:sz w:val="20"/>
      <w:szCs w:val="20"/>
    </w:rPr>
  </w:style>
  <w:style w:type="paragraph" w:styleId="TOC2">
    <w:name w:val="toc 2"/>
    <w:basedOn w:val="Normal"/>
    <w:next w:val="Normal"/>
    <w:autoRedefine/>
    <w:uiPriority w:val="39"/>
    <w:unhideWhenUsed/>
    <w:rsid w:val="00C22482"/>
    <w:pPr>
      <w:tabs>
        <w:tab w:val="left" w:pos="880"/>
        <w:tab w:val="right" w:leader="dot" w:pos="9350"/>
      </w:tabs>
      <w:spacing w:after="100"/>
      <w:ind w:left="240"/>
    </w:pPr>
  </w:style>
  <w:style w:type="paragraph" w:styleId="TOC3">
    <w:name w:val="toc 3"/>
    <w:basedOn w:val="Normal"/>
    <w:next w:val="Normal"/>
    <w:autoRedefine/>
    <w:uiPriority w:val="39"/>
    <w:unhideWhenUsed/>
    <w:rsid w:val="00195732"/>
    <w:pPr>
      <w:spacing w:after="100"/>
      <w:ind w:left="480"/>
    </w:pPr>
  </w:style>
  <w:style w:type="character" w:customStyle="1" w:styleId="visible-description">
    <w:name w:val="visible-description"/>
    <w:basedOn w:val="DefaultParagraphFont"/>
    <w:rsid w:val="006B47A7"/>
  </w:style>
  <w:style w:type="character" w:customStyle="1" w:styleId="show-more-description">
    <w:name w:val="show-more-description"/>
    <w:basedOn w:val="DefaultParagraphFont"/>
    <w:rsid w:val="006B47A7"/>
  </w:style>
  <w:style w:type="table" w:styleId="TableGrid">
    <w:name w:val="Table Grid"/>
    <w:basedOn w:val="TableNormal"/>
    <w:uiPriority w:val="39"/>
    <w:rsid w:val="004C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A3AF6"/>
  </w:style>
  <w:style w:type="paragraph" w:customStyle="1" w:styleId="Default">
    <w:name w:val="Default"/>
    <w:rsid w:val="00A52337"/>
    <w:pPr>
      <w:autoSpaceDE w:val="0"/>
      <w:autoSpaceDN w:val="0"/>
      <w:adjustRightInd w:val="0"/>
      <w:spacing w:after="0" w:line="240" w:lineRule="auto"/>
    </w:pPr>
    <w:rPr>
      <w:rFonts w:ascii="Calibri" w:hAnsi="Calibri" w:cs="Calibri"/>
      <w:color w:val="000000"/>
      <w:sz w:val="24"/>
      <w:szCs w:val="24"/>
      <w:lang w:val="en-IE"/>
    </w:rPr>
  </w:style>
  <w:style w:type="paragraph" w:styleId="Revision">
    <w:name w:val="Revision"/>
    <w:hidden/>
    <w:uiPriority w:val="99"/>
    <w:semiHidden/>
    <w:rsid w:val="00B06136"/>
    <w:pPr>
      <w:spacing w:after="0" w:line="240" w:lineRule="auto"/>
    </w:pPr>
    <w:rPr>
      <w:rFonts w:ascii="Times New Roman" w:hAnsi="Times New Roman"/>
      <w:sz w:val="24"/>
    </w:rPr>
  </w:style>
  <w:style w:type="paragraph" w:customStyle="1" w:styleId="Normal1">
    <w:name w:val="Normal1"/>
    <w:basedOn w:val="Normal"/>
    <w:rsid w:val="00CF5BC9"/>
    <w:pPr>
      <w:spacing w:before="100" w:beforeAutospacing="1" w:after="100" w:afterAutospacing="1" w:line="240" w:lineRule="auto"/>
      <w:jc w:val="left"/>
    </w:pPr>
    <w:rPr>
      <w:rFonts w:eastAsia="Times New Roman" w:cs="Times New Roman"/>
      <w:szCs w:val="24"/>
      <w:lang w:val="en-IE" w:eastAsia="en-IE"/>
    </w:rPr>
  </w:style>
  <w:style w:type="character" w:customStyle="1" w:styleId="super">
    <w:name w:val="super"/>
    <w:basedOn w:val="DefaultParagraphFont"/>
    <w:rsid w:val="00CF5BC9"/>
  </w:style>
  <w:style w:type="character" w:customStyle="1" w:styleId="normaltextrun">
    <w:name w:val="normaltextrun"/>
    <w:basedOn w:val="DefaultParagraphFont"/>
    <w:rsid w:val="00C2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591">
      <w:bodyDiv w:val="1"/>
      <w:marLeft w:val="0"/>
      <w:marRight w:val="0"/>
      <w:marTop w:val="0"/>
      <w:marBottom w:val="0"/>
      <w:divBdr>
        <w:top w:val="none" w:sz="0" w:space="0" w:color="auto"/>
        <w:left w:val="none" w:sz="0" w:space="0" w:color="auto"/>
        <w:bottom w:val="none" w:sz="0" w:space="0" w:color="auto"/>
        <w:right w:val="none" w:sz="0" w:space="0" w:color="auto"/>
      </w:divBdr>
    </w:div>
    <w:div w:id="109593679">
      <w:bodyDiv w:val="1"/>
      <w:marLeft w:val="0"/>
      <w:marRight w:val="0"/>
      <w:marTop w:val="0"/>
      <w:marBottom w:val="0"/>
      <w:divBdr>
        <w:top w:val="none" w:sz="0" w:space="0" w:color="auto"/>
        <w:left w:val="none" w:sz="0" w:space="0" w:color="auto"/>
        <w:bottom w:val="none" w:sz="0" w:space="0" w:color="auto"/>
        <w:right w:val="none" w:sz="0" w:space="0" w:color="auto"/>
      </w:divBdr>
    </w:div>
    <w:div w:id="109787389">
      <w:bodyDiv w:val="1"/>
      <w:marLeft w:val="0"/>
      <w:marRight w:val="0"/>
      <w:marTop w:val="0"/>
      <w:marBottom w:val="0"/>
      <w:divBdr>
        <w:top w:val="none" w:sz="0" w:space="0" w:color="auto"/>
        <w:left w:val="none" w:sz="0" w:space="0" w:color="auto"/>
        <w:bottom w:val="none" w:sz="0" w:space="0" w:color="auto"/>
        <w:right w:val="none" w:sz="0" w:space="0" w:color="auto"/>
      </w:divBdr>
    </w:div>
    <w:div w:id="131409484">
      <w:bodyDiv w:val="1"/>
      <w:marLeft w:val="0"/>
      <w:marRight w:val="0"/>
      <w:marTop w:val="0"/>
      <w:marBottom w:val="0"/>
      <w:divBdr>
        <w:top w:val="none" w:sz="0" w:space="0" w:color="auto"/>
        <w:left w:val="none" w:sz="0" w:space="0" w:color="auto"/>
        <w:bottom w:val="none" w:sz="0" w:space="0" w:color="auto"/>
        <w:right w:val="none" w:sz="0" w:space="0" w:color="auto"/>
      </w:divBdr>
    </w:div>
    <w:div w:id="177013646">
      <w:bodyDiv w:val="1"/>
      <w:marLeft w:val="0"/>
      <w:marRight w:val="0"/>
      <w:marTop w:val="0"/>
      <w:marBottom w:val="0"/>
      <w:divBdr>
        <w:top w:val="none" w:sz="0" w:space="0" w:color="auto"/>
        <w:left w:val="none" w:sz="0" w:space="0" w:color="auto"/>
        <w:bottom w:val="none" w:sz="0" w:space="0" w:color="auto"/>
        <w:right w:val="none" w:sz="0" w:space="0" w:color="auto"/>
      </w:divBdr>
    </w:div>
    <w:div w:id="214125701">
      <w:bodyDiv w:val="1"/>
      <w:marLeft w:val="0"/>
      <w:marRight w:val="0"/>
      <w:marTop w:val="0"/>
      <w:marBottom w:val="0"/>
      <w:divBdr>
        <w:top w:val="none" w:sz="0" w:space="0" w:color="auto"/>
        <w:left w:val="none" w:sz="0" w:space="0" w:color="auto"/>
        <w:bottom w:val="none" w:sz="0" w:space="0" w:color="auto"/>
        <w:right w:val="none" w:sz="0" w:space="0" w:color="auto"/>
      </w:divBdr>
    </w:div>
    <w:div w:id="219707096">
      <w:bodyDiv w:val="1"/>
      <w:marLeft w:val="0"/>
      <w:marRight w:val="0"/>
      <w:marTop w:val="0"/>
      <w:marBottom w:val="0"/>
      <w:divBdr>
        <w:top w:val="none" w:sz="0" w:space="0" w:color="auto"/>
        <w:left w:val="none" w:sz="0" w:space="0" w:color="auto"/>
        <w:bottom w:val="none" w:sz="0" w:space="0" w:color="auto"/>
        <w:right w:val="none" w:sz="0" w:space="0" w:color="auto"/>
      </w:divBdr>
    </w:div>
    <w:div w:id="264000393">
      <w:bodyDiv w:val="1"/>
      <w:marLeft w:val="0"/>
      <w:marRight w:val="0"/>
      <w:marTop w:val="0"/>
      <w:marBottom w:val="0"/>
      <w:divBdr>
        <w:top w:val="none" w:sz="0" w:space="0" w:color="auto"/>
        <w:left w:val="none" w:sz="0" w:space="0" w:color="auto"/>
        <w:bottom w:val="none" w:sz="0" w:space="0" w:color="auto"/>
        <w:right w:val="none" w:sz="0" w:space="0" w:color="auto"/>
      </w:divBdr>
    </w:div>
    <w:div w:id="268047264">
      <w:bodyDiv w:val="1"/>
      <w:marLeft w:val="0"/>
      <w:marRight w:val="0"/>
      <w:marTop w:val="0"/>
      <w:marBottom w:val="0"/>
      <w:divBdr>
        <w:top w:val="none" w:sz="0" w:space="0" w:color="auto"/>
        <w:left w:val="none" w:sz="0" w:space="0" w:color="auto"/>
        <w:bottom w:val="none" w:sz="0" w:space="0" w:color="auto"/>
        <w:right w:val="none" w:sz="0" w:space="0" w:color="auto"/>
      </w:divBdr>
    </w:div>
    <w:div w:id="602079302">
      <w:bodyDiv w:val="1"/>
      <w:marLeft w:val="0"/>
      <w:marRight w:val="0"/>
      <w:marTop w:val="0"/>
      <w:marBottom w:val="0"/>
      <w:divBdr>
        <w:top w:val="none" w:sz="0" w:space="0" w:color="auto"/>
        <w:left w:val="none" w:sz="0" w:space="0" w:color="auto"/>
        <w:bottom w:val="none" w:sz="0" w:space="0" w:color="auto"/>
        <w:right w:val="none" w:sz="0" w:space="0" w:color="auto"/>
      </w:divBdr>
    </w:div>
    <w:div w:id="900023221">
      <w:bodyDiv w:val="1"/>
      <w:marLeft w:val="0"/>
      <w:marRight w:val="0"/>
      <w:marTop w:val="0"/>
      <w:marBottom w:val="0"/>
      <w:divBdr>
        <w:top w:val="none" w:sz="0" w:space="0" w:color="auto"/>
        <w:left w:val="none" w:sz="0" w:space="0" w:color="auto"/>
        <w:bottom w:val="none" w:sz="0" w:space="0" w:color="auto"/>
        <w:right w:val="none" w:sz="0" w:space="0" w:color="auto"/>
      </w:divBdr>
    </w:div>
    <w:div w:id="946498140">
      <w:bodyDiv w:val="1"/>
      <w:marLeft w:val="0"/>
      <w:marRight w:val="0"/>
      <w:marTop w:val="0"/>
      <w:marBottom w:val="0"/>
      <w:divBdr>
        <w:top w:val="none" w:sz="0" w:space="0" w:color="auto"/>
        <w:left w:val="none" w:sz="0" w:space="0" w:color="auto"/>
        <w:bottom w:val="none" w:sz="0" w:space="0" w:color="auto"/>
        <w:right w:val="none" w:sz="0" w:space="0" w:color="auto"/>
      </w:divBdr>
    </w:div>
    <w:div w:id="1029722625">
      <w:bodyDiv w:val="1"/>
      <w:marLeft w:val="0"/>
      <w:marRight w:val="0"/>
      <w:marTop w:val="0"/>
      <w:marBottom w:val="0"/>
      <w:divBdr>
        <w:top w:val="none" w:sz="0" w:space="0" w:color="auto"/>
        <w:left w:val="none" w:sz="0" w:space="0" w:color="auto"/>
        <w:bottom w:val="none" w:sz="0" w:space="0" w:color="auto"/>
        <w:right w:val="none" w:sz="0" w:space="0" w:color="auto"/>
      </w:divBdr>
    </w:div>
    <w:div w:id="1214925906">
      <w:bodyDiv w:val="1"/>
      <w:marLeft w:val="0"/>
      <w:marRight w:val="0"/>
      <w:marTop w:val="0"/>
      <w:marBottom w:val="0"/>
      <w:divBdr>
        <w:top w:val="none" w:sz="0" w:space="0" w:color="auto"/>
        <w:left w:val="none" w:sz="0" w:space="0" w:color="auto"/>
        <w:bottom w:val="none" w:sz="0" w:space="0" w:color="auto"/>
        <w:right w:val="none" w:sz="0" w:space="0" w:color="auto"/>
      </w:divBdr>
    </w:div>
    <w:div w:id="1342581061">
      <w:bodyDiv w:val="1"/>
      <w:marLeft w:val="0"/>
      <w:marRight w:val="0"/>
      <w:marTop w:val="0"/>
      <w:marBottom w:val="0"/>
      <w:divBdr>
        <w:top w:val="none" w:sz="0" w:space="0" w:color="auto"/>
        <w:left w:val="none" w:sz="0" w:space="0" w:color="auto"/>
        <w:bottom w:val="none" w:sz="0" w:space="0" w:color="auto"/>
        <w:right w:val="none" w:sz="0" w:space="0" w:color="auto"/>
      </w:divBdr>
    </w:div>
    <w:div w:id="1510295999">
      <w:bodyDiv w:val="1"/>
      <w:marLeft w:val="0"/>
      <w:marRight w:val="0"/>
      <w:marTop w:val="0"/>
      <w:marBottom w:val="0"/>
      <w:divBdr>
        <w:top w:val="none" w:sz="0" w:space="0" w:color="auto"/>
        <w:left w:val="none" w:sz="0" w:space="0" w:color="auto"/>
        <w:bottom w:val="none" w:sz="0" w:space="0" w:color="auto"/>
        <w:right w:val="none" w:sz="0" w:space="0" w:color="auto"/>
      </w:divBdr>
    </w:div>
    <w:div w:id="1525442776">
      <w:bodyDiv w:val="1"/>
      <w:marLeft w:val="0"/>
      <w:marRight w:val="0"/>
      <w:marTop w:val="0"/>
      <w:marBottom w:val="0"/>
      <w:divBdr>
        <w:top w:val="none" w:sz="0" w:space="0" w:color="auto"/>
        <w:left w:val="none" w:sz="0" w:space="0" w:color="auto"/>
        <w:bottom w:val="none" w:sz="0" w:space="0" w:color="auto"/>
        <w:right w:val="none" w:sz="0" w:space="0" w:color="auto"/>
      </w:divBdr>
    </w:div>
    <w:div w:id="1679573630">
      <w:bodyDiv w:val="1"/>
      <w:marLeft w:val="0"/>
      <w:marRight w:val="0"/>
      <w:marTop w:val="0"/>
      <w:marBottom w:val="0"/>
      <w:divBdr>
        <w:top w:val="none" w:sz="0" w:space="0" w:color="auto"/>
        <w:left w:val="none" w:sz="0" w:space="0" w:color="auto"/>
        <w:bottom w:val="none" w:sz="0" w:space="0" w:color="auto"/>
        <w:right w:val="none" w:sz="0" w:space="0" w:color="auto"/>
      </w:divBdr>
    </w:div>
    <w:div w:id="1721708796">
      <w:bodyDiv w:val="1"/>
      <w:marLeft w:val="0"/>
      <w:marRight w:val="0"/>
      <w:marTop w:val="0"/>
      <w:marBottom w:val="0"/>
      <w:divBdr>
        <w:top w:val="none" w:sz="0" w:space="0" w:color="auto"/>
        <w:left w:val="none" w:sz="0" w:space="0" w:color="auto"/>
        <w:bottom w:val="none" w:sz="0" w:space="0" w:color="auto"/>
        <w:right w:val="none" w:sz="0" w:space="0" w:color="auto"/>
      </w:divBdr>
    </w:div>
    <w:div w:id="1744716271">
      <w:bodyDiv w:val="1"/>
      <w:marLeft w:val="0"/>
      <w:marRight w:val="0"/>
      <w:marTop w:val="0"/>
      <w:marBottom w:val="0"/>
      <w:divBdr>
        <w:top w:val="none" w:sz="0" w:space="0" w:color="auto"/>
        <w:left w:val="none" w:sz="0" w:space="0" w:color="auto"/>
        <w:bottom w:val="none" w:sz="0" w:space="0" w:color="auto"/>
        <w:right w:val="none" w:sz="0" w:space="0" w:color="auto"/>
      </w:divBdr>
    </w:div>
    <w:div w:id="1845823477">
      <w:bodyDiv w:val="1"/>
      <w:marLeft w:val="0"/>
      <w:marRight w:val="0"/>
      <w:marTop w:val="0"/>
      <w:marBottom w:val="0"/>
      <w:divBdr>
        <w:top w:val="none" w:sz="0" w:space="0" w:color="auto"/>
        <w:left w:val="none" w:sz="0" w:space="0" w:color="auto"/>
        <w:bottom w:val="none" w:sz="0" w:space="0" w:color="auto"/>
        <w:right w:val="none" w:sz="0" w:space="0" w:color="auto"/>
      </w:divBdr>
    </w:div>
    <w:div w:id="1878077594">
      <w:bodyDiv w:val="1"/>
      <w:marLeft w:val="0"/>
      <w:marRight w:val="0"/>
      <w:marTop w:val="0"/>
      <w:marBottom w:val="0"/>
      <w:divBdr>
        <w:top w:val="none" w:sz="0" w:space="0" w:color="auto"/>
        <w:left w:val="none" w:sz="0" w:space="0" w:color="auto"/>
        <w:bottom w:val="none" w:sz="0" w:space="0" w:color="auto"/>
        <w:right w:val="none" w:sz="0" w:space="0" w:color="auto"/>
      </w:divBdr>
    </w:div>
    <w:div w:id="208406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legal-content/EN/TXT/PDF/?uri=CELEX:52018DC0740&amp;qid=1676041973601&amp;from=EN" TargetMode="External"/><Relationship Id="rId26" Type="http://schemas.openxmlformats.org/officeDocument/2006/relationships/hyperlink" Target="https://ec.europa.eu/docsroom/documents/33162" TargetMode="External"/><Relationship Id="rId3" Type="http://schemas.openxmlformats.org/officeDocument/2006/relationships/customXml" Target="../customXml/item3.xml"/><Relationship Id="rId21" Type="http://schemas.openxmlformats.org/officeDocument/2006/relationships/hyperlink" Target="https://digital-strategy.ec.europa.eu/en/policies/cyber-resilience-act"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docsroom/documents/40361"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ingle-market-economy.ec.europa.eu/system/files/2021-10/SWD%282021%29%20302_EN_impact_assessment_part1_v3.pdf" TargetMode="External"/><Relationship Id="rId29" Type="http://schemas.openxmlformats.org/officeDocument/2006/relationships/hyperlink" Target="https://publications.jrc.ec.europa.eu/repository/bitstream/JRC130279/JRC130279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info/law/better-regulation/have-your-say/initiatives/13351-External-power-supplies-ecodesign-information-requirements-review-_en"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EN/TXT/?uri=CELEX%3A52021SC0245&amp;qid=1688989505262" TargetMode="External"/><Relationship Id="rId28" Type="http://schemas.openxmlformats.org/officeDocument/2006/relationships/hyperlink" Target="https://eur-lex.europa.eu/legal-content/EN/TXT/?uri=uriserv%3AOJ.L_.2023.095.01.0042.01.ENG&amp;toc=OJ%3AL%3A2023%3A095%3ATOC"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ec.europa.eu/growth/tools-databases/nando/"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ingle-market-economy.ec.europa.eu/sectors/electrical-and-electronic-engineering-industries-eei/radio-equipment-directive-red/one-common-charging-solution-all_en" TargetMode="External"/><Relationship Id="rId27" Type="http://schemas.openxmlformats.org/officeDocument/2006/relationships/hyperlink" Target="https://ec.europa.eu/docsroom/documents/45707" TargetMode="External"/><Relationship Id="rId30" Type="http://schemas.openxmlformats.org/officeDocument/2006/relationships/hyperlink" Target="https://www.redca.eu/"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ocsroom/documents/33162" TargetMode="External"/><Relationship Id="rId1" Type="http://schemas.openxmlformats.org/officeDocument/2006/relationships/hyperlink" Target="https://single-market-economy.ec.europa.eu/news/blue-guide-implementation-product-rules-2022-published-2022-06-2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BABB5C232B419ADCB0E5A5E0BBF7" ma:contentTypeVersion="3" ma:contentTypeDescription="Create a new document." ma:contentTypeScope="" ma:versionID="d4c57a0655b8ba0a5417a834ea32aeac">
  <xsd:schema xmlns:xsd="http://www.w3.org/2001/XMLSchema" xmlns:xs="http://www.w3.org/2001/XMLSchema" xmlns:p="http://schemas.microsoft.com/office/2006/metadata/properties" xmlns:ns2="e5b61515-1f73-49a6-a0eb-13fb9d970b3c" targetNamespace="http://schemas.microsoft.com/office/2006/metadata/properties" ma:root="true" ma:fieldsID="4519e20e6240c10714b1c694057823c5" ns2:_="">
    <xsd:import namespace="e5b61515-1f73-49a6-a0eb-13fb9d970b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61515-1f73-49a6-a0eb-13fb9d970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7097-B1BF-4C00-BE3E-C65B961851E8}">
  <ds:schemaRefs>
    <ds:schemaRef ds:uri="http://schemas.microsoft.com/sharepoint/v3/contenttype/forms"/>
  </ds:schemaRefs>
</ds:datastoreItem>
</file>

<file path=customXml/itemProps2.xml><?xml version="1.0" encoding="utf-8"?>
<ds:datastoreItem xmlns:ds="http://schemas.openxmlformats.org/officeDocument/2006/customXml" ds:itemID="{11B96CA5-3DB7-4364-A2AF-B59066399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9CCF2-FEAB-4182-B95F-2D6D84775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61515-1f73-49a6-a0eb-13fb9d970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C621E-5E67-4D58-8AA0-B2FF5D6F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dcterms:created xsi:type="dcterms:W3CDTF">2024-02-28T09:38:00Z</dcterms:created>
  <dcterms:modified xsi:type="dcterms:W3CDTF">2024-04-03T07:16:00Z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2023-02-10T14:05:02Z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9e7b18b9-b031-49a7-86af-d4c003410482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8.1, Build 20230124</vt:lpwstr>
  </property>
  <property fmtid="{D5CDD505-2E9C-101B-9397-08002B2CF9AE}" pid="16" name="ContentTypeId">
    <vt:lpwstr>0x0101009536BABB5C232B419ADCB0E5A5E0BBF7</vt:lpwstr>
  </property>
</Properties>
</file>