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BC33" w14:textId="41A60608" w:rsidR="00117080" w:rsidRDefault="00716E63" w:rsidP="00716E63">
      <w:pPr>
        <w:pStyle w:val="Pagedecouverture"/>
        <w:rPr>
          <w:noProof/>
        </w:rPr>
      </w:pPr>
      <w:r>
        <w:rPr>
          <w:noProof/>
        </w:rPr>
        <w:pict w14:anchorId="226AC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79A9E6A-D749-4884-BB0A-BD80C161DC9C" style="width:455.25pt;height:369.75pt">
            <v:imagedata r:id="rId11" o:title=""/>
          </v:shape>
        </w:pict>
      </w:r>
    </w:p>
    <w:p w14:paraId="5155A2A7" w14:textId="77777777" w:rsidR="00117080" w:rsidRDefault="00117080" w:rsidP="00117080">
      <w:pPr>
        <w:rPr>
          <w:noProof/>
        </w:rPr>
        <w:sectPr w:rsidR="00117080" w:rsidSect="00716E63">
          <w:footerReference w:type="even" r:id="rId12"/>
          <w:footerReference w:type="default" r:id="rId13"/>
          <w:pgSz w:w="11907" w:h="16839"/>
          <w:pgMar w:top="1134" w:right="1417" w:bottom="1134" w:left="1417" w:header="709" w:footer="709" w:gutter="0"/>
          <w:pgNumType w:start="0"/>
          <w:cols w:space="720"/>
          <w:docGrid w:linePitch="360"/>
        </w:sectPr>
      </w:pPr>
    </w:p>
    <w:p w14:paraId="5D4DCE5D" w14:textId="77777777" w:rsidR="00117080" w:rsidRDefault="00117080">
      <w:pPr>
        <w:pStyle w:val="Exposdesmotifstitre"/>
        <w:rPr>
          <w:noProof/>
        </w:rPr>
      </w:pPr>
      <w:bookmarkStart w:id="0" w:name="_GoBack"/>
      <w:bookmarkEnd w:id="0"/>
      <w:r w:rsidRPr="006F770D">
        <w:rPr>
          <w:noProof/>
        </w:rPr>
        <w:lastRenderedPageBreak/>
        <w:t>EXPLANATORY MEMORANDUM</w:t>
      </w:r>
    </w:p>
    <w:p w14:paraId="0CF29CA1" w14:textId="77777777" w:rsidR="00117080" w:rsidRDefault="006637F7" w:rsidP="006637F7">
      <w:pPr>
        <w:pStyle w:val="ManualHeading1"/>
        <w:rPr>
          <w:noProof/>
        </w:rPr>
      </w:pPr>
      <w:r w:rsidRPr="006637F7">
        <w:rPr>
          <w:bCs/>
          <w:smallCaps w:val="0"/>
          <w:noProof/>
        </w:rPr>
        <w:t>1.</w:t>
      </w:r>
      <w:r>
        <w:rPr>
          <w:noProof/>
        </w:rPr>
        <w:t xml:space="preserve"> </w:t>
      </w:r>
      <w:r>
        <w:rPr>
          <w:noProof/>
        </w:rPr>
        <w:tab/>
      </w:r>
      <w:r w:rsidR="00117080" w:rsidRPr="0CB33917">
        <w:rPr>
          <w:noProof/>
        </w:rPr>
        <w:t xml:space="preserve">CONTEXT OF THE </w:t>
      </w:r>
      <w:r w:rsidR="00193E95">
        <w:rPr>
          <w:noProof/>
        </w:rPr>
        <w:t>RECOMMENDATION</w:t>
      </w:r>
    </w:p>
    <w:p w14:paraId="526F93F8" w14:textId="586E0052" w:rsidR="00FC3CCC" w:rsidRDefault="26CE5F3C" w:rsidP="00F93A78">
      <w:pPr>
        <w:spacing w:after="240"/>
        <w:rPr>
          <w:noProof/>
        </w:rPr>
      </w:pPr>
      <w:r w:rsidRPr="0CB33917">
        <w:rPr>
          <w:noProof/>
        </w:rPr>
        <w:t xml:space="preserve">This recommendation is submitted to the Council in order for the Commission to receive authorisation to participate in negotiations on behalf of the European Union on an </w:t>
      </w:r>
      <w:r w:rsidR="004C5EC9">
        <w:rPr>
          <w:noProof/>
        </w:rPr>
        <w:t>a</w:t>
      </w:r>
      <w:r w:rsidRPr="0CB33917">
        <w:rPr>
          <w:noProof/>
        </w:rPr>
        <w:t>dditional Protocol</w:t>
      </w:r>
      <w:r w:rsidR="000F18C1">
        <w:rPr>
          <w:noProof/>
        </w:rPr>
        <w:t xml:space="preserve"> (the </w:t>
      </w:r>
      <w:r w:rsidR="00C76DC1">
        <w:rPr>
          <w:noProof/>
        </w:rPr>
        <w:t>‘</w:t>
      </w:r>
      <w:r w:rsidR="000F18C1">
        <w:rPr>
          <w:noProof/>
        </w:rPr>
        <w:t>Protocol</w:t>
      </w:r>
      <w:r w:rsidR="00C76DC1">
        <w:rPr>
          <w:noProof/>
        </w:rPr>
        <w:t>’</w:t>
      </w:r>
      <w:r w:rsidR="000F18C1">
        <w:rPr>
          <w:noProof/>
        </w:rPr>
        <w:t>)</w:t>
      </w:r>
      <w:r w:rsidRPr="0CB33917">
        <w:rPr>
          <w:noProof/>
        </w:rPr>
        <w:t xml:space="preserve"> </w:t>
      </w:r>
      <w:r w:rsidR="000F18C1" w:rsidRPr="000F18C1">
        <w:rPr>
          <w:noProof/>
        </w:rPr>
        <w:t xml:space="preserve">in the area of criminal asset recovery </w:t>
      </w:r>
      <w:r w:rsidRPr="0CB33917">
        <w:rPr>
          <w:noProof/>
        </w:rPr>
        <w:t>to the Convention on Laundering, Search, Seizure and Confiscation of the Proceeds from Crime and on the Financing of Terrorism (CETS No. 198)</w:t>
      </w:r>
      <w:r w:rsidR="73F572EC" w:rsidRPr="0CB33917">
        <w:rPr>
          <w:noProof/>
        </w:rPr>
        <w:t xml:space="preserve">. </w:t>
      </w:r>
    </w:p>
    <w:p w14:paraId="1D8C75E0" w14:textId="77777777" w:rsidR="00117080" w:rsidRPr="00044058" w:rsidRDefault="00117080">
      <w:pPr>
        <w:pStyle w:val="ManualHeading2"/>
        <w:rPr>
          <w:rFonts w:eastAsia="Arial Unicode MS"/>
          <w:noProof/>
        </w:rPr>
      </w:pPr>
      <w:r w:rsidRPr="00044058">
        <w:rPr>
          <w:rFonts w:eastAsia="Arial Unicode MS"/>
          <w:noProof/>
        </w:rPr>
        <w:t xml:space="preserve">Reasons for and objectives of the </w:t>
      </w:r>
      <w:r w:rsidR="00193E95">
        <w:rPr>
          <w:rFonts w:eastAsia="Arial Unicode MS"/>
          <w:noProof/>
        </w:rPr>
        <w:t>recommendation</w:t>
      </w:r>
    </w:p>
    <w:p w14:paraId="3092D19E" w14:textId="77777777" w:rsidR="00A44337" w:rsidRDefault="00D0047D" w:rsidP="00612CF4">
      <w:pPr>
        <w:tabs>
          <w:tab w:val="left" w:pos="2160"/>
        </w:tabs>
        <w:rPr>
          <w:noProof/>
        </w:rPr>
      </w:pPr>
      <w:r>
        <w:rPr>
          <w:noProof/>
        </w:rPr>
        <w:t xml:space="preserve">Serious and organised crime </w:t>
      </w:r>
      <w:r w:rsidR="004F6174">
        <w:rPr>
          <w:noProof/>
        </w:rPr>
        <w:t xml:space="preserve">is </w:t>
      </w:r>
      <w:r>
        <w:rPr>
          <w:noProof/>
        </w:rPr>
        <w:t xml:space="preserve">a major threat </w:t>
      </w:r>
      <w:r w:rsidR="00536480">
        <w:rPr>
          <w:noProof/>
        </w:rPr>
        <w:t>to</w:t>
      </w:r>
      <w:r>
        <w:rPr>
          <w:noProof/>
        </w:rPr>
        <w:t xml:space="preserve"> security </w:t>
      </w:r>
      <w:r w:rsidR="261AD558">
        <w:rPr>
          <w:noProof/>
        </w:rPr>
        <w:t xml:space="preserve">within </w:t>
      </w:r>
      <w:r w:rsidR="004F6174">
        <w:rPr>
          <w:noProof/>
        </w:rPr>
        <w:t xml:space="preserve">and beyond </w:t>
      </w:r>
      <w:r w:rsidR="261AD558">
        <w:rPr>
          <w:noProof/>
        </w:rPr>
        <w:t xml:space="preserve">the </w:t>
      </w:r>
      <w:r w:rsidR="004F6174">
        <w:rPr>
          <w:noProof/>
        </w:rPr>
        <w:t>EU</w:t>
      </w:r>
      <w:r w:rsidR="00A44337">
        <w:rPr>
          <w:noProof/>
        </w:rPr>
        <w:t xml:space="preserve"> as well as the functioning of our economy</w:t>
      </w:r>
      <w:r>
        <w:rPr>
          <w:noProof/>
        </w:rPr>
        <w:t xml:space="preserve">. </w:t>
      </w:r>
      <w:r w:rsidR="004F6174">
        <w:rPr>
          <w:noProof/>
        </w:rPr>
        <w:t>A ma</w:t>
      </w:r>
      <w:r w:rsidR="00E158BF">
        <w:rPr>
          <w:noProof/>
        </w:rPr>
        <w:t>j</w:t>
      </w:r>
      <w:r w:rsidR="004F6174">
        <w:rPr>
          <w:noProof/>
        </w:rPr>
        <w:t>or feature of organised crime is that it is profit drive</w:t>
      </w:r>
      <w:r w:rsidR="00A44337">
        <w:rPr>
          <w:noProof/>
        </w:rPr>
        <w:t>n. The</w:t>
      </w:r>
      <w:r w:rsidR="004F6174" w:rsidRPr="004F6174">
        <w:rPr>
          <w:noProof/>
        </w:rPr>
        <w:t xml:space="preserve"> revenue obtained through illicit activities </w:t>
      </w:r>
      <w:r w:rsidR="00A44337">
        <w:rPr>
          <w:noProof/>
        </w:rPr>
        <w:t>is</w:t>
      </w:r>
      <w:r w:rsidR="004F6174" w:rsidRPr="004F6174">
        <w:rPr>
          <w:noProof/>
        </w:rPr>
        <w:t xml:space="preserve"> used for other criminal </w:t>
      </w:r>
      <w:r w:rsidR="00A44337">
        <w:rPr>
          <w:noProof/>
        </w:rPr>
        <w:t xml:space="preserve">activities or </w:t>
      </w:r>
      <w:r w:rsidR="004F6174" w:rsidRPr="004F6174">
        <w:rPr>
          <w:noProof/>
        </w:rPr>
        <w:t>invested to infiltrate the legal economy</w:t>
      </w:r>
      <w:r w:rsidR="00A44337">
        <w:rPr>
          <w:noProof/>
        </w:rPr>
        <w:t xml:space="preserve">. This </w:t>
      </w:r>
      <w:r w:rsidR="004F6174" w:rsidRPr="004F6174">
        <w:rPr>
          <w:noProof/>
        </w:rPr>
        <w:t>has far-reaching and destabilising consequences for society, the rule of law and trust in public authorities.</w:t>
      </w:r>
    </w:p>
    <w:p w14:paraId="0B805991" w14:textId="77777777" w:rsidR="00D0047D" w:rsidRDefault="004F6174" w:rsidP="00612CF4">
      <w:pPr>
        <w:tabs>
          <w:tab w:val="left" w:pos="2160"/>
        </w:tabs>
        <w:rPr>
          <w:noProof/>
        </w:rPr>
      </w:pPr>
      <w:r w:rsidRPr="004F6174">
        <w:rPr>
          <w:noProof/>
        </w:rPr>
        <w:t xml:space="preserve">Approximately EUR 4.1 billion of criminal assets were </w:t>
      </w:r>
      <w:r w:rsidR="00E158BF">
        <w:rPr>
          <w:noProof/>
        </w:rPr>
        <w:t>frozen</w:t>
      </w:r>
      <w:r w:rsidR="00E158BF" w:rsidRPr="004F6174">
        <w:rPr>
          <w:noProof/>
        </w:rPr>
        <w:t xml:space="preserve"> </w:t>
      </w:r>
      <w:r w:rsidRPr="004F6174">
        <w:rPr>
          <w:noProof/>
        </w:rPr>
        <w:t>on average per year in 2020 and 2021 in EU Member States. This represents a</w:t>
      </w:r>
      <w:r w:rsidR="00E158BF">
        <w:rPr>
          <w:noProof/>
        </w:rPr>
        <w:t>n</w:t>
      </w:r>
      <w:r w:rsidRPr="004F6174">
        <w:rPr>
          <w:noProof/>
        </w:rPr>
        <w:t xml:space="preserve"> increase compared to earlier years, but it still remains less than 2% of the estimated yearly proceeds of organised crime</w:t>
      </w:r>
      <w:r w:rsidR="004D2E60">
        <w:rPr>
          <w:rStyle w:val="FootnoteReference"/>
          <w:noProof/>
        </w:rPr>
        <w:footnoteReference w:id="2"/>
      </w:r>
      <w:r w:rsidRPr="004F6174">
        <w:rPr>
          <w:noProof/>
        </w:rPr>
        <w:t>. </w:t>
      </w:r>
      <w:r w:rsidDel="004F6174">
        <w:rPr>
          <w:noProof/>
        </w:rPr>
        <w:t xml:space="preserve"> </w:t>
      </w:r>
    </w:p>
    <w:p w14:paraId="55F8C7DF" w14:textId="77777777" w:rsidR="000F18C1" w:rsidRDefault="0073033A" w:rsidP="0CB33917">
      <w:pPr>
        <w:tabs>
          <w:tab w:val="left" w:pos="2160"/>
        </w:tabs>
        <w:rPr>
          <w:noProof/>
          <w:lang w:val="en-IE"/>
        </w:rPr>
      </w:pPr>
      <w:r>
        <w:rPr>
          <w:noProof/>
        </w:rPr>
        <w:t>D</w:t>
      </w:r>
      <w:r w:rsidR="004A0E00">
        <w:rPr>
          <w:noProof/>
        </w:rPr>
        <w:t>epriving criminals of their ill-gotten gains is essential for effectively</w:t>
      </w:r>
      <w:r w:rsidR="00D0047D">
        <w:rPr>
          <w:noProof/>
        </w:rPr>
        <w:t xml:space="preserve"> fight</w:t>
      </w:r>
      <w:r w:rsidR="004A0E00">
        <w:rPr>
          <w:noProof/>
        </w:rPr>
        <w:t>ing</w:t>
      </w:r>
      <w:r w:rsidR="00D0047D">
        <w:rPr>
          <w:noProof/>
        </w:rPr>
        <w:t xml:space="preserve"> organised crime</w:t>
      </w:r>
      <w:r w:rsidR="00536480">
        <w:rPr>
          <w:noProof/>
        </w:rPr>
        <w:t xml:space="preserve">. </w:t>
      </w:r>
      <w:r w:rsidR="004A0E00">
        <w:rPr>
          <w:noProof/>
        </w:rPr>
        <w:t>E</w:t>
      </w:r>
      <w:r w:rsidR="00536480">
        <w:rPr>
          <w:noProof/>
        </w:rPr>
        <w:t>ffective a</w:t>
      </w:r>
      <w:r w:rsidR="00D0047D">
        <w:rPr>
          <w:noProof/>
        </w:rPr>
        <w:t xml:space="preserve">sset recovery deters criminal activity by removing its </w:t>
      </w:r>
      <w:r w:rsidR="00536480">
        <w:rPr>
          <w:noProof/>
        </w:rPr>
        <w:t>main driver</w:t>
      </w:r>
      <w:r w:rsidR="00D0047D">
        <w:rPr>
          <w:noProof/>
        </w:rPr>
        <w:t xml:space="preserve">, while protecting the integrity of the financial system and broader economy through reducing the circulation of </w:t>
      </w:r>
      <w:r w:rsidR="00536480">
        <w:rPr>
          <w:noProof/>
        </w:rPr>
        <w:t>assets from illicit origin</w:t>
      </w:r>
      <w:r w:rsidR="00D0047D">
        <w:rPr>
          <w:noProof/>
        </w:rPr>
        <w:t xml:space="preserve">. Moreover, </w:t>
      </w:r>
      <w:r w:rsidR="00536480">
        <w:rPr>
          <w:noProof/>
        </w:rPr>
        <w:t>asset recovery</w:t>
      </w:r>
      <w:r w:rsidR="00D0047D">
        <w:rPr>
          <w:noProof/>
        </w:rPr>
        <w:t xml:space="preserve"> allows for the compensation of the victims of crime, supporting social cohesion and justice. </w:t>
      </w:r>
      <w:r w:rsidR="00536480">
        <w:rPr>
          <w:noProof/>
        </w:rPr>
        <w:t>In addition, e</w:t>
      </w:r>
      <w:r w:rsidR="00D0047D">
        <w:rPr>
          <w:noProof/>
        </w:rPr>
        <w:t>ffective application of asset recovery measures</w:t>
      </w:r>
      <w:r>
        <w:rPr>
          <w:noProof/>
        </w:rPr>
        <w:t xml:space="preserve">, </w:t>
      </w:r>
      <w:r w:rsidRPr="0073033A">
        <w:rPr>
          <w:noProof/>
        </w:rPr>
        <w:t>including tracing, freezing, confiscation, asset management and disposal of assets</w:t>
      </w:r>
      <w:r>
        <w:rPr>
          <w:noProof/>
        </w:rPr>
        <w:t>,</w:t>
      </w:r>
      <w:r w:rsidR="00D0047D">
        <w:rPr>
          <w:noProof/>
        </w:rPr>
        <w:t xml:space="preserve"> is proven to be a key tool in uncovering and dismantling the </w:t>
      </w:r>
      <w:r w:rsidR="00536480">
        <w:rPr>
          <w:noProof/>
        </w:rPr>
        <w:t>criminal networks</w:t>
      </w:r>
      <w:r w:rsidR="00D0047D">
        <w:rPr>
          <w:noProof/>
        </w:rPr>
        <w:t xml:space="preserve"> operating at an international level.</w:t>
      </w:r>
    </w:p>
    <w:p w14:paraId="441898B1" w14:textId="5B170658" w:rsidR="00FC3CCC" w:rsidRPr="007C2E0A" w:rsidRDefault="000F18C1" w:rsidP="00F93A78">
      <w:pPr>
        <w:tabs>
          <w:tab w:val="left" w:pos="2160"/>
        </w:tabs>
        <w:rPr>
          <w:noProof/>
          <w:lang w:val="en-IE"/>
        </w:rPr>
      </w:pPr>
      <w:r>
        <w:rPr>
          <w:noProof/>
          <w:lang w:val="en-IE"/>
        </w:rPr>
        <w:t>T</w:t>
      </w:r>
      <w:r w:rsidR="00612CF4" w:rsidRPr="52C48327">
        <w:rPr>
          <w:noProof/>
          <w:lang w:val="en-IE"/>
        </w:rPr>
        <w:t xml:space="preserve">he European Union signed the </w:t>
      </w:r>
      <w:r w:rsidR="00D0047D" w:rsidRPr="52C48327">
        <w:rPr>
          <w:rStyle w:val="normaltextrun"/>
          <w:noProof/>
          <w:color w:val="000000"/>
          <w:bdr w:val="none" w:sz="0" w:space="0" w:color="auto" w:frame="1"/>
        </w:rPr>
        <w:t xml:space="preserve">Convention on Laundering, Search, Seizure and Confiscation of the Proceeds from Crime and on the Financing of Terrorism </w:t>
      </w:r>
      <w:r w:rsidR="00536480" w:rsidRPr="52C48327">
        <w:rPr>
          <w:rStyle w:val="normaltextrun"/>
          <w:noProof/>
          <w:color w:val="000000" w:themeColor="text1"/>
        </w:rPr>
        <w:t xml:space="preserve">(CETS No. 198) </w:t>
      </w:r>
      <w:r w:rsidR="00D0047D" w:rsidRPr="52C48327">
        <w:rPr>
          <w:rStyle w:val="normaltextrun"/>
          <w:noProof/>
          <w:color w:val="000000"/>
          <w:bdr w:val="none" w:sz="0" w:space="0" w:color="auto" w:frame="1"/>
        </w:rPr>
        <w:t>(</w:t>
      </w:r>
      <w:r w:rsidR="00536480" w:rsidRPr="52C48327">
        <w:rPr>
          <w:rStyle w:val="normaltextrun"/>
          <w:noProof/>
          <w:color w:val="000000" w:themeColor="text1"/>
        </w:rPr>
        <w:t>‘</w:t>
      </w:r>
      <w:r w:rsidR="00D0047D" w:rsidRPr="52C48327">
        <w:rPr>
          <w:rStyle w:val="normaltextrun"/>
          <w:noProof/>
          <w:color w:val="000000"/>
          <w:bdr w:val="none" w:sz="0" w:space="0" w:color="auto" w:frame="1"/>
        </w:rPr>
        <w:t>Warsaw Convention</w:t>
      </w:r>
      <w:r w:rsidR="00536480" w:rsidRPr="52C48327">
        <w:rPr>
          <w:rStyle w:val="normaltextrun"/>
          <w:noProof/>
          <w:color w:val="000000" w:themeColor="text1"/>
        </w:rPr>
        <w:t>’</w:t>
      </w:r>
      <w:r w:rsidR="00193E95">
        <w:rPr>
          <w:rStyle w:val="normaltextrun"/>
          <w:noProof/>
          <w:color w:val="000000" w:themeColor="text1"/>
        </w:rPr>
        <w:t xml:space="preserve"> or ‘Convention’</w:t>
      </w:r>
      <w:r w:rsidR="00D0047D" w:rsidRPr="52C48327">
        <w:rPr>
          <w:rStyle w:val="normaltextrun"/>
          <w:noProof/>
          <w:color w:val="000000"/>
          <w:bdr w:val="none" w:sz="0" w:space="0" w:color="auto" w:frame="1"/>
        </w:rPr>
        <w:t>)</w:t>
      </w:r>
      <w:r w:rsidR="00377D90" w:rsidRPr="52C48327">
        <w:rPr>
          <w:rStyle w:val="FootnoteReference"/>
          <w:noProof/>
          <w:color w:val="000000"/>
          <w:bdr w:val="none" w:sz="0" w:space="0" w:color="auto" w:frame="1"/>
        </w:rPr>
        <w:footnoteReference w:id="3"/>
      </w:r>
      <w:r w:rsidR="00D0047D" w:rsidRPr="52C48327">
        <w:rPr>
          <w:rStyle w:val="normaltextrun"/>
          <w:noProof/>
          <w:color w:val="000000"/>
          <w:bdr w:val="none" w:sz="0" w:space="0" w:color="auto" w:frame="1"/>
        </w:rPr>
        <w:t xml:space="preserve"> on 2 April 2009</w:t>
      </w:r>
      <w:r w:rsidR="00612CF4" w:rsidRPr="52C48327">
        <w:rPr>
          <w:noProof/>
          <w:lang w:val="en-IE"/>
        </w:rPr>
        <w:t xml:space="preserve">. </w:t>
      </w:r>
      <w:r w:rsidR="00D0047D" w:rsidRPr="52C48327">
        <w:rPr>
          <w:noProof/>
          <w:lang w:val="en-IE"/>
        </w:rPr>
        <w:t>The European Union has not ratified the Convention yet</w:t>
      </w:r>
      <w:r w:rsidR="00612CF4" w:rsidRPr="52C48327">
        <w:rPr>
          <w:noProof/>
          <w:lang w:val="en-IE"/>
        </w:rPr>
        <w:t xml:space="preserve">. As of </w:t>
      </w:r>
      <w:r w:rsidR="003A522A" w:rsidRPr="52C48327">
        <w:rPr>
          <w:noProof/>
          <w:lang w:val="en-IE"/>
        </w:rPr>
        <w:t xml:space="preserve">18 December </w:t>
      </w:r>
      <w:r w:rsidR="00612CF4" w:rsidRPr="52C48327">
        <w:rPr>
          <w:noProof/>
          <w:lang w:val="en-IE"/>
        </w:rPr>
        <w:t xml:space="preserve">2023, </w:t>
      </w:r>
      <w:r w:rsidR="003A522A" w:rsidRPr="52C48327">
        <w:rPr>
          <w:noProof/>
          <w:lang w:val="en-IE"/>
        </w:rPr>
        <w:t>25 Member States</w:t>
      </w:r>
      <w:r w:rsidR="003A522A" w:rsidRPr="52C48327">
        <w:rPr>
          <w:rStyle w:val="FootnoteReference"/>
          <w:noProof/>
          <w:lang w:val="en-IE"/>
        </w:rPr>
        <w:footnoteReference w:id="4"/>
      </w:r>
      <w:r w:rsidR="003A522A" w:rsidRPr="52C48327">
        <w:rPr>
          <w:noProof/>
          <w:lang w:val="en-IE"/>
        </w:rPr>
        <w:t xml:space="preserve"> </w:t>
      </w:r>
      <w:r w:rsidR="00536480" w:rsidRPr="52C48327">
        <w:rPr>
          <w:noProof/>
          <w:lang w:val="en-IE"/>
        </w:rPr>
        <w:t xml:space="preserve">have </w:t>
      </w:r>
      <w:r w:rsidR="003A522A" w:rsidRPr="52C48327">
        <w:rPr>
          <w:noProof/>
          <w:lang w:val="en-IE"/>
        </w:rPr>
        <w:t xml:space="preserve">signed the Convention, 23 </w:t>
      </w:r>
      <w:r w:rsidR="004A0E00">
        <w:rPr>
          <w:noProof/>
          <w:lang w:val="en-IE"/>
        </w:rPr>
        <w:t>of which</w:t>
      </w:r>
      <w:r w:rsidR="00612CF4" w:rsidRPr="52C48327">
        <w:rPr>
          <w:rStyle w:val="FootnoteReference"/>
          <w:noProof/>
          <w:lang w:val="en-IE"/>
        </w:rPr>
        <w:footnoteReference w:id="5"/>
      </w:r>
      <w:r w:rsidR="00612CF4" w:rsidRPr="52C48327">
        <w:rPr>
          <w:noProof/>
          <w:lang w:val="en-IE"/>
        </w:rPr>
        <w:t xml:space="preserve"> have ratified </w:t>
      </w:r>
      <w:r w:rsidR="004A0E00">
        <w:rPr>
          <w:noProof/>
          <w:lang w:val="en-IE"/>
        </w:rPr>
        <w:t>it</w:t>
      </w:r>
      <w:r w:rsidR="00612CF4" w:rsidRPr="52C48327">
        <w:rPr>
          <w:noProof/>
          <w:lang w:val="en-IE"/>
        </w:rPr>
        <w:t xml:space="preserve">. </w:t>
      </w:r>
    </w:p>
    <w:p w14:paraId="7EA6A09A" w14:textId="77777777" w:rsidR="00612CF4" w:rsidRPr="00CB76AF" w:rsidRDefault="00D342C1" w:rsidP="00F93A78">
      <w:pPr>
        <w:rPr>
          <w:rFonts w:eastAsia="Times New Roman"/>
          <w:noProof/>
          <w:szCs w:val="24"/>
          <w:lang w:val="en-IE" w:eastAsia="en-GB"/>
        </w:rPr>
      </w:pPr>
      <w:r>
        <w:rPr>
          <w:noProof/>
          <w:szCs w:val="24"/>
          <w:lang w:val="en-IE"/>
        </w:rPr>
        <w:t xml:space="preserve">The </w:t>
      </w:r>
      <w:r w:rsidR="00731836">
        <w:rPr>
          <w:noProof/>
          <w:szCs w:val="24"/>
          <w:lang w:val="en-IE"/>
        </w:rPr>
        <w:t>Warsaw Convention</w:t>
      </w:r>
      <w:r w:rsidR="004A0E00">
        <w:rPr>
          <w:noProof/>
          <w:szCs w:val="24"/>
          <w:lang w:val="en-IE"/>
        </w:rPr>
        <w:t xml:space="preserve">, </w:t>
      </w:r>
      <w:r w:rsidR="004A0E00">
        <w:rPr>
          <w:noProof/>
        </w:rPr>
        <w:t>adopted on 16 May 2005,</w:t>
      </w:r>
      <w:r w:rsidR="004F6A39" w:rsidRPr="00CB76AF">
        <w:rPr>
          <w:noProof/>
          <w:szCs w:val="24"/>
          <w:lang w:val="en-IE"/>
        </w:rPr>
        <w:t xml:space="preserve"> </w:t>
      </w:r>
      <w:r w:rsidR="003A522A">
        <w:rPr>
          <w:noProof/>
          <w:szCs w:val="24"/>
          <w:lang w:val="en-IE"/>
        </w:rPr>
        <w:t>covers</w:t>
      </w:r>
      <w:r w:rsidR="00612CF4" w:rsidRPr="00CB76AF">
        <w:rPr>
          <w:noProof/>
          <w:szCs w:val="24"/>
          <w:lang w:val="en-IE"/>
        </w:rPr>
        <w:t xml:space="preserve"> </w:t>
      </w:r>
      <w:r w:rsidR="00A96C84">
        <w:rPr>
          <w:noProof/>
          <w:szCs w:val="24"/>
          <w:lang w:val="en-IE"/>
        </w:rPr>
        <w:t>multiple aspects of</w:t>
      </w:r>
      <w:r w:rsidR="00A96C84" w:rsidRPr="003A522A">
        <w:rPr>
          <w:noProof/>
          <w:szCs w:val="24"/>
          <w:lang w:val="en-IE"/>
        </w:rPr>
        <w:t xml:space="preserve"> </w:t>
      </w:r>
      <w:r w:rsidR="003A522A" w:rsidRPr="003A522A">
        <w:rPr>
          <w:noProof/>
          <w:szCs w:val="24"/>
          <w:lang w:val="en-IE"/>
        </w:rPr>
        <w:t xml:space="preserve">the prevention and the </w:t>
      </w:r>
      <w:r w:rsidR="004A0E00">
        <w:rPr>
          <w:noProof/>
          <w:szCs w:val="24"/>
          <w:lang w:val="en-IE"/>
        </w:rPr>
        <w:t>combatting</w:t>
      </w:r>
      <w:r w:rsidR="004A0E00" w:rsidRPr="003A522A">
        <w:rPr>
          <w:noProof/>
          <w:szCs w:val="24"/>
          <w:lang w:val="en-IE"/>
        </w:rPr>
        <w:t xml:space="preserve"> </w:t>
      </w:r>
      <w:r w:rsidR="003A522A" w:rsidRPr="003A522A">
        <w:rPr>
          <w:noProof/>
          <w:szCs w:val="24"/>
          <w:lang w:val="en-IE"/>
        </w:rPr>
        <w:t>of money laundering and the financing of terrorism. The</w:t>
      </w:r>
      <w:r w:rsidR="00A96C84">
        <w:rPr>
          <w:noProof/>
          <w:szCs w:val="24"/>
          <w:lang w:val="en-IE"/>
        </w:rPr>
        <w:t xml:space="preserve"> Warsaw </w:t>
      </w:r>
      <w:r w:rsidR="004A0E00">
        <w:rPr>
          <w:noProof/>
          <w:szCs w:val="24"/>
          <w:lang w:val="en-IE"/>
        </w:rPr>
        <w:t xml:space="preserve">Convention </w:t>
      </w:r>
      <w:r w:rsidR="00D02A59">
        <w:rPr>
          <w:noProof/>
          <w:szCs w:val="24"/>
          <w:lang w:val="en-IE"/>
        </w:rPr>
        <w:t>bui</w:t>
      </w:r>
      <w:r w:rsidR="00A96C84">
        <w:rPr>
          <w:noProof/>
          <w:szCs w:val="24"/>
          <w:lang w:val="en-IE"/>
        </w:rPr>
        <w:t>lds</w:t>
      </w:r>
      <w:r w:rsidR="00D02A59">
        <w:rPr>
          <w:noProof/>
          <w:szCs w:val="24"/>
          <w:lang w:val="en-IE"/>
        </w:rPr>
        <w:t xml:space="preserve"> on the </w:t>
      </w:r>
      <w:r w:rsidR="00D02A59">
        <w:rPr>
          <w:noProof/>
        </w:rPr>
        <w:t>Convention on laundering, search, seizure and confiscation of the proceeds from crime (</w:t>
      </w:r>
      <w:r w:rsidR="00536480">
        <w:rPr>
          <w:noProof/>
        </w:rPr>
        <w:t>C</w:t>
      </w:r>
      <w:r w:rsidR="00D02A59">
        <w:rPr>
          <w:noProof/>
        </w:rPr>
        <w:t xml:space="preserve">ETS </w:t>
      </w:r>
      <w:r w:rsidR="00297207">
        <w:rPr>
          <w:noProof/>
        </w:rPr>
        <w:t xml:space="preserve">No. </w:t>
      </w:r>
      <w:r w:rsidR="00D02A59">
        <w:rPr>
          <w:noProof/>
        </w:rPr>
        <w:t>141</w:t>
      </w:r>
      <w:r w:rsidR="00536480">
        <w:rPr>
          <w:noProof/>
        </w:rPr>
        <w:t>)</w:t>
      </w:r>
      <w:r w:rsidR="00D02A59">
        <w:rPr>
          <w:noProof/>
        </w:rPr>
        <w:t xml:space="preserve"> </w:t>
      </w:r>
      <w:r w:rsidR="00297207">
        <w:rPr>
          <w:noProof/>
        </w:rPr>
        <w:t>(‘</w:t>
      </w:r>
      <w:r w:rsidR="00D02A59">
        <w:rPr>
          <w:noProof/>
        </w:rPr>
        <w:t>Strasbourg Convention</w:t>
      </w:r>
      <w:r w:rsidR="00297207">
        <w:rPr>
          <w:noProof/>
        </w:rPr>
        <w:t>’</w:t>
      </w:r>
      <w:r w:rsidR="00D02A59">
        <w:rPr>
          <w:noProof/>
        </w:rPr>
        <w:t>)</w:t>
      </w:r>
      <w:r w:rsidR="001B5BF9">
        <w:rPr>
          <w:rStyle w:val="FootnoteReference"/>
          <w:noProof/>
        </w:rPr>
        <w:footnoteReference w:id="6"/>
      </w:r>
      <w:r w:rsidR="00A10E60">
        <w:rPr>
          <w:noProof/>
        </w:rPr>
        <w:t>.</w:t>
      </w:r>
    </w:p>
    <w:p w14:paraId="596C4023" w14:textId="77777777" w:rsidR="00325DAF" w:rsidRPr="00A10E60" w:rsidRDefault="00325DAF" w:rsidP="00612CF4">
      <w:pPr>
        <w:spacing w:before="100" w:beforeAutospacing="1" w:after="100" w:afterAutospacing="1"/>
        <w:rPr>
          <w:noProof/>
        </w:rPr>
      </w:pPr>
      <w:r>
        <w:rPr>
          <w:noProof/>
        </w:rPr>
        <w:lastRenderedPageBreak/>
        <w:t>The Convention criminalises money laundering</w:t>
      </w:r>
      <w:r w:rsidR="00DE330D">
        <w:rPr>
          <w:noProof/>
        </w:rPr>
        <w:t xml:space="preserve"> (Article 9)</w:t>
      </w:r>
      <w:r>
        <w:rPr>
          <w:noProof/>
        </w:rPr>
        <w:t>, including negligent money laundering and stand-alone money laundering. Furthermore, the Convention covers issues such as corporate liability</w:t>
      </w:r>
      <w:r w:rsidR="00DE330D">
        <w:rPr>
          <w:noProof/>
        </w:rPr>
        <w:t xml:space="preserve"> (Article 10)</w:t>
      </w:r>
      <w:r>
        <w:rPr>
          <w:noProof/>
        </w:rPr>
        <w:t>,</w:t>
      </w:r>
      <w:r w:rsidR="00DE330D">
        <w:rPr>
          <w:noProof/>
        </w:rPr>
        <w:t xml:space="preserve"> Financial Intelligence Units (Article 12)</w:t>
      </w:r>
      <w:r>
        <w:rPr>
          <w:noProof/>
        </w:rPr>
        <w:t>, investigative powers and techniques,</w:t>
      </w:r>
      <w:r w:rsidR="00DE330D">
        <w:rPr>
          <w:noProof/>
        </w:rPr>
        <w:t xml:space="preserve"> including the tracing, freezi</w:t>
      </w:r>
      <w:r w:rsidR="004A0E00">
        <w:rPr>
          <w:noProof/>
        </w:rPr>
        <w:t>n</w:t>
      </w:r>
      <w:r w:rsidR="00DE330D">
        <w:rPr>
          <w:noProof/>
        </w:rPr>
        <w:t>g and seizing of assets (Article 4),</w:t>
      </w:r>
      <w:r>
        <w:rPr>
          <w:noProof/>
        </w:rPr>
        <w:t xml:space="preserve"> international cooperation, including cooperation between </w:t>
      </w:r>
      <w:r w:rsidR="004A0E00">
        <w:rPr>
          <w:noProof/>
        </w:rPr>
        <w:t>F</w:t>
      </w:r>
      <w:r>
        <w:rPr>
          <w:noProof/>
        </w:rPr>
        <w:t xml:space="preserve">inancial </w:t>
      </w:r>
      <w:r w:rsidR="004A0E00">
        <w:rPr>
          <w:noProof/>
        </w:rPr>
        <w:t>I</w:t>
      </w:r>
      <w:r>
        <w:rPr>
          <w:noProof/>
        </w:rPr>
        <w:t xml:space="preserve">ntelligence </w:t>
      </w:r>
      <w:r w:rsidR="004A0E00">
        <w:rPr>
          <w:noProof/>
        </w:rPr>
        <w:t>Units</w:t>
      </w:r>
      <w:r w:rsidR="0035683F">
        <w:rPr>
          <w:noProof/>
        </w:rPr>
        <w:t>,</w:t>
      </w:r>
      <w:r w:rsidR="00DE330D">
        <w:rPr>
          <w:noProof/>
        </w:rPr>
        <w:t xml:space="preserve"> the exchange of information for banking data </w:t>
      </w:r>
      <w:r w:rsidR="00316F3B">
        <w:rPr>
          <w:noProof/>
        </w:rPr>
        <w:t>and mutual legal assistance for investigative purposes</w:t>
      </w:r>
      <w:r w:rsidR="004A0E00">
        <w:rPr>
          <w:noProof/>
        </w:rPr>
        <w:t xml:space="preserve"> </w:t>
      </w:r>
      <w:r w:rsidR="00DE330D">
        <w:rPr>
          <w:noProof/>
        </w:rPr>
        <w:t>(Article</w:t>
      </w:r>
      <w:r w:rsidR="00D02A59">
        <w:rPr>
          <w:noProof/>
        </w:rPr>
        <w:t>s</w:t>
      </w:r>
      <w:r w:rsidR="00DE330D">
        <w:rPr>
          <w:noProof/>
        </w:rPr>
        <w:t xml:space="preserve"> 15</w:t>
      </w:r>
      <w:r w:rsidR="00CD5A50">
        <w:rPr>
          <w:noProof/>
        </w:rPr>
        <w:t xml:space="preserve"> to </w:t>
      </w:r>
      <w:r w:rsidR="00D02A59">
        <w:rPr>
          <w:noProof/>
        </w:rPr>
        <w:t>2</w:t>
      </w:r>
      <w:r w:rsidR="00316F3B">
        <w:rPr>
          <w:noProof/>
        </w:rPr>
        <w:t>0</w:t>
      </w:r>
      <w:r w:rsidR="00D02A59">
        <w:rPr>
          <w:noProof/>
        </w:rPr>
        <w:t>)</w:t>
      </w:r>
      <w:r>
        <w:rPr>
          <w:noProof/>
        </w:rPr>
        <w:t>. Finally, and most important</w:t>
      </w:r>
      <w:r w:rsidR="00536480">
        <w:rPr>
          <w:noProof/>
        </w:rPr>
        <w:t>ly</w:t>
      </w:r>
      <w:r>
        <w:rPr>
          <w:noProof/>
        </w:rPr>
        <w:t xml:space="preserve"> for the </w:t>
      </w:r>
      <w:r w:rsidR="00E81BAF">
        <w:rPr>
          <w:noProof/>
        </w:rPr>
        <w:t>A</w:t>
      </w:r>
      <w:r>
        <w:rPr>
          <w:noProof/>
        </w:rPr>
        <w:t xml:space="preserve">dditional </w:t>
      </w:r>
      <w:r w:rsidR="00E81BAF">
        <w:rPr>
          <w:noProof/>
        </w:rPr>
        <w:t>P</w:t>
      </w:r>
      <w:r>
        <w:rPr>
          <w:noProof/>
        </w:rPr>
        <w:t xml:space="preserve">rotocol, the Convention covers </w:t>
      </w:r>
      <w:r w:rsidR="00316F3B">
        <w:rPr>
          <w:noProof/>
        </w:rPr>
        <w:t xml:space="preserve">domestic rules on </w:t>
      </w:r>
      <w:r>
        <w:rPr>
          <w:noProof/>
        </w:rPr>
        <w:t>confiscation</w:t>
      </w:r>
      <w:r w:rsidR="00DE330D">
        <w:rPr>
          <w:noProof/>
        </w:rPr>
        <w:t xml:space="preserve"> (Article 5</w:t>
      </w:r>
      <w:r w:rsidR="004A0E00">
        <w:rPr>
          <w:noProof/>
        </w:rPr>
        <w:t>)</w:t>
      </w:r>
      <w:r>
        <w:rPr>
          <w:noProof/>
        </w:rPr>
        <w:t xml:space="preserve">, including </w:t>
      </w:r>
      <w:r w:rsidR="00DE330D">
        <w:rPr>
          <w:noProof/>
        </w:rPr>
        <w:t xml:space="preserve">value confiscation, </w:t>
      </w:r>
      <w:r>
        <w:rPr>
          <w:noProof/>
        </w:rPr>
        <w:t>extended confiscation,</w:t>
      </w:r>
      <w:r w:rsidR="00DE330D">
        <w:rPr>
          <w:noProof/>
        </w:rPr>
        <w:t xml:space="preserve"> asset management (Article 6)</w:t>
      </w:r>
      <w:r>
        <w:rPr>
          <w:noProof/>
        </w:rPr>
        <w:t xml:space="preserve"> </w:t>
      </w:r>
      <w:r w:rsidR="00D02A59">
        <w:rPr>
          <w:noProof/>
        </w:rPr>
        <w:t xml:space="preserve">and rules on confiscated property (Article 25) including the </w:t>
      </w:r>
      <w:r>
        <w:rPr>
          <w:noProof/>
        </w:rPr>
        <w:t>return of assets to victims and asset sharing agreements</w:t>
      </w:r>
      <w:r w:rsidR="00316F3B">
        <w:rPr>
          <w:noProof/>
        </w:rPr>
        <w:t xml:space="preserve"> as well as </w:t>
      </w:r>
      <w:r w:rsidR="00EC4F8D">
        <w:rPr>
          <w:noProof/>
        </w:rPr>
        <w:t xml:space="preserve">rules on </w:t>
      </w:r>
      <w:r w:rsidR="00316F3B">
        <w:rPr>
          <w:noProof/>
        </w:rPr>
        <w:t>judicial cooperation for the purposes of asset freezing and confiscation (Articles 21 to 30) and procedural rights and safeguards of affected persons (Articles 31 and 32)</w:t>
      </w:r>
      <w:r w:rsidR="004A0E00">
        <w:rPr>
          <w:noProof/>
        </w:rPr>
        <w:t>.</w:t>
      </w:r>
    </w:p>
    <w:p w14:paraId="28E552DC" w14:textId="571DD7E3" w:rsidR="001D16B8" w:rsidRPr="0098626E" w:rsidRDefault="00CD5A50" w:rsidP="00F93A78">
      <w:pPr>
        <w:rPr>
          <w:rFonts w:eastAsia="Times New Roman"/>
          <w:b/>
          <w:bCs/>
          <w:noProof/>
          <w:szCs w:val="24"/>
          <w:lang w:val="en-IE" w:eastAsia="en-GB"/>
        </w:rPr>
      </w:pPr>
      <w:r>
        <w:rPr>
          <w:rFonts w:eastAsia="Times New Roman"/>
          <w:b/>
          <w:bCs/>
          <w:noProof/>
          <w:szCs w:val="24"/>
          <w:lang w:val="en-IE" w:eastAsia="en-GB"/>
        </w:rPr>
        <w:t>Background for n</w:t>
      </w:r>
      <w:r w:rsidR="0035683F">
        <w:rPr>
          <w:rFonts w:eastAsia="Times New Roman"/>
          <w:b/>
          <w:bCs/>
          <w:noProof/>
          <w:szCs w:val="24"/>
          <w:lang w:val="en-IE" w:eastAsia="en-GB"/>
        </w:rPr>
        <w:t xml:space="preserve">egotiations for an </w:t>
      </w:r>
      <w:r w:rsidR="004C5EC9">
        <w:rPr>
          <w:rFonts w:eastAsia="Times New Roman"/>
          <w:b/>
          <w:bCs/>
          <w:noProof/>
          <w:szCs w:val="24"/>
          <w:lang w:val="en-IE" w:eastAsia="en-GB"/>
        </w:rPr>
        <w:t>a</w:t>
      </w:r>
      <w:r w:rsidR="0035683F">
        <w:rPr>
          <w:rFonts w:eastAsia="Times New Roman"/>
          <w:b/>
          <w:bCs/>
          <w:noProof/>
          <w:szCs w:val="24"/>
          <w:lang w:val="en-IE" w:eastAsia="en-GB"/>
        </w:rPr>
        <w:t xml:space="preserve">dditional </w:t>
      </w:r>
      <w:r w:rsidR="00E81BAF">
        <w:rPr>
          <w:rFonts w:eastAsia="Times New Roman"/>
          <w:b/>
          <w:bCs/>
          <w:noProof/>
          <w:szCs w:val="24"/>
          <w:lang w:val="en-IE" w:eastAsia="en-GB"/>
        </w:rPr>
        <w:t>P</w:t>
      </w:r>
      <w:r w:rsidR="0035683F">
        <w:rPr>
          <w:rFonts w:eastAsia="Times New Roman"/>
          <w:b/>
          <w:bCs/>
          <w:noProof/>
          <w:szCs w:val="24"/>
          <w:lang w:val="en-IE" w:eastAsia="en-GB"/>
        </w:rPr>
        <w:t>rotocol for the Convention</w:t>
      </w:r>
    </w:p>
    <w:p w14:paraId="00A89B17" w14:textId="77777777" w:rsidR="0035683F" w:rsidRDefault="00193E95" w:rsidP="00F93A78">
      <w:pPr>
        <w:rPr>
          <w:rFonts w:eastAsia="Times New Roman"/>
          <w:noProof/>
          <w:szCs w:val="24"/>
          <w:lang w:val="en-IE" w:eastAsia="en-GB"/>
        </w:rPr>
      </w:pPr>
      <w:r>
        <w:rPr>
          <w:rFonts w:eastAsia="Times New Roman"/>
          <w:noProof/>
          <w:szCs w:val="24"/>
          <w:lang w:val="en-IE" w:eastAsia="en-GB"/>
        </w:rPr>
        <w:t>In the area of criminal asset recovery</w:t>
      </w:r>
      <w:r w:rsidR="0035683F">
        <w:rPr>
          <w:rFonts w:eastAsia="Times New Roman"/>
          <w:noProof/>
          <w:szCs w:val="24"/>
          <w:lang w:val="en-IE" w:eastAsia="en-GB"/>
        </w:rPr>
        <w:t xml:space="preserve">, the criminality landscape has been evolving rapidly since </w:t>
      </w:r>
      <w:r w:rsidR="000E1DA7">
        <w:rPr>
          <w:rFonts w:eastAsia="Times New Roman"/>
          <w:noProof/>
          <w:szCs w:val="24"/>
          <w:lang w:val="en-IE" w:eastAsia="en-GB"/>
        </w:rPr>
        <w:t>the</w:t>
      </w:r>
      <w:r w:rsidR="0035683F">
        <w:rPr>
          <w:rFonts w:eastAsia="Times New Roman"/>
          <w:noProof/>
          <w:szCs w:val="24"/>
          <w:lang w:val="en-IE" w:eastAsia="en-GB"/>
        </w:rPr>
        <w:t xml:space="preserve"> adoption </w:t>
      </w:r>
      <w:r w:rsidR="000E1DA7">
        <w:rPr>
          <w:rFonts w:eastAsia="Times New Roman"/>
          <w:noProof/>
          <w:szCs w:val="24"/>
          <w:lang w:val="en-IE" w:eastAsia="en-GB"/>
        </w:rPr>
        <w:t xml:space="preserve">of the Convention </w:t>
      </w:r>
      <w:r w:rsidR="0035683F">
        <w:rPr>
          <w:rFonts w:eastAsia="Times New Roman"/>
          <w:noProof/>
          <w:szCs w:val="24"/>
          <w:lang w:val="en-IE" w:eastAsia="en-GB"/>
        </w:rPr>
        <w:t>in 2005. As there are new challenges, and as criminal proceeds are not confiscated sufficiently, there is an urgent need to have a stronger legal framework and to facilitate international cooperation regarding asset recovery.</w:t>
      </w:r>
    </w:p>
    <w:p w14:paraId="5F527AAD" w14:textId="77777777" w:rsidR="00A91E6C" w:rsidRDefault="0035683F" w:rsidP="00F93A78">
      <w:pPr>
        <w:rPr>
          <w:rFonts w:eastAsia="Times New Roman"/>
          <w:noProof/>
          <w:szCs w:val="24"/>
          <w:lang w:val="en-IE" w:eastAsia="en-GB"/>
        </w:rPr>
      </w:pPr>
      <w:r>
        <w:rPr>
          <w:rFonts w:eastAsia="Times New Roman"/>
          <w:noProof/>
          <w:szCs w:val="24"/>
          <w:lang w:val="en-IE" w:eastAsia="en-GB"/>
        </w:rPr>
        <w:t>Therefore</w:t>
      </w:r>
      <w:r w:rsidR="009B4CE1">
        <w:rPr>
          <w:rFonts w:eastAsia="Times New Roman"/>
          <w:noProof/>
          <w:szCs w:val="24"/>
          <w:lang w:val="en-IE" w:eastAsia="en-GB"/>
        </w:rPr>
        <w:t>, the</w:t>
      </w:r>
      <w:r w:rsidR="00CD5A50">
        <w:rPr>
          <w:rFonts w:eastAsia="Times New Roman"/>
          <w:noProof/>
          <w:szCs w:val="24"/>
          <w:lang w:val="en-IE" w:eastAsia="en-GB"/>
        </w:rPr>
        <w:t xml:space="preserve"> </w:t>
      </w:r>
      <w:r w:rsidR="00505C10">
        <w:rPr>
          <w:rFonts w:eastAsia="Times New Roman"/>
          <w:noProof/>
          <w:szCs w:val="24"/>
          <w:lang w:val="en-IE" w:eastAsia="en-GB"/>
        </w:rPr>
        <w:t xml:space="preserve">possible </w:t>
      </w:r>
      <w:r w:rsidR="00CD5A50">
        <w:rPr>
          <w:rFonts w:eastAsia="Times New Roman"/>
          <w:noProof/>
          <w:szCs w:val="24"/>
          <w:lang w:val="en-IE" w:eastAsia="en-GB"/>
        </w:rPr>
        <w:t>need to enhance the</w:t>
      </w:r>
      <w:r w:rsidR="009B4CE1">
        <w:rPr>
          <w:rFonts w:eastAsia="Times New Roman"/>
          <w:noProof/>
          <w:szCs w:val="24"/>
          <w:lang w:val="en-IE" w:eastAsia="en-GB"/>
        </w:rPr>
        <w:t xml:space="preserve"> effectiveness of the existing legal framework on asset recovery has been discussed by experts during var</w:t>
      </w:r>
      <w:r w:rsidR="00CD5A50">
        <w:rPr>
          <w:rFonts w:eastAsia="Times New Roman"/>
          <w:noProof/>
          <w:szCs w:val="24"/>
          <w:lang w:val="en-IE" w:eastAsia="en-GB"/>
        </w:rPr>
        <w:t>i</w:t>
      </w:r>
      <w:r w:rsidR="009B4CE1">
        <w:rPr>
          <w:rFonts w:eastAsia="Times New Roman"/>
          <w:noProof/>
          <w:szCs w:val="24"/>
          <w:lang w:val="en-IE" w:eastAsia="en-GB"/>
        </w:rPr>
        <w:t>ous intiatives. The Conference of Parties to the Warsaw Convention</w:t>
      </w:r>
      <w:r w:rsidR="00DC0FDD">
        <w:rPr>
          <w:rFonts w:eastAsia="Times New Roman"/>
          <w:noProof/>
          <w:szCs w:val="24"/>
          <w:lang w:val="en-IE" w:eastAsia="en-GB"/>
        </w:rPr>
        <w:t xml:space="preserve"> (</w:t>
      </w:r>
      <w:r w:rsidR="00505C10">
        <w:rPr>
          <w:rFonts w:eastAsia="Times New Roman"/>
          <w:noProof/>
          <w:szCs w:val="24"/>
          <w:lang w:val="en-IE" w:eastAsia="en-GB"/>
        </w:rPr>
        <w:t>‘</w:t>
      </w:r>
      <w:r w:rsidR="00DC0FDD">
        <w:rPr>
          <w:rFonts w:eastAsia="Times New Roman"/>
          <w:noProof/>
          <w:szCs w:val="24"/>
          <w:lang w:val="en-IE" w:eastAsia="en-GB"/>
        </w:rPr>
        <w:t>C198-</w:t>
      </w:r>
      <w:r w:rsidR="00445F56">
        <w:rPr>
          <w:rFonts w:eastAsia="Times New Roman"/>
          <w:noProof/>
          <w:szCs w:val="24"/>
          <w:lang w:val="en-IE" w:eastAsia="en-GB"/>
        </w:rPr>
        <w:t>COP</w:t>
      </w:r>
      <w:r w:rsidR="00505C10">
        <w:rPr>
          <w:rFonts w:eastAsia="Times New Roman"/>
          <w:noProof/>
          <w:szCs w:val="24"/>
          <w:lang w:val="en-IE" w:eastAsia="en-GB"/>
        </w:rPr>
        <w:t>’</w:t>
      </w:r>
      <w:r w:rsidR="00DC0FDD">
        <w:rPr>
          <w:rFonts w:eastAsia="Times New Roman"/>
          <w:noProof/>
          <w:szCs w:val="24"/>
          <w:lang w:val="en-IE" w:eastAsia="en-GB"/>
        </w:rPr>
        <w:t>)</w:t>
      </w:r>
      <w:r w:rsidR="009B4CE1">
        <w:rPr>
          <w:rFonts w:eastAsia="Times New Roman"/>
          <w:noProof/>
          <w:szCs w:val="24"/>
          <w:lang w:val="en-IE" w:eastAsia="en-GB"/>
        </w:rPr>
        <w:t xml:space="preserve"> </w:t>
      </w:r>
      <w:r w:rsidR="00287588">
        <w:rPr>
          <w:rFonts w:eastAsia="Times New Roman"/>
          <w:noProof/>
          <w:szCs w:val="24"/>
          <w:lang w:val="en-IE" w:eastAsia="en-GB"/>
        </w:rPr>
        <w:t xml:space="preserve">agreed </w:t>
      </w:r>
      <w:r w:rsidR="009B4CE1">
        <w:rPr>
          <w:rFonts w:eastAsia="Times New Roman"/>
          <w:noProof/>
          <w:szCs w:val="24"/>
          <w:lang w:val="en-IE" w:eastAsia="en-GB"/>
        </w:rPr>
        <w:t xml:space="preserve">that </w:t>
      </w:r>
      <w:r w:rsidR="0073771B">
        <w:rPr>
          <w:rFonts w:eastAsia="Times New Roman"/>
          <w:noProof/>
          <w:szCs w:val="24"/>
          <w:lang w:val="en-IE" w:eastAsia="en-GB"/>
        </w:rPr>
        <w:t>a new instrument could be needed to</w:t>
      </w:r>
      <w:r w:rsidR="009B4CE1">
        <w:rPr>
          <w:rFonts w:eastAsia="Times New Roman"/>
          <w:noProof/>
          <w:szCs w:val="24"/>
          <w:lang w:val="en-IE" w:eastAsia="en-GB"/>
        </w:rPr>
        <w:t xml:space="preserve"> enable Parties to respond to challenges in the areas that are covered by the </w:t>
      </w:r>
      <w:r w:rsidR="00193E95">
        <w:rPr>
          <w:rFonts w:eastAsia="Times New Roman"/>
          <w:noProof/>
          <w:szCs w:val="24"/>
          <w:lang w:val="en-IE" w:eastAsia="en-GB"/>
        </w:rPr>
        <w:t>Convention</w:t>
      </w:r>
      <w:r w:rsidR="009B4CE1">
        <w:rPr>
          <w:rFonts w:eastAsia="Times New Roman"/>
          <w:noProof/>
          <w:szCs w:val="24"/>
          <w:lang w:val="en-IE" w:eastAsia="en-GB"/>
        </w:rPr>
        <w:t xml:space="preserve">. </w:t>
      </w:r>
    </w:p>
    <w:p w14:paraId="7A3916F6" w14:textId="77777777" w:rsidR="005A04D7" w:rsidRDefault="00BE0675" w:rsidP="00F93A78">
      <w:pPr>
        <w:rPr>
          <w:noProof/>
        </w:rPr>
      </w:pPr>
      <w:r>
        <w:rPr>
          <w:noProof/>
        </w:rPr>
        <w:t>In 2019, the Committee of Experts on the Operation of European Conventions on Cooperation in Criminal Matters (</w:t>
      </w:r>
      <w:r w:rsidR="00505C10">
        <w:rPr>
          <w:noProof/>
        </w:rPr>
        <w:t>‘</w:t>
      </w:r>
      <w:r>
        <w:rPr>
          <w:noProof/>
        </w:rPr>
        <w:t>PC-OC</w:t>
      </w:r>
      <w:r w:rsidR="00505C10">
        <w:rPr>
          <w:noProof/>
        </w:rPr>
        <w:t>’</w:t>
      </w:r>
      <w:r>
        <w:rPr>
          <w:noProof/>
        </w:rPr>
        <w:t xml:space="preserve">) completed a comprehensive </w:t>
      </w:r>
      <w:r w:rsidR="00505C10">
        <w:rPr>
          <w:noProof/>
        </w:rPr>
        <w:t>s</w:t>
      </w:r>
      <w:r>
        <w:rPr>
          <w:noProof/>
        </w:rPr>
        <w:t xml:space="preserve">tudy on the possible added value and feasibility of preparing a new binding instrument in the </w:t>
      </w:r>
      <w:r w:rsidR="00DC0FDD">
        <w:rPr>
          <w:noProof/>
        </w:rPr>
        <w:t>Council of Europe</w:t>
      </w:r>
      <w:r>
        <w:rPr>
          <w:noProof/>
        </w:rPr>
        <w:t xml:space="preserve"> on international co-operation as regards the management, recovery and sharing of assets </w:t>
      </w:r>
      <w:r w:rsidR="004A0E00">
        <w:rPr>
          <w:noProof/>
        </w:rPr>
        <w:t xml:space="preserve">derived </w:t>
      </w:r>
      <w:r>
        <w:rPr>
          <w:noProof/>
        </w:rPr>
        <w:t>from crime</w:t>
      </w:r>
      <w:r w:rsidR="00E90B2B">
        <w:rPr>
          <w:noProof/>
        </w:rPr>
        <w:t>.</w:t>
      </w:r>
    </w:p>
    <w:p w14:paraId="7B32D80B" w14:textId="77777777" w:rsidR="00DC0FDD" w:rsidRDefault="00BE0675" w:rsidP="00F93A78">
      <w:pPr>
        <w:rPr>
          <w:noProof/>
        </w:rPr>
      </w:pPr>
      <w:r>
        <w:rPr>
          <w:noProof/>
        </w:rPr>
        <w:t>Further to the findings of this study, the C198-COP and the PC-OC held a number of consultative meetings</w:t>
      </w:r>
      <w:r w:rsidR="00505C10">
        <w:rPr>
          <w:noProof/>
        </w:rPr>
        <w:t>. These meetings</w:t>
      </w:r>
      <w:r>
        <w:rPr>
          <w:noProof/>
        </w:rPr>
        <w:t xml:space="preserve"> culminated in the organisation of </w:t>
      </w:r>
      <w:r w:rsidR="00505C10">
        <w:rPr>
          <w:noProof/>
        </w:rPr>
        <w:t xml:space="preserve">a </w:t>
      </w:r>
      <w:r>
        <w:rPr>
          <w:noProof/>
        </w:rPr>
        <w:t xml:space="preserve">Joint session </w:t>
      </w:r>
      <w:r w:rsidR="00505C10">
        <w:rPr>
          <w:noProof/>
        </w:rPr>
        <w:t xml:space="preserve">of C198-COP and PC-OC </w:t>
      </w:r>
      <w:r>
        <w:rPr>
          <w:noProof/>
        </w:rPr>
        <w:t>in November 2022. Th</w:t>
      </w:r>
      <w:r w:rsidR="00505C10">
        <w:rPr>
          <w:noProof/>
        </w:rPr>
        <w:t>at</w:t>
      </w:r>
      <w:r>
        <w:rPr>
          <w:noProof/>
        </w:rPr>
        <w:t xml:space="preserve"> session gathered representatives from both committees and experts from around the globe</w:t>
      </w:r>
      <w:r w:rsidR="004C52EC">
        <w:rPr>
          <w:noProof/>
        </w:rPr>
        <w:t>,</w:t>
      </w:r>
      <w:r>
        <w:rPr>
          <w:noProof/>
        </w:rPr>
        <w:t xml:space="preserve"> </w:t>
      </w:r>
      <w:r w:rsidR="00DC0FDD">
        <w:rPr>
          <w:noProof/>
        </w:rPr>
        <w:t xml:space="preserve">including </w:t>
      </w:r>
      <w:r>
        <w:rPr>
          <w:noProof/>
        </w:rPr>
        <w:t>relevant international organisations</w:t>
      </w:r>
      <w:r w:rsidR="004C52EC">
        <w:rPr>
          <w:noProof/>
        </w:rPr>
        <w:t xml:space="preserve"> and</w:t>
      </w:r>
      <w:r>
        <w:rPr>
          <w:noProof/>
        </w:rPr>
        <w:t xml:space="preserve"> specialised institutes, to discuss and consider the development of an additional instrument in the field of asset recovery.</w:t>
      </w:r>
      <w:r w:rsidR="005A04D7">
        <w:rPr>
          <w:noProof/>
        </w:rPr>
        <w:t xml:space="preserve"> </w:t>
      </w:r>
      <w:r>
        <w:rPr>
          <w:noProof/>
        </w:rPr>
        <w:t xml:space="preserve">In the course of the discussions, experts identified </w:t>
      </w:r>
      <w:r w:rsidR="00505C10">
        <w:rPr>
          <w:noProof/>
        </w:rPr>
        <w:t xml:space="preserve">the following topics as most pressing: </w:t>
      </w:r>
      <w:r>
        <w:rPr>
          <w:noProof/>
        </w:rPr>
        <w:t>international cooperation in management and sharing of confiscated assets</w:t>
      </w:r>
      <w:r w:rsidR="000E1DA7">
        <w:rPr>
          <w:noProof/>
        </w:rPr>
        <w:t xml:space="preserve"> (</w:t>
      </w:r>
      <w:r w:rsidR="0073033A">
        <w:rPr>
          <w:noProof/>
        </w:rPr>
        <w:t xml:space="preserve">including the enhancement on asset sharing arrangements between </w:t>
      </w:r>
      <w:r w:rsidR="00E90B2B">
        <w:rPr>
          <w:noProof/>
        </w:rPr>
        <w:t>S</w:t>
      </w:r>
      <w:r w:rsidR="0073033A">
        <w:rPr>
          <w:noProof/>
        </w:rPr>
        <w:t>tates</w:t>
      </w:r>
      <w:r w:rsidR="000E1DA7">
        <w:rPr>
          <w:noProof/>
        </w:rPr>
        <w:t>)</w:t>
      </w:r>
      <w:r w:rsidR="0073033A">
        <w:rPr>
          <w:noProof/>
        </w:rPr>
        <w:t>,</w:t>
      </w:r>
      <w:r w:rsidR="00DC0FDD">
        <w:rPr>
          <w:noProof/>
        </w:rPr>
        <w:t xml:space="preserve"> the</w:t>
      </w:r>
      <w:r>
        <w:rPr>
          <w:noProof/>
        </w:rPr>
        <w:t xml:space="preserve"> application and execution of non-conviction-based forfeiture</w:t>
      </w:r>
      <w:r w:rsidR="0073033A">
        <w:rPr>
          <w:noProof/>
        </w:rPr>
        <w:t xml:space="preserve"> </w:t>
      </w:r>
      <w:r w:rsidR="00DC0FDD">
        <w:rPr>
          <w:noProof/>
        </w:rPr>
        <w:t>and the effective management of seized and confiscated assets</w:t>
      </w:r>
      <w:r w:rsidR="0078614E">
        <w:rPr>
          <w:noProof/>
        </w:rPr>
        <w:t xml:space="preserve">. </w:t>
      </w:r>
    </w:p>
    <w:p w14:paraId="689727C9" w14:textId="1067084C" w:rsidR="00DC0FDD" w:rsidRDefault="00DC0FDD" w:rsidP="00F93A78">
      <w:pPr>
        <w:rPr>
          <w:noProof/>
        </w:rPr>
      </w:pPr>
      <w:r>
        <w:rPr>
          <w:noProof/>
        </w:rPr>
        <w:t xml:space="preserve">The Council of Europe took into </w:t>
      </w:r>
      <w:r w:rsidR="00AD3FFC">
        <w:rPr>
          <w:noProof/>
        </w:rPr>
        <w:t>account</w:t>
      </w:r>
      <w:r>
        <w:rPr>
          <w:noProof/>
        </w:rPr>
        <w:t xml:space="preserve"> that</w:t>
      </w:r>
      <w:r w:rsidR="00BE0675">
        <w:rPr>
          <w:noProof/>
        </w:rPr>
        <w:t xml:space="preserve"> some of these issues </w:t>
      </w:r>
      <w:r>
        <w:rPr>
          <w:noProof/>
        </w:rPr>
        <w:t>were, at the time,</w:t>
      </w:r>
      <w:r w:rsidR="00BE0675">
        <w:rPr>
          <w:noProof/>
        </w:rPr>
        <w:t xml:space="preserve"> also </w:t>
      </w:r>
      <w:r w:rsidR="004C52EC">
        <w:rPr>
          <w:noProof/>
        </w:rPr>
        <w:t>addressed in the proposal</w:t>
      </w:r>
      <w:r w:rsidR="00BE0675">
        <w:rPr>
          <w:noProof/>
        </w:rPr>
        <w:t xml:space="preserve"> </w:t>
      </w:r>
      <w:r w:rsidR="004C52EC">
        <w:rPr>
          <w:noProof/>
        </w:rPr>
        <w:t xml:space="preserve">of the European Commission for a new </w:t>
      </w:r>
      <w:r w:rsidR="00BE0675">
        <w:rPr>
          <w:noProof/>
        </w:rPr>
        <w:t>Directive on asset recovery</w:t>
      </w:r>
      <w:r w:rsidR="004C52EC">
        <w:rPr>
          <w:noProof/>
        </w:rPr>
        <w:t xml:space="preserve"> and confiscation</w:t>
      </w:r>
      <w:r w:rsidR="004C52EC">
        <w:rPr>
          <w:rStyle w:val="FootnoteReference"/>
          <w:noProof/>
        </w:rPr>
        <w:footnoteReference w:id="7"/>
      </w:r>
      <w:r w:rsidR="00F93A78">
        <w:rPr>
          <w:noProof/>
        </w:rPr>
        <w:t xml:space="preserve">. </w:t>
      </w:r>
      <w:r>
        <w:rPr>
          <w:noProof/>
        </w:rPr>
        <w:t>Therefore,</w:t>
      </w:r>
      <w:r w:rsidR="00BE0675">
        <w:rPr>
          <w:noProof/>
        </w:rPr>
        <w:t xml:space="preserve"> it </w:t>
      </w:r>
      <w:r>
        <w:rPr>
          <w:noProof/>
        </w:rPr>
        <w:t>was also</w:t>
      </w:r>
      <w:r w:rsidR="00BE0675">
        <w:rPr>
          <w:noProof/>
        </w:rPr>
        <w:t xml:space="preserve"> essential for the Council of Europe to integrate these elements into a wider pan</w:t>
      </w:r>
      <w:r w:rsidR="004C52EC">
        <w:rPr>
          <w:noProof/>
        </w:rPr>
        <w:t>-E</w:t>
      </w:r>
      <w:r w:rsidR="00BE0675">
        <w:rPr>
          <w:noProof/>
        </w:rPr>
        <w:t>uropean framework</w:t>
      </w:r>
      <w:r w:rsidR="00505C10">
        <w:rPr>
          <w:noProof/>
        </w:rPr>
        <w:t xml:space="preserve"> in a timely manner</w:t>
      </w:r>
      <w:r w:rsidR="00BE0675">
        <w:rPr>
          <w:noProof/>
        </w:rPr>
        <w:t xml:space="preserve">. </w:t>
      </w:r>
    </w:p>
    <w:p w14:paraId="09DE4BB9" w14:textId="47951300" w:rsidR="00CF34B5" w:rsidRPr="00CF34B5" w:rsidRDefault="002C2888" w:rsidP="16E2ADBE">
      <w:pPr>
        <w:spacing w:before="100" w:beforeAutospacing="1" w:after="100" w:afterAutospacing="1"/>
        <w:rPr>
          <w:noProof/>
          <w:szCs w:val="24"/>
        </w:rPr>
      </w:pPr>
      <w:r>
        <w:rPr>
          <w:noProof/>
        </w:rPr>
        <w:t>At</w:t>
      </w:r>
      <w:r w:rsidR="00445F56">
        <w:rPr>
          <w:noProof/>
        </w:rPr>
        <w:t xml:space="preserve"> the 15</w:t>
      </w:r>
      <w:r w:rsidR="00445F56" w:rsidRPr="0098626E">
        <w:rPr>
          <w:noProof/>
          <w:vertAlign w:val="superscript"/>
        </w:rPr>
        <w:t>th</w:t>
      </w:r>
      <w:r w:rsidR="00445F56">
        <w:rPr>
          <w:noProof/>
        </w:rPr>
        <w:t xml:space="preserve"> meeting of the 198-COP </w:t>
      </w:r>
      <w:r>
        <w:rPr>
          <w:noProof/>
        </w:rPr>
        <w:t xml:space="preserve">on 9 and 10 November 2023 the </w:t>
      </w:r>
      <w:r w:rsidR="00505C10">
        <w:rPr>
          <w:noProof/>
        </w:rPr>
        <w:t>198-</w:t>
      </w:r>
      <w:r>
        <w:rPr>
          <w:noProof/>
        </w:rPr>
        <w:t xml:space="preserve">COP took note of the planned set-up of a committee of experts on criminal asset recovery, working under the </w:t>
      </w:r>
      <w:r>
        <w:rPr>
          <w:noProof/>
        </w:rPr>
        <w:lastRenderedPageBreak/>
        <w:t>authority of the Committee of Ministers and of the European Committee on Crime Problems (</w:t>
      </w:r>
      <w:r w:rsidR="00E56E79">
        <w:rPr>
          <w:noProof/>
        </w:rPr>
        <w:t>‘</w:t>
      </w:r>
      <w:r>
        <w:rPr>
          <w:noProof/>
        </w:rPr>
        <w:t>CDPC</w:t>
      </w:r>
      <w:r w:rsidR="00E56E79">
        <w:rPr>
          <w:noProof/>
        </w:rPr>
        <w:t>’</w:t>
      </w:r>
      <w:r>
        <w:rPr>
          <w:noProof/>
        </w:rPr>
        <w:t>)</w:t>
      </w:r>
      <w:r w:rsidR="001B5BF9">
        <w:rPr>
          <w:rStyle w:val="FootnoteReference"/>
          <w:noProof/>
        </w:rPr>
        <w:footnoteReference w:id="8"/>
      </w:r>
      <w:r>
        <w:rPr>
          <w:noProof/>
        </w:rPr>
        <w:t>. D</w:t>
      </w:r>
      <w:r w:rsidR="00BE0675">
        <w:rPr>
          <w:noProof/>
        </w:rPr>
        <w:t>raft terms of reference for a committee</w:t>
      </w:r>
      <w:r w:rsidR="00CF34B5">
        <w:rPr>
          <w:noProof/>
        </w:rPr>
        <w:t xml:space="preserve"> of Experts on Criminal Asset Recovery (</w:t>
      </w:r>
      <w:r w:rsidR="00E56E79">
        <w:rPr>
          <w:noProof/>
        </w:rPr>
        <w:t>‘</w:t>
      </w:r>
      <w:r w:rsidR="00CF34B5">
        <w:rPr>
          <w:noProof/>
        </w:rPr>
        <w:t>PC-RAC</w:t>
      </w:r>
      <w:r w:rsidR="00E56E79">
        <w:rPr>
          <w:noProof/>
        </w:rPr>
        <w:t>’</w:t>
      </w:r>
      <w:r w:rsidR="00CF34B5">
        <w:rPr>
          <w:noProof/>
        </w:rPr>
        <w:t>)</w:t>
      </w:r>
      <w:r w:rsidR="00BE0675">
        <w:rPr>
          <w:noProof/>
        </w:rPr>
        <w:t xml:space="preserve"> responsible for the drafting of an </w:t>
      </w:r>
      <w:r w:rsidR="004C5EC9">
        <w:rPr>
          <w:noProof/>
        </w:rPr>
        <w:t>a</w:t>
      </w:r>
      <w:r w:rsidR="00BE0675">
        <w:rPr>
          <w:noProof/>
        </w:rPr>
        <w:t xml:space="preserve">dditional </w:t>
      </w:r>
      <w:r w:rsidR="00E81BAF">
        <w:rPr>
          <w:noProof/>
        </w:rPr>
        <w:t>P</w:t>
      </w:r>
      <w:r w:rsidR="00BE0675">
        <w:rPr>
          <w:noProof/>
        </w:rPr>
        <w:t xml:space="preserve">rotocol to </w:t>
      </w:r>
      <w:r w:rsidR="00731836">
        <w:rPr>
          <w:noProof/>
        </w:rPr>
        <w:t>the Warsaw Convention</w:t>
      </w:r>
      <w:r w:rsidR="00BE0675">
        <w:rPr>
          <w:noProof/>
        </w:rPr>
        <w:t xml:space="preserve"> </w:t>
      </w:r>
      <w:r>
        <w:rPr>
          <w:noProof/>
        </w:rPr>
        <w:t>had</w:t>
      </w:r>
      <w:r w:rsidR="00BE0675">
        <w:rPr>
          <w:noProof/>
        </w:rPr>
        <w:t xml:space="preserve"> been prepared</w:t>
      </w:r>
      <w:r>
        <w:rPr>
          <w:noProof/>
        </w:rPr>
        <w:t xml:space="preserve"> and presented at the meeting</w:t>
      </w:r>
      <w:r w:rsidR="00BE0675">
        <w:rPr>
          <w:noProof/>
        </w:rPr>
        <w:t xml:space="preserve">. </w:t>
      </w:r>
      <w:r w:rsidR="00CF34B5">
        <w:rPr>
          <w:noProof/>
        </w:rPr>
        <w:t xml:space="preserve">According to </w:t>
      </w:r>
      <w:r w:rsidR="00505C10">
        <w:rPr>
          <w:noProof/>
        </w:rPr>
        <w:t xml:space="preserve">these draft </w:t>
      </w:r>
      <w:r w:rsidR="00CF34B5">
        <w:rPr>
          <w:noProof/>
        </w:rPr>
        <w:t xml:space="preserve">terms of reference, the Committee “shall ensure that the draft </w:t>
      </w:r>
      <w:r w:rsidR="00E81BAF">
        <w:rPr>
          <w:noProof/>
          <w:szCs w:val="24"/>
        </w:rPr>
        <w:t>A</w:t>
      </w:r>
      <w:r w:rsidR="00CF34B5" w:rsidRPr="00CF34B5">
        <w:rPr>
          <w:noProof/>
          <w:szCs w:val="24"/>
        </w:rPr>
        <w:t xml:space="preserve">dditional </w:t>
      </w:r>
      <w:r w:rsidR="00E81BAF">
        <w:rPr>
          <w:noProof/>
          <w:szCs w:val="24"/>
        </w:rPr>
        <w:t>P</w:t>
      </w:r>
      <w:r w:rsidR="00CF34B5" w:rsidRPr="00CF34B5">
        <w:rPr>
          <w:noProof/>
          <w:szCs w:val="24"/>
        </w:rPr>
        <w:t xml:space="preserve">rotocol includes, </w:t>
      </w:r>
      <w:r w:rsidR="00CF34B5" w:rsidRPr="00AD3FFC">
        <w:rPr>
          <w:i/>
          <w:iCs/>
          <w:noProof/>
          <w:szCs w:val="24"/>
        </w:rPr>
        <w:t>inter alia</w:t>
      </w:r>
      <w:r w:rsidR="00CF34B5" w:rsidRPr="00CF34B5">
        <w:rPr>
          <w:noProof/>
          <w:szCs w:val="24"/>
        </w:rPr>
        <w:t xml:space="preserve">, the following: </w:t>
      </w:r>
    </w:p>
    <w:p w14:paraId="300BBBCB" w14:textId="77777777" w:rsidR="00CF34B5" w:rsidRPr="0098626E" w:rsidRDefault="00CF34B5" w:rsidP="00CF1D95">
      <w:pPr>
        <w:pStyle w:val="Bullet1"/>
        <w:numPr>
          <w:ilvl w:val="0"/>
          <w:numId w:val="9"/>
        </w:numPr>
        <w:rPr>
          <w:noProof/>
          <w:lang w:val="en-IE"/>
        </w:rPr>
      </w:pPr>
      <w:bookmarkStart w:id="1" w:name="_Hlk162276336"/>
      <w:r w:rsidRPr="0098626E">
        <w:rPr>
          <w:noProof/>
          <w:lang w:val="en-IE"/>
        </w:rPr>
        <w:t xml:space="preserve">provisions to enhance certainty and consistency in the sharing of confiscated assets between States Parties in transnational cases; </w:t>
      </w:r>
    </w:p>
    <w:p w14:paraId="4D302E71" w14:textId="77777777" w:rsidR="00CF34B5" w:rsidRPr="0098626E" w:rsidRDefault="00CF34B5" w:rsidP="00241E27">
      <w:pPr>
        <w:pStyle w:val="Bullet1"/>
        <w:rPr>
          <w:noProof/>
          <w:lang w:val="en-IE"/>
        </w:rPr>
      </w:pPr>
      <w:r w:rsidRPr="0098626E">
        <w:rPr>
          <w:noProof/>
          <w:lang w:val="en-IE"/>
        </w:rPr>
        <w:t xml:space="preserve">provisions to ensure efficient and effective management of seized, confiscated and repatriated assets, including the execution of confiscation decisions; </w:t>
      </w:r>
    </w:p>
    <w:p w14:paraId="4C727AC5" w14:textId="77777777" w:rsidR="00CF34B5" w:rsidRPr="0098626E" w:rsidRDefault="00CF34B5" w:rsidP="00241E27">
      <w:pPr>
        <w:pStyle w:val="Bullet1"/>
        <w:rPr>
          <w:noProof/>
          <w:lang w:val="en-IE"/>
        </w:rPr>
      </w:pPr>
      <w:r w:rsidRPr="0098626E">
        <w:rPr>
          <w:noProof/>
          <w:lang w:val="en-IE"/>
        </w:rPr>
        <w:t>provisions to facilitate the introduction of non-conviction-based confiscation procedures and of extended confiscation in criminal matters, including cooperation regarding and execution of requests in transnational cases;</w:t>
      </w:r>
    </w:p>
    <w:p w14:paraId="5EDCA99D" w14:textId="77777777" w:rsidR="00A86CF8" w:rsidRPr="00A86CF8" w:rsidRDefault="00CF34B5" w:rsidP="00241E27">
      <w:pPr>
        <w:pStyle w:val="Bullet1"/>
        <w:rPr>
          <w:noProof/>
          <w:lang w:val="en-IE"/>
        </w:rPr>
      </w:pPr>
      <w:r w:rsidRPr="0098626E">
        <w:rPr>
          <w:noProof/>
          <w:lang w:val="en-IE"/>
        </w:rPr>
        <w:t xml:space="preserve">any other issue which it deems to be of consequence to strengthen co-operation among Parties with respect to asset recovery.” </w:t>
      </w:r>
    </w:p>
    <w:bookmarkEnd w:id="1"/>
    <w:p w14:paraId="5263C1E7" w14:textId="77777777" w:rsidR="00CF34B5" w:rsidRPr="00A86CF8" w:rsidRDefault="00CF34B5" w:rsidP="00F93A78">
      <w:pPr>
        <w:rPr>
          <w:noProof/>
          <w:szCs w:val="24"/>
          <w:lang w:val="en-IE"/>
        </w:rPr>
      </w:pPr>
      <w:r w:rsidRPr="00A86CF8">
        <w:rPr>
          <w:noProof/>
          <w:szCs w:val="24"/>
          <w:lang w:val="en-IE"/>
        </w:rPr>
        <w:t>Such issues would in any case relate to the areas covered by the Convention.</w:t>
      </w:r>
    </w:p>
    <w:p w14:paraId="58129AE6" w14:textId="77777777" w:rsidR="0CB33917" w:rsidRPr="007C2E0A" w:rsidRDefault="008E0539" w:rsidP="00F93A78">
      <w:pPr>
        <w:spacing w:after="240"/>
        <w:rPr>
          <w:noProof/>
        </w:rPr>
      </w:pPr>
      <w:r>
        <w:rPr>
          <w:noProof/>
        </w:rPr>
        <w:t xml:space="preserve">On </w:t>
      </w:r>
      <w:r w:rsidRPr="00567B7A">
        <w:rPr>
          <w:noProof/>
        </w:rPr>
        <w:t>23 November 2023, the Committee of Ministers of the Council of Europe adopted the Terms of Reference establishing the Committee of Experts on Criminal Asset Recovery</w:t>
      </w:r>
      <w:r>
        <w:rPr>
          <w:noProof/>
        </w:rPr>
        <w:t xml:space="preserve">. </w:t>
      </w:r>
      <w:r w:rsidRPr="00567B7A">
        <w:rPr>
          <w:noProof/>
        </w:rPr>
        <w:t xml:space="preserve">The Committee of Experts on Criminal Asset Recovery is entrusted, under the authority of the Committee of Ministers and the European Committee on Crime Problems, to elaborate an </w:t>
      </w:r>
      <w:r w:rsidR="00E81BAF">
        <w:rPr>
          <w:noProof/>
        </w:rPr>
        <w:t>A</w:t>
      </w:r>
      <w:r w:rsidRPr="00567B7A">
        <w:rPr>
          <w:noProof/>
        </w:rPr>
        <w:t xml:space="preserve">dditional </w:t>
      </w:r>
      <w:r w:rsidR="00E81BAF">
        <w:rPr>
          <w:noProof/>
        </w:rPr>
        <w:t>P</w:t>
      </w:r>
      <w:r w:rsidRPr="00567B7A">
        <w:rPr>
          <w:noProof/>
        </w:rPr>
        <w:t>rotocol supplementing the Council of Europe Convention on laundering, search, seizure and confiscation of the proceeds from crime and on the financing of terrorism, as well as a draft explanatory report</w:t>
      </w:r>
      <w:r w:rsidR="005A3171">
        <w:rPr>
          <w:noProof/>
        </w:rPr>
        <w:t>.</w:t>
      </w:r>
      <w:r>
        <w:rPr>
          <w:noProof/>
        </w:rPr>
        <w:t xml:space="preserve"> </w:t>
      </w:r>
      <w:r w:rsidR="00BE0675">
        <w:rPr>
          <w:noProof/>
        </w:rPr>
        <w:t xml:space="preserve">In line with the discussions held within the </w:t>
      </w:r>
      <w:r w:rsidR="00505C10">
        <w:rPr>
          <w:noProof/>
        </w:rPr>
        <w:t>1</w:t>
      </w:r>
      <w:r w:rsidR="00BE0675">
        <w:rPr>
          <w:noProof/>
        </w:rPr>
        <w:t>98</w:t>
      </w:r>
      <w:r w:rsidR="00E56E79">
        <w:rPr>
          <w:noProof/>
        </w:rPr>
        <w:t>-COP</w:t>
      </w:r>
      <w:r w:rsidR="00BE0675">
        <w:rPr>
          <w:noProof/>
        </w:rPr>
        <w:t xml:space="preserve">, this work </w:t>
      </w:r>
      <w:r w:rsidR="00DC0FDD">
        <w:rPr>
          <w:noProof/>
        </w:rPr>
        <w:t>was</w:t>
      </w:r>
      <w:r w:rsidR="00BE0675">
        <w:rPr>
          <w:noProof/>
        </w:rPr>
        <w:t xml:space="preserve"> proposed to start </w:t>
      </w:r>
      <w:r w:rsidR="001F07A0">
        <w:rPr>
          <w:noProof/>
        </w:rPr>
        <w:t>on 29</w:t>
      </w:r>
      <w:r w:rsidR="00BE0675">
        <w:rPr>
          <w:noProof/>
        </w:rPr>
        <w:t xml:space="preserve"> </w:t>
      </w:r>
      <w:r w:rsidR="00DC0FDD">
        <w:rPr>
          <w:noProof/>
        </w:rPr>
        <w:t xml:space="preserve">May </w:t>
      </w:r>
      <w:r w:rsidR="00BE0675">
        <w:rPr>
          <w:noProof/>
        </w:rPr>
        <w:t xml:space="preserve">2024 </w:t>
      </w:r>
      <w:r w:rsidR="00E56E79">
        <w:rPr>
          <w:noProof/>
        </w:rPr>
        <w:t xml:space="preserve">and is expected </w:t>
      </w:r>
      <w:r w:rsidR="005A3171">
        <w:rPr>
          <w:noProof/>
        </w:rPr>
        <w:t>to</w:t>
      </w:r>
      <w:r w:rsidR="00BE0675">
        <w:rPr>
          <w:noProof/>
        </w:rPr>
        <w:t xml:space="preserve"> </w:t>
      </w:r>
      <w:r w:rsidR="00E56E79">
        <w:rPr>
          <w:noProof/>
        </w:rPr>
        <w:t xml:space="preserve">be </w:t>
      </w:r>
      <w:r w:rsidR="00BE0675">
        <w:rPr>
          <w:noProof/>
        </w:rPr>
        <w:t xml:space="preserve">completed by the end of 2025. </w:t>
      </w:r>
    </w:p>
    <w:p w14:paraId="5CCD5D8B" w14:textId="77777777" w:rsidR="0035683F" w:rsidRPr="0098626E" w:rsidRDefault="00C3446C" w:rsidP="00F93A78">
      <w:pPr>
        <w:rPr>
          <w:b/>
          <w:bCs/>
          <w:noProof/>
          <w:szCs w:val="24"/>
          <w:lang w:val="en-IE"/>
        </w:rPr>
      </w:pPr>
      <w:r>
        <w:rPr>
          <w:b/>
          <w:bCs/>
          <w:noProof/>
          <w:szCs w:val="24"/>
          <w:lang w:val="en-IE"/>
        </w:rPr>
        <w:t>Specific o</w:t>
      </w:r>
      <w:r w:rsidR="0035683F" w:rsidRPr="0098626E">
        <w:rPr>
          <w:b/>
          <w:bCs/>
          <w:noProof/>
          <w:szCs w:val="24"/>
          <w:lang w:val="en-IE"/>
        </w:rPr>
        <w:t xml:space="preserve">bjectives of the recommendation </w:t>
      </w:r>
    </w:p>
    <w:p w14:paraId="55196404" w14:textId="529F27BB" w:rsidR="00BF6F5F" w:rsidRPr="00F93A78" w:rsidRDefault="0035683F" w:rsidP="00F93A78">
      <w:pPr>
        <w:rPr>
          <w:noProof/>
        </w:rPr>
      </w:pPr>
      <w:r>
        <w:rPr>
          <w:noProof/>
        </w:rPr>
        <w:t xml:space="preserve">This recommendation is submitted to the Council in order </w:t>
      </w:r>
      <w:r w:rsidR="00505C10">
        <w:rPr>
          <w:noProof/>
        </w:rPr>
        <w:t xml:space="preserve">for the Commission </w:t>
      </w:r>
      <w:r>
        <w:rPr>
          <w:noProof/>
        </w:rPr>
        <w:t xml:space="preserve">to receive authorisation to </w:t>
      </w:r>
      <w:r w:rsidR="00B777A5">
        <w:rPr>
          <w:noProof/>
        </w:rPr>
        <w:t>negotiate,</w:t>
      </w:r>
      <w:r>
        <w:rPr>
          <w:noProof/>
        </w:rPr>
        <w:t xml:space="preserve"> on behalf of the European Union</w:t>
      </w:r>
      <w:r w:rsidR="00B777A5">
        <w:rPr>
          <w:noProof/>
        </w:rPr>
        <w:t>,</w:t>
      </w:r>
      <w:r>
        <w:rPr>
          <w:noProof/>
        </w:rPr>
        <w:t xml:space="preserve"> an Additional Protocol to the Convention, to adopt negotiating directives and to appoint the Commission as negotiator, pursuant to Article 218 TFEU.</w:t>
      </w:r>
    </w:p>
    <w:p w14:paraId="4A1ECB57" w14:textId="760BC2E3" w:rsidR="00612CF4" w:rsidRPr="00CB76AF" w:rsidRDefault="00612CF4" w:rsidP="00F93A78">
      <w:pPr>
        <w:rPr>
          <w:rFonts w:eastAsia="Times New Roman"/>
          <w:noProof/>
          <w:color w:val="000000"/>
          <w:lang w:val="en-IE" w:eastAsia="en-IE"/>
        </w:rPr>
      </w:pPr>
      <w:r w:rsidRPr="0CB33917">
        <w:rPr>
          <w:rFonts w:eastAsia="Times New Roman"/>
          <w:noProof/>
          <w:lang w:val="en-IE" w:eastAsia="en-GB"/>
        </w:rPr>
        <w:t xml:space="preserve">The European </w:t>
      </w:r>
      <w:r w:rsidRPr="0CB33917">
        <w:rPr>
          <w:rFonts w:eastAsia="Times New Roman"/>
          <w:noProof/>
          <w:color w:val="000000"/>
          <w:lang w:val="en-IE" w:eastAsia="en-IE"/>
        </w:rPr>
        <w:t xml:space="preserve">Union is a </w:t>
      </w:r>
      <w:r w:rsidR="00272416" w:rsidRPr="0CB33917">
        <w:rPr>
          <w:rFonts w:eastAsia="Times New Roman"/>
          <w:noProof/>
          <w:color w:val="000000"/>
          <w:lang w:val="en-IE" w:eastAsia="en-IE"/>
        </w:rPr>
        <w:t xml:space="preserve">signatory </w:t>
      </w:r>
      <w:r w:rsidRPr="0CB33917">
        <w:rPr>
          <w:rFonts w:eastAsia="Times New Roman"/>
          <w:noProof/>
          <w:color w:val="000000"/>
          <w:lang w:val="en-IE" w:eastAsia="en-IE"/>
        </w:rPr>
        <w:t xml:space="preserve">to </w:t>
      </w:r>
      <w:r w:rsidR="00890157">
        <w:rPr>
          <w:rFonts w:eastAsia="Times New Roman"/>
          <w:noProof/>
          <w:color w:val="000000"/>
          <w:lang w:val="en-IE" w:eastAsia="en-IE"/>
        </w:rPr>
        <w:t xml:space="preserve">the Warsaw </w:t>
      </w:r>
      <w:r w:rsidRPr="0CB33917">
        <w:rPr>
          <w:rFonts w:eastAsia="Times New Roman"/>
          <w:noProof/>
          <w:color w:val="000000"/>
          <w:lang w:val="en-IE" w:eastAsia="en-IE"/>
        </w:rPr>
        <w:t>Convention</w:t>
      </w:r>
      <w:r w:rsidR="0073033A">
        <w:rPr>
          <w:rFonts w:eastAsia="Times New Roman"/>
          <w:noProof/>
          <w:color w:val="000000"/>
          <w:lang w:val="en-IE" w:eastAsia="en-IE"/>
        </w:rPr>
        <w:t xml:space="preserve">. As regards the subject matters to be covered by the envisioned </w:t>
      </w:r>
      <w:r w:rsidR="004C5EC9">
        <w:rPr>
          <w:rFonts w:eastAsia="Times New Roman"/>
          <w:noProof/>
          <w:color w:val="000000"/>
          <w:lang w:val="en-IE" w:eastAsia="en-IE"/>
        </w:rPr>
        <w:t>P</w:t>
      </w:r>
      <w:r w:rsidR="0073033A">
        <w:rPr>
          <w:rFonts w:eastAsia="Times New Roman"/>
          <w:noProof/>
          <w:color w:val="000000"/>
          <w:lang w:val="en-IE" w:eastAsia="en-IE"/>
        </w:rPr>
        <w:t>rotocol, i.e., the field of asset recovery, the EU</w:t>
      </w:r>
      <w:r w:rsidR="0073033A" w:rsidRPr="0CB33917">
        <w:rPr>
          <w:rFonts w:eastAsia="Times New Roman"/>
          <w:noProof/>
          <w:color w:val="000000"/>
          <w:lang w:val="en-IE" w:eastAsia="en-IE"/>
        </w:rPr>
        <w:t xml:space="preserve"> </w:t>
      </w:r>
      <w:r w:rsidRPr="0CB33917">
        <w:rPr>
          <w:rFonts w:eastAsia="Times New Roman"/>
          <w:noProof/>
          <w:color w:val="000000"/>
          <w:lang w:val="en-IE" w:eastAsia="en-IE"/>
        </w:rPr>
        <w:t xml:space="preserve">has exercised its competence </w:t>
      </w:r>
      <w:r w:rsidR="00BF6F5F" w:rsidRPr="0CB33917">
        <w:rPr>
          <w:rFonts w:eastAsia="Times New Roman"/>
          <w:noProof/>
          <w:color w:val="000000"/>
          <w:lang w:val="en-IE" w:eastAsia="en-IE"/>
        </w:rPr>
        <w:t xml:space="preserve">by adopting common rules based on Articles 82(1), 83(1) and (2), 87(2) </w:t>
      </w:r>
      <w:r w:rsidR="00F35FDC" w:rsidRPr="0056390D">
        <w:rPr>
          <w:noProof/>
          <w:szCs w:val="24"/>
          <w:lang w:val="en-IE"/>
        </w:rPr>
        <w:t>of the Treaty on the Functioning of the European Union (</w:t>
      </w:r>
      <w:r w:rsidR="00F35FDC">
        <w:rPr>
          <w:noProof/>
          <w:szCs w:val="24"/>
          <w:lang w:val="en-IE"/>
        </w:rPr>
        <w:t>‘</w:t>
      </w:r>
      <w:r w:rsidR="00F35FDC" w:rsidRPr="0056390D">
        <w:rPr>
          <w:noProof/>
          <w:szCs w:val="24"/>
          <w:lang w:val="en-IE"/>
        </w:rPr>
        <w:t>TFEU</w:t>
      </w:r>
      <w:r w:rsidR="00F35FDC">
        <w:rPr>
          <w:noProof/>
          <w:szCs w:val="24"/>
          <w:lang w:val="en-IE"/>
        </w:rPr>
        <w:t>’</w:t>
      </w:r>
      <w:r w:rsidR="00F35FDC" w:rsidRPr="0056390D">
        <w:rPr>
          <w:noProof/>
          <w:szCs w:val="24"/>
          <w:lang w:val="en-IE"/>
        </w:rPr>
        <w:t>)</w:t>
      </w:r>
      <w:r w:rsidR="00505C10" w:rsidRPr="0CB33917">
        <w:rPr>
          <w:rFonts w:eastAsia="Times New Roman"/>
          <w:noProof/>
          <w:color w:val="000000" w:themeColor="text1"/>
          <w:lang w:val="en-IE" w:eastAsia="en-IE"/>
        </w:rPr>
        <w:t xml:space="preserve"> </w:t>
      </w:r>
      <w:r w:rsidR="002A7FF4">
        <w:rPr>
          <w:rFonts w:eastAsia="Times New Roman"/>
          <w:noProof/>
          <w:color w:val="000000"/>
          <w:lang w:val="en-IE" w:eastAsia="en-IE"/>
        </w:rPr>
        <w:t>through</w:t>
      </w:r>
      <w:r w:rsidR="002A7FF4" w:rsidRPr="0CB33917">
        <w:rPr>
          <w:rFonts w:eastAsia="Times New Roman"/>
          <w:noProof/>
          <w:color w:val="000000"/>
          <w:lang w:val="en-IE" w:eastAsia="en-IE"/>
        </w:rPr>
        <w:t xml:space="preserve"> </w:t>
      </w:r>
      <w:r w:rsidR="00E524DE">
        <w:rPr>
          <w:rFonts w:eastAsia="Times New Roman"/>
          <w:noProof/>
          <w:color w:val="000000"/>
          <w:lang w:val="en-IE" w:eastAsia="en-IE"/>
        </w:rPr>
        <w:t>in partic</w:t>
      </w:r>
      <w:r w:rsidR="001F4F47">
        <w:rPr>
          <w:rFonts w:eastAsia="Times New Roman"/>
          <w:noProof/>
          <w:color w:val="000000"/>
          <w:lang w:val="en-IE" w:eastAsia="en-IE"/>
        </w:rPr>
        <w:t>u</w:t>
      </w:r>
      <w:r w:rsidR="00E524DE">
        <w:rPr>
          <w:rFonts w:eastAsia="Times New Roman"/>
          <w:noProof/>
          <w:color w:val="000000"/>
          <w:lang w:val="en-IE" w:eastAsia="en-IE"/>
        </w:rPr>
        <w:t xml:space="preserve">lar </w:t>
      </w:r>
      <w:r w:rsidR="00A10E60" w:rsidRPr="0CB33917">
        <w:rPr>
          <w:rFonts w:eastAsia="Times New Roman"/>
          <w:noProof/>
          <w:color w:val="000000"/>
          <w:lang w:val="en-IE" w:eastAsia="en-IE"/>
        </w:rPr>
        <w:t>Regulation (EU) 2018/</w:t>
      </w:r>
      <w:r w:rsidR="00BF6F5F" w:rsidRPr="0CB33917">
        <w:rPr>
          <w:rFonts w:eastAsia="Times New Roman"/>
          <w:noProof/>
          <w:color w:val="000000"/>
          <w:lang w:val="en-IE" w:eastAsia="en-IE"/>
        </w:rPr>
        <w:t>1805</w:t>
      </w:r>
      <w:r w:rsidR="0088216C" w:rsidRPr="0CB33917">
        <w:rPr>
          <w:rFonts w:eastAsia="Times New Roman"/>
          <w:noProof/>
          <w:color w:val="000000"/>
          <w:lang w:val="en-IE" w:eastAsia="en-IE"/>
        </w:rPr>
        <w:t xml:space="preserve"> of the European Parliament and of the Council</w:t>
      </w:r>
      <w:r w:rsidR="001B5BF9" w:rsidRPr="0CB33917">
        <w:rPr>
          <w:rStyle w:val="FootnoteReference"/>
          <w:rFonts w:eastAsia="Times New Roman"/>
          <w:noProof/>
          <w:color w:val="000000"/>
          <w:lang w:val="en-IE" w:eastAsia="en-IE"/>
        </w:rPr>
        <w:footnoteReference w:id="9"/>
      </w:r>
      <w:r w:rsidR="00A10E60" w:rsidRPr="0CB33917">
        <w:rPr>
          <w:rFonts w:eastAsia="Times New Roman"/>
          <w:noProof/>
          <w:color w:val="000000"/>
          <w:lang w:val="en-IE" w:eastAsia="en-IE"/>
        </w:rPr>
        <w:t xml:space="preserve"> and the new Directive on asset recovery and confiscation</w:t>
      </w:r>
      <w:r w:rsidR="0035494C">
        <w:rPr>
          <w:rStyle w:val="FootnoteReference"/>
          <w:rFonts w:eastAsia="Times New Roman"/>
          <w:noProof/>
          <w:color w:val="000000"/>
          <w:lang w:val="en-IE" w:eastAsia="en-IE"/>
        </w:rPr>
        <w:footnoteReference w:id="10"/>
      </w:r>
      <w:r w:rsidR="00E56E79">
        <w:rPr>
          <w:noProof/>
          <w:lang w:val="en-US"/>
        </w:rPr>
        <w:t>.</w:t>
      </w:r>
      <w:r w:rsidRPr="0CB33917">
        <w:rPr>
          <w:rFonts w:eastAsia="Times New Roman"/>
          <w:noProof/>
          <w:color w:val="000000"/>
          <w:lang w:val="en-IE" w:eastAsia="en-IE"/>
        </w:rPr>
        <w:t xml:space="preserve"> </w:t>
      </w:r>
    </w:p>
    <w:p w14:paraId="2BF0BBDC" w14:textId="31A4F040" w:rsidR="00612CF4" w:rsidRPr="00CB76AF" w:rsidRDefault="00612CF4" w:rsidP="00F93A78">
      <w:pPr>
        <w:pStyle w:val="paragraph"/>
        <w:spacing w:before="120" w:beforeAutospacing="0" w:after="120" w:afterAutospacing="0"/>
        <w:jc w:val="both"/>
        <w:textAlignment w:val="baseline"/>
        <w:rPr>
          <w:rStyle w:val="eop"/>
          <w:noProof/>
        </w:rPr>
      </w:pPr>
      <w:r w:rsidRPr="00CB76AF">
        <w:rPr>
          <w:noProof/>
          <w:lang w:eastAsia="en-GB"/>
        </w:rPr>
        <w:t xml:space="preserve">The aim of the Union </w:t>
      </w:r>
      <w:r w:rsidRPr="00CB76AF">
        <w:rPr>
          <w:rStyle w:val="normaltextrun"/>
          <w:noProof/>
        </w:rPr>
        <w:t xml:space="preserve">in the negotiations </w:t>
      </w:r>
      <w:r>
        <w:rPr>
          <w:rStyle w:val="normaltextrun"/>
          <w:noProof/>
        </w:rPr>
        <w:t xml:space="preserve">should </w:t>
      </w:r>
      <w:r w:rsidRPr="00CB76AF">
        <w:rPr>
          <w:rStyle w:val="normaltextrun"/>
          <w:noProof/>
        </w:rPr>
        <w:t>be</w:t>
      </w:r>
      <w:r w:rsidR="002A7FF4">
        <w:rPr>
          <w:rStyle w:val="normaltextrun"/>
          <w:noProof/>
        </w:rPr>
        <w:t xml:space="preserve"> to ensure the effective recovery of criminal assets by </w:t>
      </w:r>
      <w:r w:rsidR="00E30A51">
        <w:rPr>
          <w:rStyle w:val="normaltextrun"/>
          <w:noProof/>
        </w:rPr>
        <w:t>parties to the Convention</w:t>
      </w:r>
      <w:r w:rsidR="002A7FF4">
        <w:rPr>
          <w:rStyle w:val="normaltextrun"/>
          <w:noProof/>
        </w:rPr>
        <w:t xml:space="preserve"> and to promote cross-border cooperation in the </w:t>
      </w:r>
      <w:r w:rsidR="002A7FF4">
        <w:rPr>
          <w:rStyle w:val="normaltextrun"/>
          <w:noProof/>
        </w:rPr>
        <w:lastRenderedPageBreak/>
        <w:t>area of asset recovery,</w:t>
      </w:r>
      <w:r w:rsidRPr="00CB76AF">
        <w:rPr>
          <w:rStyle w:val="normaltextrun"/>
          <w:noProof/>
        </w:rPr>
        <w:t xml:space="preserve"> to avoid any discrepancies </w:t>
      </w:r>
      <w:r w:rsidR="0050209C">
        <w:rPr>
          <w:rStyle w:val="normaltextrun"/>
          <w:noProof/>
        </w:rPr>
        <w:t>with Union legislation and to ensure that</w:t>
      </w:r>
      <w:r w:rsidR="00BF477F">
        <w:rPr>
          <w:rStyle w:val="normaltextrun"/>
          <w:noProof/>
        </w:rPr>
        <w:t xml:space="preserve"> the matters regulated in the </w:t>
      </w:r>
      <w:r w:rsidR="00E81BAF">
        <w:rPr>
          <w:rStyle w:val="normaltextrun"/>
          <w:noProof/>
        </w:rPr>
        <w:t>P</w:t>
      </w:r>
      <w:r w:rsidR="00BF477F">
        <w:rPr>
          <w:rStyle w:val="normaltextrun"/>
          <w:noProof/>
        </w:rPr>
        <w:t>rotocol</w:t>
      </w:r>
      <w:r w:rsidRPr="00CB76AF">
        <w:rPr>
          <w:rStyle w:val="normaltextrun"/>
          <w:noProof/>
        </w:rPr>
        <w:t xml:space="preserve"> at Council of Europe level </w:t>
      </w:r>
      <w:r w:rsidR="0050209C">
        <w:rPr>
          <w:rStyle w:val="normaltextrun"/>
          <w:noProof/>
        </w:rPr>
        <w:t>are</w:t>
      </w:r>
      <w:r w:rsidR="00DE74D5">
        <w:rPr>
          <w:rStyle w:val="normaltextrun"/>
          <w:noProof/>
        </w:rPr>
        <w:t xml:space="preserve"> compatible </w:t>
      </w:r>
      <w:r w:rsidRPr="00CB76AF">
        <w:rPr>
          <w:rStyle w:val="normaltextrun"/>
          <w:noProof/>
        </w:rPr>
        <w:t xml:space="preserve">with </w:t>
      </w:r>
      <w:r w:rsidR="00BF477F">
        <w:rPr>
          <w:rStyle w:val="normaltextrun"/>
          <w:noProof/>
        </w:rPr>
        <w:t>the rules</w:t>
      </w:r>
      <w:r w:rsidRPr="00CB76AF">
        <w:rPr>
          <w:rStyle w:val="normaltextrun"/>
          <w:noProof/>
        </w:rPr>
        <w:t xml:space="preserve"> </w:t>
      </w:r>
      <w:r w:rsidRPr="00CB76AF">
        <w:rPr>
          <w:noProof/>
          <w:lang w:eastAsia="en-GB"/>
        </w:rPr>
        <w:t xml:space="preserve">laid down </w:t>
      </w:r>
      <w:r w:rsidR="0050209C">
        <w:rPr>
          <w:noProof/>
          <w:lang w:eastAsia="en-GB"/>
        </w:rPr>
        <w:t xml:space="preserve">in </w:t>
      </w:r>
      <w:r w:rsidR="00BF477F">
        <w:rPr>
          <w:noProof/>
          <w:lang w:eastAsia="en-GB"/>
        </w:rPr>
        <w:t xml:space="preserve">the </w:t>
      </w:r>
      <w:r w:rsidR="0050209C" w:rsidRPr="00213A36">
        <w:rPr>
          <w:noProof/>
          <w:lang w:eastAsia="en-GB"/>
        </w:rPr>
        <w:t>Union’s</w:t>
      </w:r>
      <w:r w:rsidR="0050209C">
        <w:rPr>
          <w:noProof/>
          <w:lang w:eastAsia="en-GB"/>
        </w:rPr>
        <w:t xml:space="preserve"> </w:t>
      </w:r>
      <w:r w:rsidR="002A7FF4">
        <w:rPr>
          <w:i/>
          <w:iCs/>
          <w:noProof/>
          <w:lang w:eastAsia="en-GB"/>
        </w:rPr>
        <w:t>acquis</w:t>
      </w:r>
      <w:r w:rsidR="00BF477F">
        <w:rPr>
          <w:noProof/>
          <w:lang w:eastAsia="en-GB"/>
        </w:rPr>
        <w:t xml:space="preserve"> on asset recovery </w:t>
      </w:r>
      <w:r w:rsidR="00E30A51">
        <w:rPr>
          <w:noProof/>
          <w:lang w:eastAsia="en-GB"/>
        </w:rPr>
        <w:t>and the new Directive on asset recovery and confiscation</w:t>
      </w:r>
      <w:r w:rsidRPr="00CB76AF">
        <w:rPr>
          <w:rStyle w:val="normaltextrun"/>
          <w:noProof/>
        </w:rPr>
        <w:t>.</w:t>
      </w:r>
    </w:p>
    <w:p w14:paraId="02719DDC" w14:textId="1FA19ACC" w:rsidR="00FC3CCC" w:rsidRPr="00F93A78" w:rsidRDefault="00612CF4" w:rsidP="00F93A78">
      <w:pPr>
        <w:pStyle w:val="paragraph"/>
        <w:spacing w:before="120" w:beforeAutospacing="0" w:after="240" w:afterAutospacing="0"/>
        <w:jc w:val="both"/>
        <w:textAlignment w:val="baseline"/>
        <w:rPr>
          <w:noProof/>
        </w:rPr>
      </w:pPr>
      <w:r w:rsidRPr="0CB33917">
        <w:rPr>
          <w:rStyle w:val="eop"/>
          <w:noProof/>
        </w:rPr>
        <w:t xml:space="preserve">The successful outcome of the negotiations </w:t>
      </w:r>
      <w:r w:rsidR="0073033A">
        <w:rPr>
          <w:rStyle w:val="eop"/>
          <w:noProof/>
        </w:rPr>
        <w:t>is expected to</w:t>
      </w:r>
      <w:r w:rsidR="0073033A" w:rsidRPr="0CB33917">
        <w:rPr>
          <w:rStyle w:val="eop"/>
          <w:noProof/>
        </w:rPr>
        <w:t xml:space="preserve"> </w:t>
      </w:r>
      <w:r w:rsidRPr="0CB33917">
        <w:rPr>
          <w:rStyle w:val="eop"/>
          <w:noProof/>
        </w:rPr>
        <w:t>lead to</w:t>
      </w:r>
      <w:r w:rsidR="00BF477F" w:rsidRPr="0CB33917">
        <w:rPr>
          <w:rStyle w:val="eop"/>
          <w:noProof/>
        </w:rPr>
        <w:t xml:space="preserve"> clearer rules on</w:t>
      </w:r>
      <w:r w:rsidRPr="0CB33917">
        <w:rPr>
          <w:rStyle w:val="eop"/>
          <w:noProof/>
        </w:rPr>
        <w:t xml:space="preserve"> </w:t>
      </w:r>
      <w:r w:rsidR="00CF5A51" w:rsidRPr="0CB33917">
        <w:rPr>
          <w:rStyle w:val="eop"/>
          <w:noProof/>
        </w:rPr>
        <w:t xml:space="preserve">asset recovery </w:t>
      </w:r>
      <w:r w:rsidR="3A39BD26" w:rsidRPr="0CB33917">
        <w:rPr>
          <w:rStyle w:val="eop"/>
          <w:noProof/>
        </w:rPr>
        <w:t>among Members States of the Council of Europe</w:t>
      </w:r>
      <w:r w:rsidR="00CF5A51" w:rsidRPr="0CB33917">
        <w:rPr>
          <w:rStyle w:val="eop"/>
          <w:noProof/>
        </w:rPr>
        <w:t>.</w:t>
      </w:r>
    </w:p>
    <w:p w14:paraId="5BC1A662" w14:textId="77777777" w:rsidR="00117080" w:rsidRDefault="00117080">
      <w:pPr>
        <w:pStyle w:val="ManualHeading2"/>
        <w:rPr>
          <w:rFonts w:eastAsia="Arial Unicode MS"/>
          <w:noProof/>
        </w:rPr>
      </w:pPr>
      <w:r w:rsidRPr="00044058">
        <w:rPr>
          <w:rFonts w:eastAsia="Arial Unicode MS"/>
          <w:noProof/>
        </w:rPr>
        <w:t xml:space="preserve">Consistency with </w:t>
      </w:r>
      <w:r w:rsidR="00C3446C">
        <w:rPr>
          <w:rFonts w:eastAsia="Arial Unicode MS"/>
          <w:noProof/>
        </w:rPr>
        <w:t>existing</w:t>
      </w:r>
      <w:r w:rsidRPr="00044058">
        <w:rPr>
          <w:rFonts w:eastAsia="Arial Unicode MS"/>
          <w:noProof/>
        </w:rPr>
        <w:t xml:space="preserve"> provisions in the</w:t>
      </w:r>
      <w:r>
        <w:rPr>
          <w:rFonts w:eastAsia="Arial Unicode MS"/>
          <w:noProof/>
        </w:rPr>
        <w:t xml:space="preserve"> </w:t>
      </w:r>
      <w:r w:rsidRPr="002D5EE2">
        <w:rPr>
          <w:rFonts w:eastAsia="Arial Unicode MS"/>
          <w:noProof/>
        </w:rPr>
        <w:t>policy area</w:t>
      </w:r>
    </w:p>
    <w:p w14:paraId="2F18F6EA" w14:textId="77777777" w:rsidR="00870DF4" w:rsidRDefault="00AE541B" w:rsidP="00AE541B">
      <w:pPr>
        <w:rPr>
          <w:noProof/>
          <w:szCs w:val="24"/>
          <w:lang w:val="en-IE"/>
        </w:rPr>
      </w:pPr>
      <w:r w:rsidRPr="00CB76AF">
        <w:rPr>
          <w:noProof/>
          <w:szCs w:val="24"/>
          <w:lang w:val="en-IE"/>
        </w:rPr>
        <w:t xml:space="preserve">The negotiations on </w:t>
      </w:r>
      <w:r w:rsidR="00870DF4">
        <w:rPr>
          <w:noProof/>
          <w:szCs w:val="24"/>
          <w:lang w:val="en-IE"/>
        </w:rPr>
        <w:t xml:space="preserve">a new </w:t>
      </w:r>
      <w:r w:rsidR="00E81BAF">
        <w:rPr>
          <w:noProof/>
          <w:szCs w:val="24"/>
          <w:lang w:val="en-IE"/>
        </w:rPr>
        <w:t>P</w:t>
      </w:r>
      <w:r w:rsidR="00870DF4">
        <w:rPr>
          <w:noProof/>
          <w:szCs w:val="24"/>
          <w:lang w:val="en-IE"/>
        </w:rPr>
        <w:t xml:space="preserve">rotocol to </w:t>
      </w:r>
      <w:r w:rsidR="00890157">
        <w:rPr>
          <w:noProof/>
          <w:szCs w:val="24"/>
          <w:lang w:val="en-IE"/>
        </w:rPr>
        <w:t>the Warsaw</w:t>
      </w:r>
      <w:r w:rsidR="00870DF4">
        <w:rPr>
          <w:noProof/>
          <w:szCs w:val="24"/>
          <w:lang w:val="en-IE"/>
        </w:rPr>
        <w:t xml:space="preserve"> </w:t>
      </w:r>
      <w:r w:rsidRPr="00CB76AF">
        <w:rPr>
          <w:noProof/>
          <w:szCs w:val="24"/>
          <w:lang w:val="en-IE"/>
        </w:rPr>
        <w:t xml:space="preserve">Convention directly relate to common EU rules </w:t>
      </w:r>
      <w:r w:rsidR="00870DF4">
        <w:rPr>
          <w:noProof/>
          <w:szCs w:val="24"/>
          <w:lang w:val="en-IE"/>
        </w:rPr>
        <w:t>on asset recovery</w:t>
      </w:r>
      <w:r w:rsidRPr="00CB76AF">
        <w:rPr>
          <w:noProof/>
          <w:szCs w:val="24"/>
          <w:lang w:val="en-IE"/>
        </w:rPr>
        <w:t xml:space="preserve">. </w:t>
      </w:r>
    </w:p>
    <w:p w14:paraId="6BC53C68" w14:textId="588F2541" w:rsidR="005B11F0" w:rsidRDefault="00E524DE" w:rsidP="0050209C">
      <w:pPr>
        <w:rPr>
          <w:noProof/>
        </w:rPr>
      </w:pPr>
      <w:r>
        <w:rPr>
          <w:noProof/>
        </w:rPr>
        <w:t>The new Directive on asset recovery</w:t>
      </w:r>
      <w:r w:rsidR="001B6071">
        <w:rPr>
          <w:noProof/>
        </w:rPr>
        <w:t xml:space="preserve"> </w:t>
      </w:r>
      <w:r w:rsidR="005B11F0">
        <w:rPr>
          <w:noProof/>
        </w:rPr>
        <w:t xml:space="preserve">provides for </w:t>
      </w:r>
      <w:r w:rsidR="002A7FF4">
        <w:rPr>
          <w:noProof/>
        </w:rPr>
        <w:t xml:space="preserve">standard forms of confiscation, including </w:t>
      </w:r>
      <w:r w:rsidR="005B11F0">
        <w:rPr>
          <w:noProof/>
        </w:rPr>
        <w:t xml:space="preserve">rules on extended confiscation. Furthermore, the </w:t>
      </w:r>
      <w:r>
        <w:rPr>
          <w:noProof/>
        </w:rPr>
        <w:t xml:space="preserve">new </w:t>
      </w:r>
      <w:r w:rsidR="005B11F0">
        <w:rPr>
          <w:noProof/>
        </w:rPr>
        <w:t xml:space="preserve">Directive provides for non-conviction-based confiscation </w:t>
      </w:r>
      <w:r>
        <w:rPr>
          <w:noProof/>
        </w:rPr>
        <w:t>in</w:t>
      </w:r>
      <w:r w:rsidR="005B11F0">
        <w:rPr>
          <w:noProof/>
        </w:rPr>
        <w:t xml:space="preserve"> specific circumstances. The new Directive also provides for the confiscation of unexplained wealth where a conviction is not </w:t>
      </w:r>
      <w:r w:rsidR="00917928">
        <w:rPr>
          <w:noProof/>
        </w:rPr>
        <w:t>possible,</w:t>
      </w:r>
      <w:r w:rsidR="005B11F0">
        <w:rPr>
          <w:noProof/>
        </w:rPr>
        <w:t xml:space="preserve"> but the </w:t>
      </w:r>
      <w:r w:rsidR="002A7FF4">
        <w:rPr>
          <w:noProof/>
        </w:rPr>
        <w:t xml:space="preserve">court </w:t>
      </w:r>
      <w:r w:rsidR="005B11F0">
        <w:rPr>
          <w:noProof/>
        </w:rPr>
        <w:t xml:space="preserve">is satisfied that the property to be confiscated stems from criminal offences. On asset management, rules on the establishment of asset management offices and the possibility to sell frozen property before the confiscation are </w:t>
      </w:r>
      <w:r w:rsidR="00C900DC">
        <w:rPr>
          <w:noProof/>
        </w:rPr>
        <w:t>set</w:t>
      </w:r>
      <w:r w:rsidR="005B11F0">
        <w:rPr>
          <w:noProof/>
        </w:rPr>
        <w:t xml:space="preserve"> </w:t>
      </w:r>
      <w:r w:rsidR="00C900DC">
        <w:rPr>
          <w:noProof/>
        </w:rPr>
        <w:t xml:space="preserve">out in </w:t>
      </w:r>
      <w:r w:rsidR="005B11F0">
        <w:rPr>
          <w:noProof/>
        </w:rPr>
        <w:t xml:space="preserve">the new Directive on asset recovery and confiscation. </w:t>
      </w:r>
      <w:r w:rsidR="00C23F03" w:rsidRPr="00C23F03">
        <w:rPr>
          <w:noProof/>
        </w:rPr>
        <w:t>Joint Action 98/699/JHA</w:t>
      </w:r>
      <w:r w:rsidR="00C23F03">
        <w:rPr>
          <w:rStyle w:val="FootnoteReference"/>
          <w:noProof/>
        </w:rPr>
        <w:footnoteReference w:id="11"/>
      </w:r>
      <w:r w:rsidR="00C23F03" w:rsidRPr="00C23F03">
        <w:rPr>
          <w:noProof/>
        </w:rPr>
        <w:t>, point (a) of Article 1 and Articles 3 and 4 of Framework Decision 2001/500/JHA</w:t>
      </w:r>
      <w:r w:rsidR="00C23F03">
        <w:rPr>
          <w:rStyle w:val="FootnoteReference"/>
          <w:noProof/>
        </w:rPr>
        <w:footnoteReference w:id="12"/>
      </w:r>
      <w:r w:rsidR="00C23F03" w:rsidRPr="00C23F03">
        <w:rPr>
          <w:noProof/>
        </w:rPr>
        <w:t>, and the first four indents of Article 1 and Article 3 of Framework Decision 2005/212/JHA</w:t>
      </w:r>
      <w:r w:rsidR="00C23F03">
        <w:rPr>
          <w:rStyle w:val="FootnoteReference"/>
          <w:noProof/>
        </w:rPr>
        <w:footnoteReference w:id="13"/>
      </w:r>
      <w:r w:rsidR="00C23F03">
        <w:rPr>
          <w:noProof/>
        </w:rPr>
        <w:t>, remain in force as regards Denmark.</w:t>
      </w:r>
    </w:p>
    <w:p w14:paraId="08AB53FA" w14:textId="77777777" w:rsidR="00272416" w:rsidRDefault="005B11F0" w:rsidP="00AE541B">
      <w:pPr>
        <w:rPr>
          <w:noProof/>
        </w:rPr>
      </w:pPr>
      <w:r>
        <w:rPr>
          <w:noProof/>
        </w:rPr>
        <w:t xml:space="preserve">Regulation (EU) 2018/1805 </w:t>
      </w:r>
      <w:r w:rsidR="00A86CF8">
        <w:rPr>
          <w:noProof/>
        </w:rPr>
        <w:t>set</w:t>
      </w:r>
      <w:r w:rsidR="00236EBC">
        <w:rPr>
          <w:noProof/>
        </w:rPr>
        <w:t>s</w:t>
      </w:r>
      <w:r w:rsidR="00A86CF8">
        <w:rPr>
          <w:noProof/>
        </w:rPr>
        <w:t xml:space="preserve"> out </w:t>
      </w:r>
      <w:r>
        <w:rPr>
          <w:noProof/>
        </w:rPr>
        <w:t xml:space="preserve">rules </w:t>
      </w:r>
      <w:r w:rsidR="00A86CF8">
        <w:rPr>
          <w:noProof/>
        </w:rPr>
        <w:t>on</w:t>
      </w:r>
      <w:r>
        <w:rPr>
          <w:noProof/>
        </w:rPr>
        <w:t xml:space="preserve"> </w:t>
      </w:r>
      <w:r w:rsidR="00A86CF8">
        <w:rPr>
          <w:noProof/>
        </w:rPr>
        <w:t xml:space="preserve">judicial </w:t>
      </w:r>
      <w:r>
        <w:rPr>
          <w:noProof/>
        </w:rPr>
        <w:t xml:space="preserve">co-operation </w:t>
      </w:r>
      <w:r w:rsidR="00A86CF8">
        <w:rPr>
          <w:noProof/>
        </w:rPr>
        <w:t>between Member States for the purpose of the recognition and</w:t>
      </w:r>
      <w:r>
        <w:rPr>
          <w:noProof/>
        </w:rPr>
        <w:t xml:space="preserve"> execution of freezing and confiscation </w:t>
      </w:r>
      <w:r w:rsidR="00EC4F8D">
        <w:rPr>
          <w:noProof/>
        </w:rPr>
        <w:t>orders</w:t>
      </w:r>
      <w:r w:rsidR="00A86CF8">
        <w:rPr>
          <w:noProof/>
        </w:rPr>
        <w:t xml:space="preserve">. This </w:t>
      </w:r>
      <w:r w:rsidR="0035494C">
        <w:rPr>
          <w:noProof/>
        </w:rPr>
        <w:t>i</w:t>
      </w:r>
      <w:r>
        <w:rPr>
          <w:noProof/>
        </w:rPr>
        <w:t>nclud</w:t>
      </w:r>
      <w:r w:rsidR="00A86CF8">
        <w:rPr>
          <w:noProof/>
        </w:rPr>
        <w:t>es</w:t>
      </w:r>
      <w:r w:rsidR="002956C6">
        <w:rPr>
          <w:noProof/>
        </w:rPr>
        <w:t xml:space="preserve">, </w:t>
      </w:r>
      <w:r w:rsidR="002956C6" w:rsidRPr="00AD3FFC">
        <w:rPr>
          <w:i/>
          <w:iCs/>
          <w:noProof/>
        </w:rPr>
        <w:t>inter alia</w:t>
      </w:r>
      <w:r w:rsidR="002956C6">
        <w:rPr>
          <w:noProof/>
        </w:rPr>
        <w:t>,</w:t>
      </w:r>
      <w:r>
        <w:rPr>
          <w:noProof/>
        </w:rPr>
        <w:t xml:space="preserve"> rules on the transmission, recognition and procedure </w:t>
      </w:r>
      <w:r w:rsidR="00A86CF8">
        <w:rPr>
          <w:noProof/>
        </w:rPr>
        <w:t>for the</w:t>
      </w:r>
      <w:r>
        <w:rPr>
          <w:noProof/>
        </w:rPr>
        <w:t xml:space="preserve"> execution of freezing and confiscation orders, </w:t>
      </w:r>
      <w:r w:rsidR="002956C6">
        <w:rPr>
          <w:noProof/>
        </w:rPr>
        <w:t>the m</w:t>
      </w:r>
      <w:r w:rsidR="002956C6" w:rsidRPr="002956C6">
        <w:rPr>
          <w:noProof/>
        </w:rPr>
        <w:t>anagement and disposal of frozen and confiscated property</w:t>
      </w:r>
      <w:r w:rsidR="002956C6">
        <w:rPr>
          <w:noProof/>
        </w:rPr>
        <w:t xml:space="preserve"> (including </w:t>
      </w:r>
      <w:r w:rsidR="00917928">
        <w:rPr>
          <w:noProof/>
        </w:rPr>
        <w:t>interlocutory</w:t>
      </w:r>
      <w:r w:rsidR="002956C6">
        <w:rPr>
          <w:noProof/>
        </w:rPr>
        <w:t xml:space="preserve"> sales), restitution </w:t>
      </w:r>
      <w:r>
        <w:rPr>
          <w:noProof/>
        </w:rPr>
        <w:t>of property to victim</w:t>
      </w:r>
      <w:r w:rsidR="002956C6">
        <w:rPr>
          <w:noProof/>
        </w:rPr>
        <w:t>s</w:t>
      </w:r>
      <w:r>
        <w:rPr>
          <w:noProof/>
        </w:rPr>
        <w:t xml:space="preserve"> </w:t>
      </w:r>
      <w:r w:rsidR="002956C6">
        <w:rPr>
          <w:noProof/>
        </w:rPr>
        <w:t xml:space="preserve">as well as </w:t>
      </w:r>
      <w:r>
        <w:rPr>
          <w:noProof/>
        </w:rPr>
        <w:t>the disposal of confiscated property or money obtained after the sale of property</w:t>
      </w:r>
      <w:r w:rsidR="002956C6">
        <w:rPr>
          <w:noProof/>
        </w:rPr>
        <w:t>, including with a view to victim compensation and to regulating the sharing of assets between Member States</w:t>
      </w:r>
      <w:r>
        <w:rPr>
          <w:noProof/>
        </w:rPr>
        <w:t>. Moreover, the Regulation contains rules on the bearing and sharing of costs related to the execution of cross-border freezing</w:t>
      </w:r>
      <w:r w:rsidR="002956C6">
        <w:rPr>
          <w:noProof/>
        </w:rPr>
        <w:t xml:space="preserve"> </w:t>
      </w:r>
      <w:r w:rsidR="00EC4F8D">
        <w:rPr>
          <w:noProof/>
        </w:rPr>
        <w:t xml:space="preserve">orders </w:t>
      </w:r>
      <w:r w:rsidR="002956C6">
        <w:rPr>
          <w:noProof/>
        </w:rPr>
        <w:t>and on procedural rights of affected persons, including as regards notification obligations and legal remedies.</w:t>
      </w:r>
      <w:r w:rsidR="00887ABB">
        <w:rPr>
          <w:noProof/>
        </w:rPr>
        <w:t xml:space="preserve"> Regulation (EU) 2018/1805 replaced </w:t>
      </w:r>
      <w:r w:rsidR="00887ABB">
        <w:rPr>
          <w:noProof/>
          <w:lang w:val="en-IE" w:eastAsia="en-IE"/>
        </w:rPr>
        <w:t xml:space="preserve">Council </w:t>
      </w:r>
      <w:r w:rsidR="00887ABB" w:rsidRPr="00EC68CD">
        <w:rPr>
          <w:noProof/>
        </w:rPr>
        <w:t>Framework Decisions 2003/577/JHA</w:t>
      </w:r>
      <w:r w:rsidR="00887ABB">
        <w:rPr>
          <w:rStyle w:val="FootnoteReference"/>
          <w:noProof/>
        </w:rPr>
        <w:footnoteReference w:id="14"/>
      </w:r>
      <w:r w:rsidR="00887ABB" w:rsidRPr="00EC68CD">
        <w:rPr>
          <w:noProof/>
        </w:rPr>
        <w:t xml:space="preserve"> and 2006/783/JHA</w:t>
      </w:r>
      <w:r w:rsidR="00887ABB">
        <w:rPr>
          <w:rStyle w:val="FootnoteReference"/>
          <w:noProof/>
        </w:rPr>
        <w:footnoteReference w:id="15"/>
      </w:r>
      <w:r w:rsidR="000638BF">
        <w:rPr>
          <w:noProof/>
        </w:rPr>
        <w:t xml:space="preserve">, which remain in force as regards cooperation with </w:t>
      </w:r>
      <w:r w:rsidR="00236EBC">
        <w:rPr>
          <w:noProof/>
        </w:rPr>
        <w:t xml:space="preserve">Ireland </w:t>
      </w:r>
      <w:r w:rsidR="000638BF">
        <w:rPr>
          <w:noProof/>
        </w:rPr>
        <w:t xml:space="preserve">and </w:t>
      </w:r>
      <w:r w:rsidR="00236EBC">
        <w:rPr>
          <w:noProof/>
        </w:rPr>
        <w:t>Denmark</w:t>
      </w:r>
      <w:r w:rsidR="000638BF">
        <w:rPr>
          <w:noProof/>
        </w:rPr>
        <w:t xml:space="preserve">, who do not participate in Regulation (EU) 2018/1805. </w:t>
      </w:r>
    </w:p>
    <w:p w14:paraId="2FC14A67" w14:textId="77777777" w:rsidR="00540B2D" w:rsidRPr="00CB76AF" w:rsidRDefault="00540B2D" w:rsidP="00AE541B">
      <w:pPr>
        <w:rPr>
          <w:noProof/>
          <w:szCs w:val="24"/>
          <w:lang w:val="en-IE"/>
        </w:rPr>
      </w:pPr>
      <w:bookmarkStart w:id="2" w:name="_Hlk162272723"/>
      <w:r w:rsidRPr="00636D27">
        <w:rPr>
          <w:noProof/>
          <w:szCs w:val="24"/>
          <w:lang w:val="en-IE"/>
        </w:rPr>
        <w:t xml:space="preserve">In addition, the European Public Prosecutor’s Office (EPPO) is the Union body competent to investigate, prosecute and bring to judgment the perpetrators of, and accomplices to, criminal offences affecting the financial interests of the Union which are provided for in Directive </w:t>
      </w:r>
      <w:r w:rsidRPr="00636D27">
        <w:rPr>
          <w:noProof/>
          <w:szCs w:val="24"/>
          <w:lang w:val="en-IE"/>
        </w:rPr>
        <w:lastRenderedPageBreak/>
        <w:t>(EU) 2017/1371.</w:t>
      </w:r>
      <w:r w:rsidR="00E90B2B">
        <w:rPr>
          <w:rStyle w:val="FootnoteReference"/>
          <w:noProof/>
          <w:szCs w:val="24"/>
          <w:lang w:val="en-IE"/>
        </w:rPr>
        <w:footnoteReference w:id="16"/>
      </w:r>
      <w:r w:rsidRPr="00636D27">
        <w:rPr>
          <w:noProof/>
          <w:szCs w:val="24"/>
          <w:lang w:val="en-IE"/>
        </w:rPr>
        <w:t xml:space="preserve"> The EPPO should be entitled to order or request the freezing of instrumentalities or proceeds of crime, including assets, that are expected to be subject to confiscation by the trial court, where there is reason to believe that the owner, possessor or controller of those instrumentalities or proceeds will seek to frustrate the judgement ordering confiscation. To perform its tasks, the EPPO should be in a position to cooperate, including in the field of asset recovery, with the competent authorities Member States that do not participate in the EPPO – and it does so on the basis of, among others, Regulation (EU) 2018/1805 – as well as with the competent authorities of </w:t>
      </w:r>
      <w:r w:rsidR="00F35FDC">
        <w:rPr>
          <w:noProof/>
          <w:szCs w:val="24"/>
          <w:lang w:val="en-IE"/>
        </w:rPr>
        <w:t>non-EU</w:t>
      </w:r>
      <w:r w:rsidRPr="00636D27">
        <w:rPr>
          <w:noProof/>
          <w:szCs w:val="24"/>
          <w:lang w:val="en-IE"/>
        </w:rPr>
        <w:t xml:space="preserve"> countries.</w:t>
      </w:r>
    </w:p>
    <w:bookmarkEnd w:id="2"/>
    <w:p w14:paraId="25502E2E" w14:textId="77777777" w:rsidR="00FC3CCC" w:rsidRPr="007C2E0A" w:rsidRDefault="00AE541B" w:rsidP="00F93A78">
      <w:pPr>
        <w:spacing w:after="240"/>
        <w:rPr>
          <w:noProof/>
          <w:szCs w:val="24"/>
          <w:lang w:val="en-IE"/>
        </w:rPr>
      </w:pPr>
      <w:r w:rsidRPr="00CB76AF">
        <w:rPr>
          <w:noProof/>
          <w:szCs w:val="24"/>
          <w:lang w:val="en-IE"/>
        </w:rPr>
        <w:t xml:space="preserve">Given the </w:t>
      </w:r>
      <w:r w:rsidR="00731836">
        <w:rPr>
          <w:noProof/>
          <w:szCs w:val="24"/>
          <w:lang w:val="en-IE"/>
        </w:rPr>
        <w:t>Union</w:t>
      </w:r>
      <w:r w:rsidR="00731836" w:rsidRPr="00CB76AF">
        <w:rPr>
          <w:noProof/>
          <w:szCs w:val="24"/>
          <w:lang w:val="en-IE"/>
        </w:rPr>
        <w:t xml:space="preserve"> </w:t>
      </w:r>
      <w:r w:rsidRPr="00213A36">
        <w:rPr>
          <w:i/>
          <w:iCs/>
          <w:noProof/>
          <w:szCs w:val="24"/>
          <w:lang w:val="en-IE"/>
        </w:rPr>
        <w:t>acquis</w:t>
      </w:r>
      <w:r w:rsidRPr="00CB76AF">
        <w:rPr>
          <w:noProof/>
          <w:szCs w:val="24"/>
          <w:lang w:val="en-IE"/>
        </w:rPr>
        <w:t xml:space="preserve"> covering the subject-matter of the negotiations, the Union </w:t>
      </w:r>
      <w:r>
        <w:rPr>
          <w:noProof/>
          <w:szCs w:val="24"/>
          <w:lang w:val="en-IE"/>
        </w:rPr>
        <w:t xml:space="preserve">should </w:t>
      </w:r>
      <w:r w:rsidRPr="00CB76AF">
        <w:rPr>
          <w:noProof/>
          <w:szCs w:val="24"/>
          <w:lang w:val="en-IE"/>
        </w:rPr>
        <w:t>aim to ensure coherence</w:t>
      </w:r>
      <w:r w:rsidR="002956C6">
        <w:rPr>
          <w:noProof/>
          <w:szCs w:val="24"/>
          <w:lang w:val="en-IE"/>
        </w:rPr>
        <w:t>, and, to the level appropriate, consistency,</w:t>
      </w:r>
      <w:r w:rsidRPr="00CB76AF">
        <w:rPr>
          <w:noProof/>
          <w:szCs w:val="24"/>
          <w:lang w:val="en-IE"/>
        </w:rPr>
        <w:t xml:space="preserve"> between the </w:t>
      </w:r>
      <w:r w:rsidR="00272416">
        <w:rPr>
          <w:noProof/>
          <w:szCs w:val="24"/>
          <w:lang w:val="en-IE"/>
        </w:rPr>
        <w:t xml:space="preserve">new rules on asset recovery </w:t>
      </w:r>
      <w:r w:rsidRPr="00CB76AF">
        <w:rPr>
          <w:noProof/>
          <w:szCs w:val="24"/>
          <w:lang w:val="en-IE"/>
        </w:rPr>
        <w:t xml:space="preserve">at Council of Europe level and </w:t>
      </w:r>
      <w:r w:rsidR="00F35FDC">
        <w:rPr>
          <w:noProof/>
          <w:szCs w:val="24"/>
          <w:lang w:val="en-IE"/>
        </w:rPr>
        <w:t xml:space="preserve">those </w:t>
      </w:r>
      <w:r w:rsidRPr="00CB76AF">
        <w:rPr>
          <w:noProof/>
          <w:szCs w:val="24"/>
          <w:lang w:val="en-IE"/>
        </w:rPr>
        <w:t xml:space="preserve">under </w:t>
      </w:r>
      <w:r w:rsidR="0002366C">
        <w:rPr>
          <w:noProof/>
          <w:szCs w:val="24"/>
          <w:lang w:val="en-IE"/>
        </w:rPr>
        <w:t>Union</w:t>
      </w:r>
      <w:r w:rsidR="0002366C" w:rsidRPr="00CB76AF">
        <w:rPr>
          <w:noProof/>
          <w:szCs w:val="24"/>
          <w:lang w:val="en-IE"/>
        </w:rPr>
        <w:t xml:space="preserve"> </w:t>
      </w:r>
      <w:r w:rsidRPr="00CB76AF">
        <w:rPr>
          <w:noProof/>
          <w:szCs w:val="24"/>
          <w:lang w:val="en-IE"/>
        </w:rPr>
        <w:t xml:space="preserve">law. </w:t>
      </w:r>
    </w:p>
    <w:p w14:paraId="10086F9C" w14:textId="77777777" w:rsidR="00117080" w:rsidRPr="002D5EE2" w:rsidRDefault="00117080">
      <w:pPr>
        <w:pStyle w:val="ManualHeading1"/>
        <w:rPr>
          <w:noProof/>
        </w:rPr>
      </w:pPr>
      <w:r w:rsidRPr="002D5EE2">
        <w:rPr>
          <w:noProof/>
        </w:rPr>
        <w:t>2.</w:t>
      </w:r>
      <w:r w:rsidRPr="002D5EE2">
        <w:rPr>
          <w:noProof/>
        </w:rPr>
        <w:tab/>
        <w:t xml:space="preserve">LEGAL </w:t>
      </w:r>
      <w:r w:rsidR="009F0D81">
        <w:rPr>
          <w:noProof/>
        </w:rPr>
        <w:t>ELEMENTS OF THE RECOMMENDATION</w:t>
      </w:r>
    </w:p>
    <w:p w14:paraId="2EAE5F6E" w14:textId="77777777" w:rsidR="00117080" w:rsidRDefault="00117080">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728FDBCB" w14:textId="77777777" w:rsidR="0077632A" w:rsidRDefault="0077632A" w:rsidP="0077632A">
      <w:pPr>
        <w:rPr>
          <w:noProof/>
          <w:szCs w:val="24"/>
          <w:lang w:val="en-IE"/>
        </w:rPr>
      </w:pPr>
      <w:r w:rsidRPr="0056390D">
        <w:rPr>
          <w:noProof/>
          <w:szCs w:val="24"/>
          <w:lang w:val="en-IE"/>
        </w:rPr>
        <w:t xml:space="preserve">Article 218(3) </w:t>
      </w:r>
      <w:r w:rsidR="00F35FDC">
        <w:rPr>
          <w:noProof/>
          <w:szCs w:val="24"/>
          <w:lang w:val="en-IE"/>
        </w:rPr>
        <w:t>TFEU</w:t>
      </w:r>
      <w:r w:rsidRPr="0056390D">
        <w:rPr>
          <w:noProof/>
          <w:szCs w:val="24"/>
          <w:lang w:val="en-IE"/>
        </w:rPr>
        <w:t xml:space="preserve"> provides that the Commission shall submit recommendations to the Council, which shall adopt a decision authorising the opening of negotiations and nominat</w:t>
      </w:r>
      <w:r>
        <w:rPr>
          <w:noProof/>
          <w:szCs w:val="24"/>
          <w:lang w:val="en-IE"/>
        </w:rPr>
        <w:t>ing</w:t>
      </w:r>
      <w:r w:rsidRPr="0056390D">
        <w:rPr>
          <w:noProof/>
          <w:szCs w:val="24"/>
          <w:lang w:val="en-IE"/>
        </w:rPr>
        <w:t xml:space="preserve"> the Union negotiator. </w:t>
      </w:r>
      <w:r>
        <w:rPr>
          <w:noProof/>
          <w:szCs w:val="24"/>
          <w:lang w:val="en-IE"/>
        </w:rPr>
        <w:t xml:space="preserve">The Commission shall be appointed as the negotiator. </w:t>
      </w:r>
      <w:r w:rsidRPr="0056390D">
        <w:rPr>
          <w:noProof/>
          <w:szCs w:val="24"/>
          <w:lang w:val="en-IE"/>
        </w:rPr>
        <w:t>According to Article 218(4) TFEU, the Council may address directives to the negotiator.</w:t>
      </w:r>
      <w:r w:rsidR="009F0D81">
        <w:rPr>
          <w:noProof/>
          <w:szCs w:val="24"/>
          <w:lang w:val="en-IE"/>
        </w:rPr>
        <w:t xml:space="preserve"> </w:t>
      </w:r>
      <w:r w:rsidR="009F0D81" w:rsidRPr="009F0D81">
        <w:rPr>
          <w:noProof/>
          <w:szCs w:val="24"/>
          <w:lang w:val="en-IE"/>
        </w:rPr>
        <w:t xml:space="preserve">The procedural legal basis for the Council Decision authorising the Commission to participate, on behalf of the Union, in the negotiations on the additional </w:t>
      </w:r>
      <w:r w:rsidR="001E4A84">
        <w:rPr>
          <w:noProof/>
          <w:szCs w:val="24"/>
          <w:lang w:val="en-IE"/>
        </w:rPr>
        <w:t>P</w:t>
      </w:r>
      <w:r w:rsidR="009F0D81" w:rsidRPr="009F0D81">
        <w:rPr>
          <w:noProof/>
          <w:szCs w:val="24"/>
          <w:lang w:val="en-IE"/>
        </w:rPr>
        <w:t>rotocol is therefore Article 218(3) and (4) TF</w:t>
      </w:r>
      <w:r w:rsidR="00636ACB">
        <w:rPr>
          <w:noProof/>
          <w:szCs w:val="24"/>
          <w:lang w:val="en-IE"/>
        </w:rPr>
        <w:t>EU</w:t>
      </w:r>
      <w:r w:rsidR="009F0D81" w:rsidRPr="009F0D81">
        <w:rPr>
          <w:noProof/>
          <w:szCs w:val="24"/>
          <w:lang w:val="en-IE"/>
        </w:rPr>
        <w:t>.</w:t>
      </w:r>
    </w:p>
    <w:p w14:paraId="13EFFCF9" w14:textId="77777777" w:rsidR="009F0D81" w:rsidRPr="009F0D81" w:rsidRDefault="009F0D81" w:rsidP="009F0D81">
      <w:pPr>
        <w:spacing w:before="0" w:after="240"/>
        <w:rPr>
          <w:rFonts w:eastAsia="Times New Roman"/>
          <w:noProof/>
          <w:szCs w:val="20"/>
          <w:lang w:eastAsia="en-IE"/>
        </w:rPr>
      </w:pPr>
      <w:r w:rsidRPr="009F0D81">
        <w:rPr>
          <w:rFonts w:eastAsia="Times New Roman"/>
          <w:noProof/>
          <w:szCs w:val="20"/>
          <w:lang w:eastAsia="en-IE"/>
        </w:rPr>
        <w:t xml:space="preserve">The substantive legal basis for the envisaged </w:t>
      </w:r>
      <w:r w:rsidR="001E4A84">
        <w:rPr>
          <w:rFonts w:eastAsia="Times New Roman"/>
          <w:noProof/>
          <w:szCs w:val="20"/>
          <w:lang w:eastAsia="en-IE"/>
        </w:rPr>
        <w:t>P</w:t>
      </w:r>
      <w:r w:rsidRPr="009F0D81">
        <w:rPr>
          <w:rFonts w:eastAsia="Times New Roman"/>
          <w:noProof/>
          <w:szCs w:val="20"/>
          <w:lang w:eastAsia="en-IE"/>
        </w:rPr>
        <w:t>rotocol can only be determined when its precise scope and content are known. According to Article 4(2)(j) TF</w:t>
      </w:r>
      <w:r w:rsidR="00636ACB">
        <w:rPr>
          <w:rFonts w:eastAsia="Times New Roman"/>
          <w:noProof/>
          <w:szCs w:val="20"/>
          <w:lang w:eastAsia="en-IE"/>
        </w:rPr>
        <w:t>EU</w:t>
      </w:r>
      <w:r w:rsidRPr="009F0D81">
        <w:rPr>
          <w:rFonts w:eastAsia="Times New Roman"/>
          <w:noProof/>
          <w:szCs w:val="20"/>
          <w:lang w:eastAsia="en-IE"/>
        </w:rPr>
        <w:t>, the Union has competence in the area of freedom, security and justice, which is, in principle, shared with the Member States. Article 83(1) and (2) TF</w:t>
      </w:r>
      <w:r w:rsidR="00636ACB">
        <w:rPr>
          <w:rFonts w:eastAsia="Times New Roman"/>
          <w:noProof/>
          <w:szCs w:val="20"/>
          <w:lang w:eastAsia="en-IE"/>
        </w:rPr>
        <w:t>EU</w:t>
      </w:r>
      <w:r w:rsidRPr="009F0D81">
        <w:rPr>
          <w:rFonts w:eastAsia="Times New Roman"/>
          <w:noProof/>
          <w:szCs w:val="20"/>
          <w:lang w:eastAsia="en-IE"/>
        </w:rPr>
        <w:t xml:space="preserve"> empower the Union to establish minimum rules concerning the definition of criminal </w:t>
      </w:r>
      <w:r w:rsidR="001E4A84">
        <w:rPr>
          <w:rFonts w:eastAsia="Times New Roman"/>
          <w:noProof/>
          <w:szCs w:val="20"/>
          <w:lang w:eastAsia="en-IE"/>
        </w:rPr>
        <w:t xml:space="preserve">offences and the </w:t>
      </w:r>
      <w:r w:rsidRPr="009F0D81">
        <w:rPr>
          <w:rFonts w:eastAsia="Times New Roman"/>
          <w:noProof/>
          <w:szCs w:val="20"/>
          <w:lang w:eastAsia="en-IE"/>
        </w:rPr>
        <w:t>sanctions</w:t>
      </w:r>
      <w:r w:rsidR="001E4A84">
        <w:rPr>
          <w:rFonts w:eastAsia="Times New Roman"/>
          <w:noProof/>
          <w:szCs w:val="20"/>
          <w:lang w:eastAsia="en-IE"/>
        </w:rPr>
        <w:t xml:space="preserve"> for such offences</w:t>
      </w:r>
      <w:r w:rsidRPr="009F0D81">
        <w:rPr>
          <w:rFonts w:eastAsia="Times New Roman"/>
          <w:noProof/>
          <w:szCs w:val="20"/>
          <w:lang w:eastAsia="en-IE"/>
        </w:rPr>
        <w:t>, including the freezing and confiscation of proceeds of crime. Article 82(1) TF</w:t>
      </w:r>
      <w:r w:rsidR="00636ACB">
        <w:rPr>
          <w:rFonts w:eastAsia="Times New Roman"/>
          <w:noProof/>
          <w:szCs w:val="20"/>
          <w:lang w:eastAsia="en-IE"/>
        </w:rPr>
        <w:t>EU</w:t>
      </w:r>
      <w:r w:rsidRPr="009F0D81">
        <w:rPr>
          <w:rFonts w:eastAsia="Times New Roman"/>
          <w:noProof/>
          <w:szCs w:val="20"/>
          <w:lang w:eastAsia="en-IE"/>
        </w:rPr>
        <w:t xml:space="preserve"> empowers the Union to adopt rules in order to facilitate cooperation between judicial or equivalent authorities of the Member States in relation to proceedings in criminal matters, and the enforcement of decisions. Article 82(2) TF</w:t>
      </w:r>
      <w:r w:rsidR="00636ACB">
        <w:rPr>
          <w:rFonts w:eastAsia="Times New Roman"/>
          <w:noProof/>
          <w:szCs w:val="20"/>
          <w:lang w:eastAsia="en-IE"/>
        </w:rPr>
        <w:t>EU</w:t>
      </w:r>
      <w:r w:rsidRPr="009F0D81">
        <w:rPr>
          <w:rFonts w:eastAsia="Times New Roman"/>
          <w:noProof/>
          <w:szCs w:val="20"/>
          <w:lang w:eastAsia="en-IE"/>
        </w:rPr>
        <w:t xml:space="preserve"> provides for the approximation of the laws and regulations of the Member States as regards certain aspects of criminal procedure, including the rights of individuals in criminal procedure and the rights of victims of crime. </w:t>
      </w:r>
      <w:r w:rsidR="00636ACB" w:rsidRPr="00636ACB">
        <w:rPr>
          <w:rFonts w:eastAsia="Times New Roman"/>
          <w:noProof/>
          <w:szCs w:val="20"/>
          <w:lang w:eastAsia="en-IE"/>
        </w:rPr>
        <w:t>While the scope of Article 83(1) and (2) TF</w:t>
      </w:r>
      <w:r w:rsidR="00636ACB">
        <w:rPr>
          <w:rFonts w:eastAsia="Times New Roman"/>
          <w:noProof/>
          <w:szCs w:val="20"/>
          <w:lang w:eastAsia="en-IE"/>
        </w:rPr>
        <w:t>EU</w:t>
      </w:r>
      <w:r w:rsidR="00636ACB" w:rsidRPr="00636ACB">
        <w:rPr>
          <w:rFonts w:eastAsia="Times New Roman"/>
          <w:noProof/>
          <w:szCs w:val="20"/>
          <w:lang w:eastAsia="en-IE"/>
        </w:rPr>
        <w:t xml:space="preserve"> is limited in terms of the criminal offences covered, such is not the case as regards Article 82(1) and (2</w:t>
      </w:r>
      <w:r w:rsidR="00636ACB">
        <w:rPr>
          <w:rFonts w:eastAsia="Times New Roman"/>
          <w:noProof/>
          <w:szCs w:val="20"/>
          <w:lang w:eastAsia="en-IE"/>
        </w:rPr>
        <w:t xml:space="preserve">) TFEU. </w:t>
      </w:r>
      <w:r w:rsidRPr="009F0D81">
        <w:rPr>
          <w:rFonts w:eastAsia="Times New Roman"/>
          <w:noProof/>
          <w:szCs w:val="20"/>
          <w:lang w:eastAsia="en-IE"/>
        </w:rPr>
        <w:t xml:space="preserve">Measures on asset tracing and </w:t>
      </w:r>
      <w:r w:rsidR="00F35FDC">
        <w:rPr>
          <w:rFonts w:eastAsia="Times New Roman"/>
          <w:noProof/>
          <w:szCs w:val="20"/>
          <w:lang w:eastAsia="en-IE"/>
        </w:rPr>
        <w:t xml:space="preserve">asset </w:t>
      </w:r>
      <w:r w:rsidRPr="009F0D81">
        <w:rPr>
          <w:rFonts w:eastAsia="Times New Roman"/>
          <w:noProof/>
          <w:szCs w:val="20"/>
          <w:lang w:eastAsia="en-IE"/>
        </w:rPr>
        <w:t>identification</w:t>
      </w:r>
      <w:r w:rsidR="00F35FDC">
        <w:rPr>
          <w:rFonts w:eastAsia="Times New Roman"/>
          <w:noProof/>
          <w:szCs w:val="20"/>
          <w:lang w:eastAsia="en-IE"/>
        </w:rPr>
        <w:t>,</w:t>
      </w:r>
      <w:r w:rsidRPr="009F0D81">
        <w:rPr>
          <w:rFonts w:eastAsia="Times New Roman"/>
          <w:noProof/>
          <w:szCs w:val="20"/>
          <w:lang w:eastAsia="en-IE"/>
        </w:rPr>
        <w:t xml:space="preserve"> or cooperation between asset recovery offices and asset management offices are covered by Article 87(2) TF</w:t>
      </w:r>
      <w:r w:rsidR="00636ACB">
        <w:rPr>
          <w:rFonts w:eastAsia="Times New Roman"/>
          <w:noProof/>
          <w:szCs w:val="20"/>
          <w:lang w:eastAsia="en-IE"/>
        </w:rPr>
        <w:t>EU</w:t>
      </w:r>
      <w:r w:rsidRPr="009F0D81">
        <w:rPr>
          <w:rFonts w:eastAsia="Times New Roman"/>
          <w:noProof/>
          <w:szCs w:val="20"/>
          <w:lang w:eastAsia="en-IE"/>
        </w:rPr>
        <w:t>.</w:t>
      </w:r>
    </w:p>
    <w:p w14:paraId="78C8AA9B" w14:textId="0A978307" w:rsidR="009F0D81" w:rsidRPr="009F0D81" w:rsidRDefault="009F0D81" w:rsidP="00F93A78">
      <w:pPr>
        <w:spacing w:before="0"/>
        <w:rPr>
          <w:rFonts w:eastAsia="Times New Roman"/>
          <w:noProof/>
          <w:szCs w:val="20"/>
          <w:lang w:eastAsia="en-IE"/>
        </w:rPr>
      </w:pPr>
      <w:r w:rsidRPr="009F0D81">
        <w:rPr>
          <w:rFonts w:eastAsia="Times New Roman"/>
          <w:noProof/>
          <w:szCs w:val="20"/>
          <w:lang w:eastAsia="en-IE"/>
        </w:rPr>
        <w:t>Article 3(2) TFEU provides that the Union has exclusive competence “for the conclusion of an international agreement (...) in so far as its conclusion may affect common rules or alter their scope</w:t>
      </w:r>
      <w:r w:rsidR="00C76DC1">
        <w:rPr>
          <w:rFonts w:eastAsia="Times New Roman"/>
          <w:noProof/>
          <w:szCs w:val="20"/>
          <w:lang w:eastAsia="en-IE"/>
        </w:rPr>
        <w:t>”</w:t>
      </w:r>
      <w:r w:rsidRPr="009F0D81">
        <w:rPr>
          <w:rFonts w:eastAsia="Times New Roman"/>
          <w:noProof/>
          <w:szCs w:val="20"/>
          <w:lang w:eastAsia="en-IE"/>
        </w:rPr>
        <w:t xml:space="preserve">. In particular, the European Court of Justice has clarified that a “finding that there is such a risk [of affectation or alteration of EU rules by international commitments] does not presuppose that the areas covered by the international commitments and those covered by the EU rules coincide fully” but that “the scope of common EU rules may be affected or altered by such commitments also where those commitments fall within an area which is already </w:t>
      </w:r>
      <w:r w:rsidRPr="009F0D81">
        <w:rPr>
          <w:rFonts w:eastAsia="Times New Roman"/>
          <w:noProof/>
          <w:szCs w:val="20"/>
          <w:lang w:eastAsia="en-IE"/>
        </w:rPr>
        <w:lastRenderedPageBreak/>
        <w:t>largely covered by such rules”</w:t>
      </w:r>
      <w:r w:rsidRPr="00ED4AA0">
        <w:rPr>
          <w:rStyle w:val="FootnoteReference"/>
          <w:noProof/>
        </w:rPr>
        <w:footnoteReference w:id="17"/>
      </w:r>
      <w:r w:rsidRPr="009F0D81">
        <w:rPr>
          <w:rFonts w:eastAsia="Times New Roman"/>
          <w:noProof/>
          <w:szCs w:val="20"/>
          <w:lang w:eastAsia="en-IE"/>
        </w:rPr>
        <w:t>. The analysis of</w:t>
      </w:r>
      <w:r w:rsidR="00B777A5">
        <w:rPr>
          <w:rFonts w:eastAsia="Times New Roman"/>
          <w:noProof/>
          <w:szCs w:val="20"/>
          <w:lang w:eastAsia="en-IE"/>
        </w:rPr>
        <w:t xml:space="preserve"> the nature of</w:t>
      </w:r>
      <w:r w:rsidRPr="009F0D81">
        <w:rPr>
          <w:rFonts w:eastAsia="Times New Roman"/>
          <w:noProof/>
          <w:szCs w:val="20"/>
          <w:lang w:eastAsia="en-IE"/>
        </w:rPr>
        <w:t xml:space="preserve"> </w:t>
      </w:r>
      <w:r w:rsidR="00636ACB">
        <w:rPr>
          <w:rFonts w:eastAsia="Times New Roman"/>
          <w:noProof/>
          <w:szCs w:val="20"/>
          <w:lang w:eastAsia="en-IE"/>
        </w:rPr>
        <w:t xml:space="preserve">the </w:t>
      </w:r>
      <w:r w:rsidRPr="009F0D81">
        <w:rPr>
          <w:rFonts w:eastAsia="Times New Roman"/>
          <w:noProof/>
          <w:szCs w:val="20"/>
          <w:lang w:eastAsia="en-IE"/>
        </w:rPr>
        <w:t>Union</w:t>
      </w:r>
      <w:r w:rsidR="00636ACB">
        <w:rPr>
          <w:rFonts w:eastAsia="Times New Roman"/>
          <w:noProof/>
          <w:szCs w:val="20"/>
          <w:lang w:eastAsia="en-IE"/>
        </w:rPr>
        <w:t xml:space="preserve"> </w:t>
      </w:r>
      <w:r w:rsidRPr="009F0D81">
        <w:rPr>
          <w:rFonts w:eastAsia="Times New Roman"/>
          <w:noProof/>
          <w:szCs w:val="20"/>
          <w:lang w:eastAsia="en-IE"/>
        </w:rPr>
        <w:t xml:space="preserve">competence must take into account the areas covered by the EU rules and by the provisions of the agreement envisaged, their foreseeable future development and the nature and content of those rules and those provisions, in order to determine whether the envisaged agreement is capable of undermining the uniform and consistent application of the EU rules and the proper functioning of the system which they establish. </w:t>
      </w:r>
    </w:p>
    <w:p w14:paraId="4545E775" w14:textId="77777777" w:rsidR="009F0D81" w:rsidRPr="009F0D81" w:rsidRDefault="009F0D81" w:rsidP="00F93A78">
      <w:pPr>
        <w:spacing w:before="0"/>
        <w:rPr>
          <w:rFonts w:eastAsia="Times New Roman"/>
          <w:noProof/>
          <w:szCs w:val="20"/>
          <w:lang w:eastAsia="en-IE"/>
        </w:rPr>
      </w:pPr>
      <w:r w:rsidRPr="009F0D81">
        <w:rPr>
          <w:rFonts w:eastAsia="Times New Roman"/>
          <w:noProof/>
          <w:szCs w:val="20"/>
          <w:lang w:eastAsia="en-IE"/>
        </w:rPr>
        <w:t>The Union has exercised its competence in the area of freedom, security and justice by the adoption of numerous instruments on law enforcement and judicial cooperation in criminal matters and the establishment of minimum rules on measures concerning freezing and confiscation. Moreover, the Union has adopted several directives that reinforce procedural rights of suspects and accused persons. The following instruments are particularly relevant with regard to the elements being considered for the envisaged Protocol, namely the sharing and management of frozen and confiscated assets, execution of confiscation decisions, procedures for non-conviction</w:t>
      </w:r>
      <w:r w:rsidR="00651248">
        <w:rPr>
          <w:rFonts w:eastAsia="Times New Roman"/>
          <w:noProof/>
          <w:szCs w:val="20"/>
          <w:lang w:eastAsia="en-IE"/>
        </w:rPr>
        <w:t>-</w:t>
      </w:r>
      <w:r w:rsidRPr="009F0D81">
        <w:rPr>
          <w:rFonts w:eastAsia="Times New Roman"/>
          <w:noProof/>
          <w:szCs w:val="20"/>
          <w:lang w:eastAsia="en-IE"/>
        </w:rPr>
        <w:t>based confiscation and extended confiscation and cooperation in transnational cases:</w:t>
      </w:r>
    </w:p>
    <w:p w14:paraId="25CD43C1" w14:textId="3E341D47" w:rsidR="009F0D81" w:rsidRDefault="0059363B" w:rsidP="00F93A78">
      <w:pPr>
        <w:pStyle w:val="Bullet1"/>
        <w:ind w:left="1418"/>
        <w:rPr>
          <w:noProof/>
          <w:lang w:eastAsia="en-IE"/>
        </w:rPr>
      </w:pPr>
      <w:r w:rsidRPr="0059363B">
        <w:rPr>
          <w:noProof/>
          <w:lang w:eastAsia="en-IE"/>
        </w:rPr>
        <w:t xml:space="preserve">New </w:t>
      </w:r>
      <w:r w:rsidR="009F0D81" w:rsidRPr="0059363B">
        <w:rPr>
          <w:noProof/>
          <w:lang w:eastAsia="en-IE"/>
        </w:rPr>
        <w:t xml:space="preserve">Directive on asset recovery and confiscation, </w:t>
      </w:r>
      <w:r w:rsidRPr="0059363B">
        <w:rPr>
          <w:noProof/>
          <w:lang w:eastAsia="en-IE"/>
        </w:rPr>
        <w:t xml:space="preserve">which replaces, </w:t>
      </w:r>
      <w:r w:rsidRPr="00AD3FFC">
        <w:rPr>
          <w:i/>
          <w:iCs/>
          <w:noProof/>
          <w:lang w:eastAsia="en-IE"/>
        </w:rPr>
        <w:t>inter alia</w:t>
      </w:r>
      <w:r>
        <w:rPr>
          <w:noProof/>
          <w:lang w:eastAsia="en-IE"/>
        </w:rPr>
        <w:t xml:space="preserve"> D</w:t>
      </w:r>
      <w:r w:rsidR="009F0D81" w:rsidRPr="0059363B">
        <w:rPr>
          <w:noProof/>
          <w:lang w:eastAsia="en-IE"/>
        </w:rPr>
        <w:t>irective 2014/42</w:t>
      </w:r>
      <w:r>
        <w:rPr>
          <w:noProof/>
          <w:lang w:eastAsia="en-IE"/>
        </w:rPr>
        <w:t xml:space="preserve"> and Framework Decisions 2001/500 and 2005/212</w:t>
      </w:r>
      <w:r w:rsidR="00D078EC">
        <w:rPr>
          <w:noProof/>
          <w:lang w:eastAsia="en-IE"/>
        </w:rPr>
        <w:t>;</w:t>
      </w:r>
    </w:p>
    <w:p w14:paraId="4EAD0B32" w14:textId="77777777" w:rsidR="0059363B" w:rsidRPr="0059363B" w:rsidRDefault="0059363B" w:rsidP="00F93A78">
      <w:pPr>
        <w:pStyle w:val="Bullet1"/>
        <w:ind w:left="1418"/>
        <w:rPr>
          <w:noProof/>
          <w:lang w:eastAsia="en-IE"/>
        </w:rPr>
      </w:pPr>
      <w:r>
        <w:rPr>
          <w:noProof/>
          <w:lang w:eastAsia="en-IE"/>
        </w:rPr>
        <w:t>Regulation 2018/1805 on mutual recognition of freezing and confiscations orders</w:t>
      </w:r>
      <w:r w:rsidR="00D078EC">
        <w:rPr>
          <w:noProof/>
          <w:lang w:eastAsia="en-IE"/>
        </w:rPr>
        <w:t>;</w:t>
      </w:r>
    </w:p>
    <w:p w14:paraId="30FC645E" w14:textId="1173EF1A" w:rsidR="009F0D81" w:rsidRPr="00F93A78" w:rsidRDefault="009F0D81" w:rsidP="00F93A78">
      <w:pPr>
        <w:pStyle w:val="Bullet1"/>
        <w:ind w:left="1418"/>
        <w:rPr>
          <w:noProof/>
          <w:lang w:eastAsia="en-IE"/>
        </w:rPr>
      </w:pPr>
      <w:r w:rsidRPr="009F0D81">
        <w:rPr>
          <w:noProof/>
          <w:lang w:eastAsia="en-IE"/>
        </w:rPr>
        <w:t>Framework Decision</w:t>
      </w:r>
      <w:r w:rsidR="00F53337">
        <w:rPr>
          <w:noProof/>
          <w:lang w:eastAsia="en-IE"/>
        </w:rPr>
        <w:t>s</w:t>
      </w:r>
      <w:r w:rsidRPr="009F0D81">
        <w:rPr>
          <w:noProof/>
          <w:lang w:eastAsia="en-IE"/>
        </w:rPr>
        <w:t xml:space="preserve"> 2003/577 </w:t>
      </w:r>
      <w:r w:rsidR="00F53337">
        <w:rPr>
          <w:noProof/>
          <w:lang w:eastAsia="en-IE"/>
        </w:rPr>
        <w:t>and 2006/783</w:t>
      </w:r>
      <w:r w:rsidR="00D078EC">
        <w:rPr>
          <w:noProof/>
          <w:lang w:eastAsia="en-IE"/>
        </w:rPr>
        <w:t>,</w:t>
      </w:r>
      <w:r w:rsidR="00F53337">
        <w:rPr>
          <w:noProof/>
          <w:lang w:eastAsia="en-IE"/>
        </w:rPr>
        <w:t xml:space="preserve"> </w:t>
      </w:r>
      <w:r w:rsidRPr="009F0D81">
        <w:rPr>
          <w:noProof/>
          <w:lang w:eastAsia="en-IE"/>
        </w:rPr>
        <w:t>which provide for mutual recognition of freezing orders and confiscation orders</w:t>
      </w:r>
      <w:r w:rsidR="00F53337">
        <w:rPr>
          <w:noProof/>
          <w:lang w:eastAsia="en-IE"/>
        </w:rPr>
        <w:t>, respectively,</w:t>
      </w:r>
      <w:r w:rsidR="0059363B">
        <w:rPr>
          <w:noProof/>
          <w:lang w:eastAsia="en-IE"/>
        </w:rPr>
        <w:t xml:space="preserve"> remain applicable </w:t>
      </w:r>
      <w:r w:rsidRPr="009F0D81">
        <w:rPr>
          <w:noProof/>
          <w:lang w:eastAsia="en-IE"/>
        </w:rPr>
        <w:t>for relations between Member States not bound by Regulation 20</w:t>
      </w:r>
      <w:r w:rsidR="0059363B">
        <w:rPr>
          <w:noProof/>
          <w:lang w:eastAsia="en-IE"/>
        </w:rPr>
        <w:t>1</w:t>
      </w:r>
      <w:r w:rsidRPr="009F0D81">
        <w:rPr>
          <w:noProof/>
          <w:lang w:eastAsia="en-IE"/>
        </w:rPr>
        <w:t>8/1805</w:t>
      </w:r>
      <w:r w:rsidR="0059363B">
        <w:rPr>
          <w:noProof/>
          <w:lang w:eastAsia="en-IE"/>
        </w:rPr>
        <w:t xml:space="preserve"> and for relations between the latter Member States and Member States bound by Regulation 2018/1805</w:t>
      </w:r>
      <w:r w:rsidR="00D078EC">
        <w:rPr>
          <w:noProof/>
          <w:lang w:eastAsia="en-IE"/>
        </w:rPr>
        <w:t xml:space="preserve"> (</w:t>
      </w:r>
      <w:r w:rsidR="0059363B">
        <w:rPr>
          <w:noProof/>
          <w:lang w:eastAsia="en-IE"/>
        </w:rPr>
        <w:t>see rec</w:t>
      </w:r>
      <w:r w:rsidR="00D078EC">
        <w:rPr>
          <w:noProof/>
          <w:lang w:eastAsia="en-IE"/>
        </w:rPr>
        <w:t>ital</w:t>
      </w:r>
      <w:r w:rsidR="0059363B">
        <w:rPr>
          <w:noProof/>
          <w:lang w:eastAsia="en-IE"/>
        </w:rPr>
        <w:t xml:space="preserve"> 52 of Regulation 2018/1805</w:t>
      </w:r>
      <w:r w:rsidRPr="009F0D81">
        <w:rPr>
          <w:noProof/>
          <w:lang w:eastAsia="en-IE"/>
        </w:rPr>
        <w:t>)</w:t>
      </w:r>
      <w:r w:rsidR="00D078EC">
        <w:rPr>
          <w:noProof/>
          <w:lang w:eastAsia="en-IE"/>
        </w:rPr>
        <w:t>.</w:t>
      </w:r>
      <w:r w:rsidRPr="009F0D81">
        <w:rPr>
          <w:noProof/>
          <w:lang w:eastAsia="en-IE"/>
        </w:rPr>
        <w:t xml:space="preserve"> </w:t>
      </w:r>
    </w:p>
    <w:p w14:paraId="5DA32C4F" w14:textId="77777777" w:rsidR="009F0D81" w:rsidRPr="009F0D81" w:rsidRDefault="009F0D81" w:rsidP="00F93A78">
      <w:pPr>
        <w:rPr>
          <w:rFonts w:eastAsia="Times New Roman"/>
          <w:noProof/>
          <w:szCs w:val="20"/>
          <w:lang w:eastAsia="en-IE"/>
        </w:rPr>
      </w:pPr>
      <w:r w:rsidRPr="009F0D81">
        <w:rPr>
          <w:rFonts w:eastAsia="Times New Roman"/>
          <w:noProof/>
          <w:szCs w:val="20"/>
          <w:lang w:eastAsia="en-IE"/>
        </w:rPr>
        <w:t>In light of the above, the area of criminal asset recovery must be considered as an area which is largely covered by Union law.</w:t>
      </w:r>
    </w:p>
    <w:p w14:paraId="57E7BB73" w14:textId="77777777" w:rsidR="009F0D81" w:rsidRPr="009F0D81" w:rsidRDefault="009F0D81" w:rsidP="00F93A78">
      <w:pPr>
        <w:rPr>
          <w:rFonts w:eastAsia="Times New Roman"/>
          <w:noProof/>
          <w:szCs w:val="20"/>
          <w:lang w:eastAsia="en-IE"/>
        </w:rPr>
      </w:pPr>
      <w:r w:rsidRPr="009F0D81">
        <w:rPr>
          <w:rFonts w:eastAsia="Times New Roman"/>
          <w:noProof/>
          <w:szCs w:val="20"/>
          <w:lang w:eastAsia="en-IE"/>
        </w:rPr>
        <w:t xml:space="preserve">Since the envisaged protocol is likely to contain rules </w:t>
      </w:r>
      <w:r w:rsidR="00F53337">
        <w:rPr>
          <w:rFonts w:eastAsia="Times New Roman"/>
          <w:noProof/>
          <w:szCs w:val="20"/>
          <w:lang w:eastAsia="en-IE"/>
        </w:rPr>
        <w:t xml:space="preserve">in the area of criminal asset recovery, it </w:t>
      </w:r>
      <w:r w:rsidRPr="009F0D81">
        <w:rPr>
          <w:rFonts w:eastAsia="Times New Roman"/>
          <w:noProof/>
          <w:szCs w:val="20"/>
          <w:lang w:eastAsia="en-IE"/>
        </w:rPr>
        <w:t xml:space="preserve">must be regarded as capable of affecting or altering the scope of common rules in the area of criminal asset recovery. </w:t>
      </w:r>
    </w:p>
    <w:p w14:paraId="700F0211" w14:textId="77777777" w:rsidR="009F0D81" w:rsidRPr="009F0D81" w:rsidRDefault="009F0D81" w:rsidP="00F93A78">
      <w:pPr>
        <w:spacing w:after="240"/>
        <w:rPr>
          <w:rFonts w:eastAsia="Times New Roman"/>
          <w:noProof/>
          <w:szCs w:val="20"/>
          <w:lang w:eastAsia="en-IE"/>
        </w:rPr>
      </w:pPr>
      <w:r w:rsidRPr="009F0D81">
        <w:rPr>
          <w:rFonts w:eastAsia="Times New Roman"/>
          <w:noProof/>
          <w:szCs w:val="20"/>
          <w:lang w:eastAsia="en-IE"/>
        </w:rPr>
        <w:t xml:space="preserve">Therefore, the Union has exclusive external competence based on Article 3(2) TFEU, as interpreted by the European Court of Justice, in so far as the </w:t>
      </w:r>
      <w:r w:rsidR="00B777A5">
        <w:rPr>
          <w:rFonts w:eastAsia="Times New Roman"/>
          <w:noProof/>
          <w:szCs w:val="20"/>
          <w:lang w:eastAsia="en-IE"/>
        </w:rPr>
        <w:t xml:space="preserve">conclusion of the </w:t>
      </w:r>
      <w:r w:rsidRPr="009F0D81">
        <w:rPr>
          <w:rFonts w:eastAsia="Times New Roman"/>
          <w:noProof/>
          <w:szCs w:val="20"/>
          <w:lang w:eastAsia="en-IE"/>
        </w:rPr>
        <w:t xml:space="preserve">envisaged </w:t>
      </w:r>
      <w:r w:rsidR="00E56E79">
        <w:rPr>
          <w:rFonts w:eastAsia="Times New Roman"/>
          <w:noProof/>
          <w:szCs w:val="20"/>
          <w:lang w:eastAsia="en-IE"/>
        </w:rPr>
        <w:t>p</w:t>
      </w:r>
      <w:r w:rsidRPr="009F0D81">
        <w:rPr>
          <w:rFonts w:eastAsia="Times New Roman"/>
          <w:noProof/>
          <w:szCs w:val="20"/>
          <w:lang w:eastAsia="en-IE"/>
        </w:rPr>
        <w:t xml:space="preserve">rotocol may affect common EU rules or alter their scope. </w:t>
      </w:r>
    </w:p>
    <w:p w14:paraId="0ACF3779" w14:textId="77777777" w:rsidR="00680668" w:rsidRDefault="00680668" w:rsidP="0068066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082B1BCC" w14:textId="6D35C8D6" w:rsidR="009F0D81" w:rsidRPr="00FD4ACF" w:rsidRDefault="00680668" w:rsidP="00F93A78">
      <w:pPr>
        <w:pBdr>
          <w:top w:val="nil"/>
          <w:left w:val="nil"/>
          <w:bottom w:val="nil"/>
          <w:right w:val="nil"/>
          <w:between w:val="nil"/>
          <w:bar w:val="nil"/>
        </w:pBdr>
        <w:spacing w:after="240"/>
        <w:rPr>
          <w:rFonts w:eastAsia="Arial Unicode MS"/>
          <w:noProof/>
          <w:szCs w:val="24"/>
          <w:lang w:val="en-IE" w:eastAsia="en-GB"/>
        </w:rPr>
      </w:pPr>
      <w:r w:rsidRPr="009457BC">
        <w:rPr>
          <w:rFonts w:eastAsia="Arial Unicode MS"/>
          <w:noProof/>
          <w:szCs w:val="24"/>
          <w:lang w:val="en-IE" w:eastAsia="en-GB"/>
        </w:rPr>
        <w:t>A variety of fundamental rights and freedoms enshrined in the Charter of Fundamental Rights</w:t>
      </w:r>
      <w:r>
        <w:rPr>
          <w:rFonts w:eastAsia="Arial Unicode MS"/>
          <w:noProof/>
          <w:szCs w:val="24"/>
          <w:lang w:val="en-IE" w:eastAsia="en-GB"/>
        </w:rPr>
        <w:t xml:space="preserve"> of the European Union (</w:t>
      </w:r>
      <w:r w:rsidR="00E56E79">
        <w:rPr>
          <w:rFonts w:eastAsia="Arial Unicode MS"/>
          <w:noProof/>
          <w:szCs w:val="24"/>
          <w:lang w:val="en-IE" w:eastAsia="en-GB"/>
        </w:rPr>
        <w:t>‘</w:t>
      </w:r>
      <w:r w:rsidR="00307D64">
        <w:rPr>
          <w:rFonts w:eastAsia="Arial Unicode MS"/>
          <w:noProof/>
          <w:szCs w:val="24"/>
          <w:lang w:val="en-IE" w:eastAsia="en-GB"/>
        </w:rPr>
        <w:t xml:space="preserve">the </w:t>
      </w:r>
      <w:r>
        <w:rPr>
          <w:rFonts w:eastAsia="Arial Unicode MS"/>
          <w:noProof/>
          <w:szCs w:val="24"/>
          <w:lang w:val="en-IE" w:eastAsia="en-GB"/>
        </w:rPr>
        <w:t>Charter</w:t>
      </w:r>
      <w:r w:rsidR="00E56E79">
        <w:rPr>
          <w:rFonts w:eastAsia="Arial Unicode MS"/>
          <w:noProof/>
          <w:szCs w:val="24"/>
          <w:lang w:val="en-IE" w:eastAsia="en-GB"/>
        </w:rPr>
        <w:t>’</w:t>
      </w:r>
      <w:r>
        <w:rPr>
          <w:rFonts w:eastAsia="Arial Unicode MS"/>
          <w:noProof/>
          <w:szCs w:val="24"/>
          <w:lang w:val="en-IE" w:eastAsia="en-GB"/>
        </w:rPr>
        <w:t>)</w:t>
      </w:r>
      <w:r>
        <w:rPr>
          <w:rStyle w:val="FootnoteReference"/>
          <w:rFonts w:eastAsia="Arial Unicode MS"/>
          <w:noProof/>
          <w:szCs w:val="24"/>
          <w:lang w:val="en-IE" w:eastAsia="en-GB"/>
        </w:rPr>
        <w:footnoteReference w:id="18"/>
      </w:r>
      <w:r w:rsidRPr="009457BC">
        <w:rPr>
          <w:rFonts w:eastAsia="Arial Unicode MS"/>
          <w:noProof/>
          <w:szCs w:val="24"/>
          <w:lang w:val="en-IE" w:eastAsia="en-GB"/>
        </w:rPr>
        <w:t xml:space="preserve"> have to be taken into account during the negotiations on the </w:t>
      </w:r>
      <w:r>
        <w:rPr>
          <w:rFonts w:eastAsia="Arial Unicode MS"/>
          <w:noProof/>
          <w:szCs w:val="24"/>
          <w:lang w:val="en-IE" w:eastAsia="en-GB"/>
        </w:rPr>
        <w:t>Protocol</w:t>
      </w:r>
      <w:r w:rsidRPr="009457BC">
        <w:rPr>
          <w:rFonts w:eastAsia="Arial Unicode MS"/>
          <w:noProof/>
          <w:szCs w:val="24"/>
          <w:lang w:val="en-IE" w:eastAsia="en-GB"/>
        </w:rPr>
        <w:t>. The rights which are particularly relevant include</w:t>
      </w:r>
      <w:r>
        <w:rPr>
          <w:rFonts w:eastAsia="Arial Unicode MS"/>
          <w:noProof/>
          <w:szCs w:val="24"/>
          <w:lang w:val="en-IE" w:eastAsia="en-GB"/>
        </w:rPr>
        <w:t xml:space="preserve"> the rights to privacy and the protection of personal data (Article 7 and 8 of the Charter), the right to property (Article 17 of the Charter) </w:t>
      </w:r>
      <w:r w:rsidRPr="009457BC">
        <w:rPr>
          <w:rFonts w:eastAsia="Arial Unicode MS"/>
          <w:noProof/>
          <w:szCs w:val="24"/>
          <w:lang w:val="en-IE" w:eastAsia="en-GB"/>
        </w:rPr>
        <w:t xml:space="preserve">the right to an effective remedy and a fair trial (Article 47 of the Charter), the presumption of innocence and the right of defence (Article 48 of the Charter), the principles of legality and proportionality of criminal offences and penalties (Article 49 of the Charter) and the right not to be tried or punished twice in criminal proceedings for the same </w:t>
      </w:r>
      <w:r w:rsidRPr="009457BC">
        <w:rPr>
          <w:rFonts w:eastAsia="Arial Unicode MS"/>
          <w:noProof/>
          <w:szCs w:val="24"/>
          <w:lang w:val="en-IE" w:eastAsia="en-GB"/>
        </w:rPr>
        <w:lastRenderedPageBreak/>
        <w:t>criminal offence (</w:t>
      </w:r>
      <w:r w:rsidRPr="009457BC">
        <w:rPr>
          <w:rFonts w:eastAsia="Arial Unicode MS"/>
          <w:i/>
          <w:noProof/>
          <w:szCs w:val="24"/>
          <w:lang w:val="en-IE" w:eastAsia="en-GB"/>
        </w:rPr>
        <w:t>ne bis in idem</w:t>
      </w:r>
      <w:r w:rsidRPr="009457BC">
        <w:rPr>
          <w:rFonts w:eastAsia="Arial Unicode MS"/>
          <w:noProof/>
          <w:szCs w:val="24"/>
          <w:lang w:val="en-IE" w:eastAsia="en-GB"/>
        </w:rPr>
        <w:t>, Article 50 of the Charter).</w:t>
      </w:r>
      <w:r>
        <w:rPr>
          <w:rFonts w:eastAsia="Arial Unicode MS"/>
          <w:noProof/>
          <w:szCs w:val="24"/>
          <w:lang w:val="en-IE" w:eastAsia="en-GB"/>
        </w:rPr>
        <w:t xml:space="preserve"> </w:t>
      </w:r>
      <w:r w:rsidRPr="009457BC">
        <w:rPr>
          <w:rFonts w:eastAsia="Arial Unicode MS"/>
          <w:noProof/>
          <w:szCs w:val="24"/>
          <w:lang w:val="en-IE" w:eastAsia="en-GB"/>
        </w:rPr>
        <w:t xml:space="preserve">As the participation in the negotiations on behalf of the European Union should not compromise the level of protection of fundamental rights in the Union, this initiative proposes to pursue a high level of protection of fundamental rights. </w:t>
      </w:r>
    </w:p>
    <w:p w14:paraId="78D60B24" w14:textId="77777777" w:rsidR="00117080" w:rsidRDefault="00117080">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46766076" w14:textId="77777777" w:rsidR="0077632A" w:rsidRPr="0077632A" w:rsidRDefault="0077632A" w:rsidP="00F93A78">
      <w:pPr>
        <w:pStyle w:val="Text1"/>
        <w:spacing w:after="240"/>
        <w:ind w:left="0"/>
        <w:rPr>
          <w:noProof/>
          <w:lang w:val="en-US" w:eastAsia="en-GB"/>
        </w:rPr>
      </w:pPr>
      <w:r>
        <w:rPr>
          <w:noProof/>
          <w:lang w:val="en-US" w:eastAsia="en-GB"/>
        </w:rPr>
        <w:t>N</w:t>
      </w:r>
      <w:r w:rsidR="008B06E6">
        <w:rPr>
          <w:noProof/>
          <w:lang w:val="en-US" w:eastAsia="en-GB"/>
        </w:rPr>
        <w:t xml:space="preserve">ot applicable. </w:t>
      </w:r>
    </w:p>
    <w:p w14:paraId="465F566C" w14:textId="77777777" w:rsidR="00117080" w:rsidRDefault="0011708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528358FB" w14:textId="77777777" w:rsidR="00870DF4" w:rsidRDefault="0077632A" w:rsidP="0077632A">
      <w:pPr>
        <w:rPr>
          <w:noProof/>
          <w:szCs w:val="24"/>
          <w:shd w:val="clear" w:color="auto" w:fill="FFFFFF"/>
          <w:lang w:val="en-IE"/>
        </w:rPr>
      </w:pPr>
      <w:r w:rsidRPr="0056390D">
        <w:rPr>
          <w:noProof/>
          <w:szCs w:val="24"/>
          <w:lang w:val="en-IE"/>
        </w:rPr>
        <w:t>This initiative does not go beyond what is necessary to achieve the policy objectives at stake.</w:t>
      </w:r>
      <w:r w:rsidRPr="00EA6E2A">
        <w:rPr>
          <w:noProof/>
          <w:szCs w:val="24"/>
          <w:shd w:val="clear" w:color="auto" w:fill="FFFFFF"/>
          <w:lang w:val="en-IE"/>
        </w:rPr>
        <w:t xml:space="preserve"> </w:t>
      </w:r>
      <w:r w:rsidRPr="0056390D">
        <w:rPr>
          <w:noProof/>
          <w:szCs w:val="24"/>
          <w:shd w:val="clear" w:color="auto" w:fill="FFFFFF"/>
          <w:lang w:val="en-IE"/>
        </w:rPr>
        <w:t xml:space="preserve">The Union is best placed to act as the Union has already exercised internal competence in this area through </w:t>
      </w:r>
      <w:r>
        <w:rPr>
          <w:noProof/>
          <w:szCs w:val="24"/>
          <w:shd w:val="clear" w:color="auto" w:fill="FFFFFF"/>
          <w:lang w:val="en-IE"/>
        </w:rPr>
        <w:t xml:space="preserve">the </w:t>
      </w:r>
      <w:r w:rsidRPr="0056390D">
        <w:rPr>
          <w:noProof/>
          <w:szCs w:val="24"/>
          <w:shd w:val="clear" w:color="auto" w:fill="FFFFFF"/>
          <w:lang w:val="en-IE"/>
        </w:rPr>
        <w:t xml:space="preserve">adoption of </w:t>
      </w:r>
      <w:r w:rsidR="00870DF4">
        <w:rPr>
          <w:noProof/>
          <w:szCs w:val="24"/>
          <w:shd w:val="clear" w:color="auto" w:fill="FFFFFF"/>
          <w:lang w:val="en-IE"/>
        </w:rPr>
        <w:t>various legal instrument in the area of asset recovery.</w:t>
      </w:r>
      <w:r w:rsidRPr="0056390D">
        <w:rPr>
          <w:noProof/>
          <w:szCs w:val="24"/>
          <w:shd w:val="clear" w:color="auto" w:fill="FFFFFF"/>
          <w:lang w:val="en-IE"/>
        </w:rPr>
        <w:t xml:space="preserve"> </w:t>
      </w:r>
    </w:p>
    <w:p w14:paraId="13F976AB" w14:textId="77777777" w:rsidR="0077632A" w:rsidRDefault="0077632A" w:rsidP="0098626E">
      <w:pPr>
        <w:rPr>
          <w:noProof/>
          <w:szCs w:val="24"/>
          <w:shd w:val="clear" w:color="auto" w:fill="FFFFFF"/>
          <w:lang w:val="en-IE"/>
        </w:rPr>
      </w:pPr>
      <w:r w:rsidRPr="0056390D">
        <w:rPr>
          <w:noProof/>
          <w:szCs w:val="24"/>
          <w:shd w:val="clear" w:color="auto" w:fill="FFFFFF"/>
          <w:lang w:val="en-IE"/>
        </w:rPr>
        <w:t xml:space="preserve">Therefore, a common EU approach should be taken in the negotiations to </w:t>
      </w:r>
      <w:r>
        <w:rPr>
          <w:noProof/>
          <w:szCs w:val="24"/>
          <w:shd w:val="clear" w:color="auto" w:fill="FFFFFF"/>
          <w:lang w:val="en-IE"/>
        </w:rPr>
        <w:t>avoid discrepancies between</w:t>
      </w:r>
      <w:r w:rsidRPr="0056390D">
        <w:rPr>
          <w:noProof/>
          <w:szCs w:val="24"/>
          <w:shd w:val="clear" w:color="auto" w:fill="FFFFFF"/>
          <w:lang w:val="en-IE"/>
        </w:rPr>
        <w:t xml:space="preserve"> the </w:t>
      </w:r>
      <w:r w:rsidR="00ED2FF0">
        <w:rPr>
          <w:noProof/>
          <w:szCs w:val="24"/>
          <w:shd w:val="clear" w:color="auto" w:fill="FFFFFF"/>
          <w:lang w:val="en-IE"/>
        </w:rPr>
        <w:t>the rules on asset recovery</w:t>
      </w:r>
      <w:r w:rsidRPr="0056390D">
        <w:rPr>
          <w:noProof/>
          <w:szCs w:val="24"/>
          <w:shd w:val="clear" w:color="auto" w:fill="FFFFFF"/>
          <w:lang w:val="en-IE"/>
        </w:rPr>
        <w:t xml:space="preserve"> at Council of Europe level with </w:t>
      </w:r>
      <w:r w:rsidR="0002366C">
        <w:rPr>
          <w:noProof/>
          <w:szCs w:val="24"/>
          <w:shd w:val="clear" w:color="auto" w:fill="FFFFFF"/>
          <w:lang w:val="en-IE"/>
        </w:rPr>
        <w:t>Union</w:t>
      </w:r>
      <w:r w:rsidR="0002366C" w:rsidRPr="0056390D">
        <w:rPr>
          <w:noProof/>
          <w:szCs w:val="24"/>
          <w:shd w:val="clear" w:color="auto" w:fill="FFFFFF"/>
          <w:lang w:val="en-IE"/>
        </w:rPr>
        <w:t xml:space="preserve"> </w:t>
      </w:r>
      <w:r w:rsidRPr="0056390D">
        <w:rPr>
          <w:noProof/>
          <w:szCs w:val="24"/>
          <w:shd w:val="clear" w:color="auto" w:fill="FFFFFF"/>
          <w:lang w:val="en-IE"/>
        </w:rPr>
        <w:t>law.</w:t>
      </w:r>
    </w:p>
    <w:p w14:paraId="644A3DA9" w14:textId="77777777" w:rsidR="00BC7A71" w:rsidRDefault="00BC7A71" w:rsidP="0098626E">
      <w:pPr>
        <w:rPr>
          <w:noProof/>
          <w:szCs w:val="24"/>
          <w:shd w:val="clear" w:color="auto" w:fill="FFFFFF"/>
          <w:lang w:val="en-IE"/>
        </w:rPr>
      </w:pPr>
    </w:p>
    <w:p w14:paraId="0F2C5770" w14:textId="77777777" w:rsidR="00AD3FFC" w:rsidRPr="00AD3FFC" w:rsidRDefault="00AD3FFC" w:rsidP="00AD3FFC">
      <w:pPr>
        <w:spacing w:before="0" w:after="200" w:line="276" w:lineRule="auto"/>
        <w:jc w:val="left"/>
        <w:rPr>
          <w:noProof/>
          <w:lang w:val="en-IE"/>
        </w:rPr>
        <w:sectPr w:rsidR="00AD3FFC" w:rsidRPr="00AD3FFC" w:rsidSect="00716E6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Pr>
          <w:noProof/>
        </w:rPr>
        <w:tab/>
      </w:r>
    </w:p>
    <w:p w14:paraId="33230B67" w14:textId="77777777" w:rsidR="00117080" w:rsidRDefault="0047731E" w:rsidP="0047731E">
      <w:pPr>
        <w:pStyle w:val="Statut"/>
        <w:rPr>
          <w:noProof/>
        </w:rPr>
      </w:pPr>
      <w:r w:rsidRPr="0047731E">
        <w:rPr>
          <w:noProof/>
        </w:rPr>
        <w:lastRenderedPageBreak/>
        <w:t>Recommendation for a</w:t>
      </w:r>
    </w:p>
    <w:p w14:paraId="62792C3B" w14:textId="77777777" w:rsidR="00117080" w:rsidRDefault="0047731E" w:rsidP="0047731E">
      <w:pPr>
        <w:pStyle w:val="Typedudocument"/>
        <w:rPr>
          <w:noProof/>
        </w:rPr>
      </w:pPr>
      <w:r w:rsidRPr="0047731E">
        <w:rPr>
          <w:noProof/>
        </w:rPr>
        <w:t>COUNCIL DECISION</w:t>
      </w:r>
    </w:p>
    <w:p w14:paraId="5DA2CE04" w14:textId="77777777" w:rsidR="00117080" w:rsidRDefault="0047731E" w:rsidP="0047731E">
      <w:pPr>
        <w:pStyle w:val="Titreobjet"/>
        <w:rPr>
          <w:noProof/>
        </w:rPr>
      </w:pPr>
      <w:r w:rsidRPr="0047731E">
        <w:rPr>
          <w:noProof/>
        </w:rPr>
        <w:t>authorising the European Commission to participate, on behalf of the European Union, in negotiations on an additional protocol to the Council of Europe Convention on Laundering, Search, Seizure and Confiscation of the Proceeds from Crime and on the Financing of Terrorism (CETS No. 198)</w:t>
      </w:r>
    </w:p>
    <w:p w14:paraId="49C64F96" w14:textId="77777777" w:rsidR="00117080" w:rsidRDefault="00117080">
      <w:pPr>
        <w:pStyle w:val="Institutionquiagit"/>
        <w:rPr>
          <w:noProof/>
        </w:rPr>
      </w:pPr>
      <w:r w:rsidRPr="008C4321">
        <w:rPr>
          <w:noProof/>
        </w:rPr>
        <w:t>THE COUNCIL OF THE EUROPEAN UNION,</w:t>
      </w:r>
    </w:p>
    <w:p w14:paraId="57E8090E" w14:textId="77777777" w:rsidR="00C56B17" w:rsidRPr="00E978DE" w:rsidRDefault="00C56B17" w:rsidP="00C56B17">
      <w:pPr>
        <w:rPr>
          <w:noProof/>
          <w:szCs w:val="24"/>
          <w:lang w:val="en-IE"/>
        </w:rPr>
      </w:pPr>
      <w:r w:rsidRPr="00E978DE">
        <w:rPr>
          <w:noProof/>
          <w:szCs w:val="24"/>
          <w:lang w:val="en-IE"/>
        </w:rPr>
        <w:t xml:space="preserve">Having regard to the Treaty on the Functioning of the European Union, and in particular Article 218(3) and (4) thereof, </w:t>
      </w:r>
    </w:p>
    <w:p w14:paraId="7BB03693" w14:textId="77777777" w:rsidR="00C56B17" w:rsidRPr="00E978DE" w:rsidRDefault="00C56B17" w:rsidP="00C56B17">
      <w:pPr>
        <w:rPr>
          <w:noProof/>
          <w:szCs w:val="24"/>
          <w:lang w:val="en-IE"/>
        </w:rPr>
      </w:pPr>
      <w:r w:rsidRPr="00E978DE">
        <w:rPr>
          <w:noProof/>
          <w:szCs w:val="24"/>
          <w:lang w:val="en-IE"/>
        </w:rPr>
        <w:t xml:space="preserve">Having regard to the </w:t>
      </w:r>
      <w:r>
        <w:rPr>
          <w:noProof/>
          <w:szCs w:val="24"/>
          <w:lang w:val="en-IE"/>
        </w:rPr>
        <w:t>r</w:t>
      </w:r>
      <w:r w:rsidRPr="00E978DE">
        <w:rPr>
          <w:noProof/>
          <w:szCs w:val="24"/>
          <w:lang w:val="en-IE"/>
        </w:rPr>
        <w:t xml:space="preserve">ecommendation from the European Commission, </w:t>
      </w:r>
    </w:p>
    <w:p w14:paraId="322A9319" w14:textId="77777777" w:rsidR="00C56B17" w:rsidRPr="00FC3CCC" w:rsidRDefault="00C56B17" w:rsidP="00FC3CCC">
      <w:pPr>
        <w:rPr>
          <w:noProof/>
          <w:szCs w:val="24"/>
          <w:lang w:val="en-IE"/>
        </w:rPr>
      </w:pPr>
      <w:r w:rsidRPr="00E978DE">
        <w:rPr>
          <w:noProof/>
          <w:szCs w:val="24"/>
          <w:lang w:val="en-IE"/>
        </w:rPr>
        <w:t>Whereas:</w:t>
      </w:r>
      <w:r>
        <w:rPr>
          <w:noProof/>
          <w:lang w:val="en-IE"/>
        </w:rPr>
        <w:t xml:space="preserve"> </w:t>
      </w:r>
    </w:p>
    <w:p w14:paraId="2659FCED" w14:textId="77777777" w:rsidR="002C1CB3" w:rsidRDefault="001A406E" w:rsidP="00DE0D11">
      <w:pPr>
        <w:pStyle w:val="Point0"/>
        <w:rPr>
          <w:noProof/>
          <w:lang w:val="en-IE" w:eastAsia="en-IE"/>
        </w:rPr>
      </w:pPr>
      <w:r>
        <w:rPr>
          <w:noProof/>
        </w:rPr>
        <w:t>(1)</w:t>
      </w:r>
      <w:r>
        <w:rPr>
          <w:noProof/>
        </w:rPr>
        <w:tab/>
      </w:r>
      <w:r>
        <w:rPr>
          <w:noProof/>
          <w:lang w:val="en-IE" w:eastAsia="en-IE"/>
        </w:rPr>
        <w:t>T</w:t>
      </w:r>
      <w:r w:rsidR="002C1CB3" w:rsidRPr="00BE3981">
        <w:rPr>
          <w:noProof/>
          <w:lang w:val="en-IE"/>
        </w:rPr>
        <w:t xml:space="preserve">he Union signed the </w:t>
      </w:r>
      <w:r w:rsidR="002C1CB3" w:rsidRPr="00BE3981">
        <w:rPr>
          <w:rStyle w:val="normaltextrun"/>
          <w:noProof/>
          <w:color w:val="000000"/>
          <w:bdr w:val="none" w:sz="0" w:space="0" w:color="auto" w:frame="1"/>
        </w:rPr>
        <w:t xml:space="preserve">Convention on Laundering, Search, Seizure and Confiscation of the Proceeds from Crime and on the Financing of Terrorism </w:t>
      </w:r>
      <w:r w:rsidR="002C1CB3" w:rsidRPr="00BE3981">
        <w:rPr>
          <w:rStyle w:val="normaltextrun"/>
          <w:noProof/>
          <w:color w:val="000000" w:themeColor="text1"/>
        </w:rPr>
        <w:t>(CETS No. 198)</w:t>
      </w:r>
      <w:r w:rsidR="002C1CB3" w:rsidRPr="00BE3981">
        <w:rPr>
          <w:rStyle w:val="normaltextrun"/>
          <w:noProof/>
          <w:color w:val="000000"/>
          <w:bdr w:val="none" w:sz="0" w:space="0" w:color="auto" w:frame="1"/>
        </w:rPr>
        <w:t xml:space="preserve"> on 2 April 2009</w:t>
      </w:r>
      <w:r w:rsidR="002C1CB3" w:rsidRPr="00BE3981">
        <w:rPr>
          <w:noProof/>
          <w:lang w:val="en-IE"/>
        </w:rPr>
        <w:t>. As of 18 December 2023, 25 Member States</w:t>
      </w:r>
      <w:r w:rsidR="00BC7A71">
        <w:rPr>
          <w:rStyle w:val="FootnoteReference"/>
          <w:noProof/>
          <w:lang w:val="en-IE"/>
        </w:rPr>
        <w:footnoteReference w:customMarkFollows="1" w:id="19"/>
        <w:t>1</w:t>
      </w:r>
      <w:r w:rsidR="002C1CB3" w:rsidRPr="00BE3981">
        <w:rPr>
          <w:noProof/>
          <w:lang w:val="en-IE"/>
        </w:rPr>
        <w:t xml:space="preserve"> have signed the Convention, 23 of which</w:t>
      </w:r>
      <w:r w:rsidR="00E9274C">
        <w:rPr>
          <w:rStyle w:val="FootnoteReference"/>
          <w:noProof/>
          <w:lang w:val="en-IE"/>
        </w:rPr>
        <w:footnoteReference w:customMarkFollows="1" w:id="20"/>
        <w:t>2</w:t>
      </w:r>
      <w:r w:rsidR="002C1CB3" w:rsidRPr="00BE3981">
        <w:rPr>
          <w:noProof/>
          <w:lang w:val="en-IE"/>
        </w:rPr>
        <w:t xml:space="preserve"> have ratified it. </w:t>
      </w:r>
    </w:p>
    <w:p w14:paraId="6548D794" w14:textId="77777777" w:rsidR="00F31D97" w:rsidRDefault="003466C7" w:rsidP="006560C4">
      <w:pPr>
        <w:pStyle w:val="Point0"/>
        <w:rPr>
          <w:noProof/>
        </w:rPr>
      </w:pPr>
      <w:r>
        <w:rPr>
          <w:noProof/>
        </w:rPr>
        <w:t>(2)</w:t>
      </w:r>
      <w:r>
        <w:rPr>
          <w:noProof/>
        </w:rPr>
        <w:tab/>
        <w:t xml:space="preserve">On </w:t>
      </w:r>
      <w:r w:rsidRPr="00567B7A">
        <w:rPr>
          <w:noProof/>
        </w:rPr>
        <w:t>23 November 2023, the Committee of Ministers of the Council of Europe adopted the Terms of Reference establishing the Committee of Experts on Criminal Asset Recovery</w:t>
      </w:r>
      <w:r>
        <w:rPr>
          <w:noProof/>
        </w:rPr>
        <w:t xml:space="preserve">. </w:t>
      </w:r>
      <w:r w:rsidRPr="00567B7A">
        <w:rPr>
          <w:noProof/>
        </w:rPr>
        <w:t xml:space="preserve">The Committee of Experts on Criminal Asset Recovery is entrusted, under the authority of the Committee of Ministers and the European Committee on Crime Problems, to elaborate an additional </w:t>
      </w:r>
      <w:r w:rsidR="00836BFD">
        <w:rPr>
          <w:noProof/>
        </w:rPr>
        <w:t>P</w:t>
      </w:r>
      <w:r w:rsidRPr="00567B7A">
        <w:rPr>
          <w:noProof/>
        </w:rPr>
        <w:t>rotocol supplementing the Council of Europe Convention on laundering, search, seizure and confiscation of the proceeds from crime and on the financing of terrorism</w:t>
      </w:r>
      <w:r w:rsidR="006560C4">
        <w:rPr>
          <w:noProof/>
        </w:rPr>
        <w:t>.</w:t>
      </w:r>
      <w:r>
        <w:rPr>
          <w:noProof/>
        </w:rPr>
        <w:t xml:space="preserve"> </w:t>
      </w:r>
      <w:r w:rsidR="006560C4">
        <w:rPr>
          <w:noProof/>
        </w:rPr>
        <w:t>T</w:t>
      </w:r>
      <w:r>
        <w:rPr>
          <w:noProof/>
        </w:rPr>
        <w:t xml:space="preserve">his work was proposed to start on 29 May 2024 </w:t>
      </w:r>
      <w:r w:rsidR="00F31D97">
        <w:rPr>
          <w:noProof/>
        </w:rPr>
        <w:t xml:space="preserve">and </w:t>
      </w:r>
      <w:r>
        <w:rPr>
          <w:noProof/>
        </w:rPr>
        <w:t xml:space="preserve">to </w:t>
      </w:r>
      <w:r w:rsidR="00F31D97">
        <w:rPr>
          <w:noProof/>
        </w:rPr>
        <w:t xml:space="preserve">be </w:t>
      </w:r>
      <w:r>
        <w:rPr>
          <w:noProof/>
        </w:rPr>
        <w:t>completed by the end of 2025.</w:t>
      </w:r>
    </w:p>
    <w:p w14:paraId="36832D8C" w14:textId="77777777" w:rsidR="003466C7" w:rsidRPr="00AD3FFC" w:rsidRDefault="00F31D97" w:rsidP="00307D64">
      <w:pPr>
        <w:pStyle w:val="Point0"/>
        <w:rPr>
          <w:noProof/>
        </w:rPr>
      </w:pPr>
      <w:r>
        <w:rPr>
          <w:noProof/>
        </w:rPr>
        <w:t>(3)</w:t>
      </w:r>
      <w:r>
        <w:rPr>
          <w:noProof/>
        </w:rPr>
        <w:tab/>
        <w:t xml:space="preserve">According to the Terms of Reference, the envisaged additional Protocol is likely to contain provisions </w:t>
      </w:r>
      <w:r w:rsidR="00307D64" w:rsidRPr="00AD3FFC">
        <w:rPr>
          <w:noProof/>
        </w:rPr>
        <w:t>"</w:t>
      </w:r>
      <w:r w:rsidR="00680668" w:rsidRPr="00AD3FFC">
        <w:rPr>
          <w:noProof/>
        </w:rPr>
        <w:t>to enhance certainty and consistency in the sharing of confiscated assets between States Parties in transnational cases</w:t>
      </w:r>
      <w:r w:rsidR="00E9274C" w:rsidRPr="00AD3FFC">
        <w:rPr>
          <w:noProof/>
        </w:rPr>
        <w:t>,</w:t>
      </w:r>
      <w:r w:rsidR="00680668" w:rsidRPr="00AD3FFC">
        <w:rPr>
          <w:noProof/>
        </w:rPr>
        <w:t xml:space="preserve"> provisions to ensure efficient and effective management of seized, confiscated and repatriated assets, including the execution of confiscation decisions</w:t>
      </w:r>
      <w:r w:rsidR="00E9274C" w:rsidRPr="00AD3FFC">
        <w:rPr>
          <w:noProof/>
        </w:rPr>
        <w:t>,</w:t>
      </w:r>
      <w:r w:rsidR="00680668" w:rsidRPr="00AD3FFC">
        <w:rPr>
          <w:noProof/>
        </w:rPr>
        <w:t xml:space="preserve"> provisions to facilitate the introduction of non-conviction-based confiscation procedures and of extended confiscation in criminal matters, including cooperation regarding and execution of requests in transnational cases</w:t>
      </w:r>
      <w:r w:rsidR="00E9274C" w:rsidRPr="00AD3FFC">
        <w:rPr>
          <w:noProof/>
        </w:rPr>
        <w:t xml:space="preserve"> and</w:t>
      </w:r>
      <w:r w:rsidR="00680668" w:rsidRPr="00AD3FFC">
        <w:rPr>
          <w:noProof/>
        </w:rPr>
        <w:t xml:space="preserve"> any other issue which it deems to be of consequence to strengthen co-operation among Parties with respect to asset recovery</w:t>
      </w:r>
      <w:r w:rsidR="00307D64" w:rsidRPr="00AD3FFC">
        <w:rPr>
          <w:noProof/>
        </w:rPr>
        <w:t>”</w:t>
      </w:r>
      <w:r w:rsidR="00680668" w:rsidRPr="00AD3FFC">
        <w:rPr>
          <w:noProof/>
        </w:rPr>
        <w:t>.</w:t>
      </w:r>
      <w:r w:rsidR="00680668">
        <w:rPr>
          <w:noProof/>
        </w:rPr>
        <w:t xml:space="preserve"> </w:t>
      </w:r>
    </w:p>
    <w:p w14:paraId="61771319" w14:textId="0514D13B" w:rsidR="00271364" w:rsidRDefault="00E56DF3" w:rsidP="00271364">
      <w:pPr>
        <w:pStyle w:val="Point0"/>
        <w:rPr>
          <w:noProof/>
          <w:lang w:val="en-IE" w:eastAsia="en-IE"/>
        </w:rPr>
      </w:pPr>
      <w:r>
        <w:rPr>
          <w:noProof/>
        </w:rPr>
        <w:t>(4)</w:t>
      </w:r>
      <w:r>
        <w:rPr>
          <w:noProof/>
        </w:rPr>
        <w:tab/>
      </w:r>
      <w:bookmarkStart w:id="3" w:name="_Hlk162280261"/>
      <w:r>
        <w:rPr>
          <w:noProof/>
          <w:lang w:val="en-IE" w:eastAsia="en-IE"/>
        </w:rPr>
        <w:t xml:space="preserve">The </w:t>
      </w:r>
      <w:r w:rsidR="00F31D97">
        <w:rPr>
          <w:noProof/>
          <w:lang w:val="en-IE" w:eastAsia="en-IE"/>
        </w:rPr>
        <w:t xml:space="preserve">Union has already adopted common rules that overlap to a large extent with certain elements being considered for the </w:t>
      </w:r>
      <w:r>
        <w:rPr>
          <w:noProof/>
          <w:lang w:val="en-IE" w:eastAsia="en-IE"/>
        </w:rPr>
        <w:t xml:space="preserve">content of the </w:t>
      </w:r>
      <w:r w:rsidR="00133244">
        <w:rPr>
          <w:noProof/>
          <w:lang w:val="en-IE" w:eastAsia="en-IE"/>
        </w:rPr>
        <w:t xml:space="preserve">envisaged </w:t>
      </w:r>
      <w:r>
        <w:rPr>
          <w:noProof/>
          <w:lang w:val="en-IE" w:eastAsia="en-IE"/>
        </w:rPr>
        <w:t xml:space="preserve">additional </w:t>
      </w:r>
      <w:r w:rsidR="00836BFD">
        <w:rPr>
          <w:noProof/>
          <w:lang w:val="en-IE" w:eastAsia="en-IE"/>
        </w:rPr>
        <w:t>Protocol</w:t>
      </w:r>
      <w:r w:rsidR="00133244">
        <w:rPr>
          <w:noProof/>
          <w:lang w:val="en-IE" w:eastAsia="en-IE"/>
        </w:rPr>
        <w:t>.</w:t>
      </w:r>
      <w:r w:rsidR="00836BFD">
        <w:rPr>
          <w:noProof/>
          <w:lang w:val="en-IE" w:eastAsia="en-IE"/>
        </w:rPr>
        <w:t xml:space="preserve"> </w:t>
      </w:r>
      <w:r w:rsidR="00133244">
        <w:rPr>
          <w:noProof/>
          <w:lang w:val="en-IE" w:eastAsia="en-IE"/>
        </w:rPr>
        <w:t xml:space="preserve">Those common rules include in particular </w:t>
      </w:r>
      <w:r w:rsidR="001A406E">
        <w:rPr>
          <w:noProof/>
          <w:lang w:val="en-IE" w:eastAsia="en-IE"/>
        </w:rPr>
        <w:t xml:space="preserve">the Directive </w:t>
      </w:r>
      <w:r w:rsidR="001A406E" w:rsidRPr="001A406E">
        <w:rPr>
          <w:noProof/>
          <w:lang w:val="en-IE" w:eastAsia="en-IE"/>
        </w:rPr>
        <w:t xml:space="preserve">on asset recovery </w:t>
      </w:r>
      <w:r w:rsidR="001A406E" w:rsidRPr="001A406E">
        <w:rPr>
          <w:noProof/>
          <w:lang w:val="en-IE" w:eastAsia="en-IE"/>
        </w:rPr>
        <w:lastRenderedPageBreak/>
        <w:t>and confiscation</w:t>
      </w:r>
      <w:r w:rsidR="001B6071">
        <w:rPr>
          <w:noProof/>
          <w:lang w:val="en-IE" w:eastAsia="en-IE"/>
        </w:rPr>
        <w:t xml:space="preserve"> </w:t>
      </w:r>
      <w:r w:rsidR="002C5D7D">
        <w:rPr>
          <w:noProof/>
          <w:lang w:val="en-IE" w:eastAsia="en-IE"/>
        </w:rPr>
        <w:t xml:space="preserve">and </w:t>
      </w:r>
      <w:r w:rsidR="00133244">
        <w:rPr>
          <w:noProof/>
          <w:lang w:val="en-IE" w:eastAsia="en-IE"/>
        </w:rPr>
        <w:t>Regulation 2018/1805</w:t>
      </w:r>
      <w:r w:rsidR="003863A6">
        <w:rPr>
          <w:rStyle w:val="FootnoteReference"/>
          <w:noProof/>
          <w:lang w:val="en-IE" w:eastAsia="en-IE"/>
        </w:rPr>
        <w:footnoteReference w:customMarkFollows="1" w:id="21"/>
        <w:t>3</w:t>
      </w:r>
      <w:r w:rsidR="001A406E">
        <w:rPr>
          <w:noProof/>
          <w:lang w:val="en-IE" w:eastAsia="en-IE"/>
        </w:rPr>
        <w:t xml:space="preserve"> on </w:t>
      </w:r>
      <w:r w:rsidR="00274B9B" w:rsidRPr="00274B9B">
        <w:rPr>
          <w:noProof/>
          <w:lang w:val="en-IE" w:eastAsia="en-IE"/>
        </w:rPr>
        <w:t>the mutual recognition of freezing orders and confiscation orders</w:t>
      </w:r>
      <w:r w:rsidR="00133244">
        <w:rPr>
          <w:noProof/>
          <w:lang w:val="en-IE" w:eastAsia="en-IE"/>
        </w:rPr>
        <w:t xml:space="preserve"> Moreover, Framework Decisions 200</w:t>
      </w:r>
      <w:r w:rsidR="001A406E">
        <w:rPr>
          <w:noProof/>
          <w:lang w:val="en-IE" w:eastAsia="en-IE"/>
        </w:rPr>
        <w:t>3</w:t>
      </w:r>
      <w:r w:rsidR="00133244">
        <w:rPr>
          <w:noProof/>
          <w:lang w:val="en-IE" w:eastAsia="en-IE"/>
        </w:rPr>
        <w:t>/5</w:t>
      </w:r>
      <w:r w:rsidR="001A406E">
        <w:rPr>
          <w:noProof/>
          <w:lang w:val="en-IE" w:eastAsia="en-IE"/>
        </w:rPr>
        <w:t>77</w:t>
      </w:r>
      <w:r w:rsidR="00133244">
        <w:rPr>
          <w:noProof/>
          <w:lang w:val="en-IE" w:eastAsia="en-IE"/>
        </w:rPr>
        <w:t>/JHA</w:t>
      </w:r>
      <w:r w:rsidR="003863A6">
        <w:rPr>
          <w:rStyle w:val="FootnoteReference"/>
          <w:noProof/>
          <w:lang w:val="en-IE" w:eastAsia="en-IE"/>
        </w:rPr>
        <w:footnoteReference w:customMarkFollows="1" w:id="22"/>
        <w:t>4</w:t>
      </w:r>
      <w:r w:rsidR="001A406E" w:rsidRPr="00EC68CD">
        <w:rPr>
          <w:noProof/>
        </w:rPr>
        <w:t xml:space="preserve"> </w:t>
      </w:r>
      <w:r w:rsidR="001A406E">
        <w:rPr>
          <w:noProof/>
          <w:lang w:val="en-IE" w:eastAsia="en-IE"/>
        </w:rPr>
        <w:t xml:space="preserve">and </w:t>
      </w:r>
      <w:r w:rsidR="00133244">
        <w:rPr>
          <w:noProof/>
          <w:lang w:val="en-IE" w:eastAsia="en-IE"/>
        </w:rPr>
        <w:t>200</w:t>
      </w:r>
      <w:r w:rsidR="001A406E">
        <w:rPr>
          <w:noProof/>
          <w:lang w:val="en-IE" w:eastAsia="en-IE"/>
        </w:rPr>
        <w:t>6</w:t>
      </w:r>
      <w:r w:rsidR="00133244">
        <w:rPr>
          <w:noProof/>
          <w:lang w:val="en-IE" w:eastAsia="en-IE"/>
        </w:rPr>
        <w:t>/</w:t>
      </w:r>
      <w:r w:rsidR="001A406E">
        <w:rPr>
          <w:noProof/>
          <w:lang w:val="en-IE" w:eastAsia="en-IE"/>
        </w:rPr>
        <w:t>783</w:t>
      </w:r>
      <w:r w:rsidR="00133244">
        <w:rPr>
          <w:noProof/>
          <w:lang w:val="en-IE" w:eastAsia="en-IE"/>
        </w:rPr>
        <w:t>/JHA</w:t>
      </w:r>
      <w:r w:rsidR="00AD3FFC">
        <w:rPr>
          <w:rStyle w:val="FootnoteReference"/>
          <w:noProof/>
          <w:lang w:val="en-IE" w:eastAsia="en-IE"/>
        </w:rPr>
        <w:footnoteReference w:customMarkFollows="1" w:id="23"/>
        <w:t>5</w:t>
      </w:r>
      <w:r w:rsidR="00133244">
        <w:rPr>
          <w:noProof/>
          <w:lang w:val="en-IE" w:eastAsia="en-IE"/>
        </w:rPr>
        <w:t xml:space="preserve"> </w:t>
      </w:r>
      <w:r w:rsidR="003B09DA">
        <w:rPr>
          <w:noProof/>
          <w:lang w:val="en-IE" w:eastAsia="en-IE"/>
        </w:rPr>
        <w:t xml:space="preserve">remain applicable </w:t>
      </w:r>
      <w:r w:rsidR="001A406E">
        <w:rPr>
          <w:noProof/>
          <w:lang w:val="en-IE" w:eastAsia="en-IE"/>
        </w:rPr>
        <w:t xml:space="preserve">in the relations between certain Member States. </w:t>
      </w:r>
      <w:bookmarkEnd w:id="3"/>
      <w:r w:rsidR="003B09DA">
        <w:rPr>
          <w:noProof/>
          <w:lang w:val="en-IE" w:eastAsia="en-IE"/>
        </w:rPr>
        <w:t xml:space="preserve">Therefore, the area of criminal asset recovery </w:t>
      </w:r>
      <w:r w:rsidR="00282956">
        <w:rPr>
          <w:noProof/>
          <w:lang w:val="en-IE" w:eastAsia="en-IE"/>
        </w:rPr>
        <w:t xml:space="preserve">is an area already covered to a large extent by Union rules which risk being affected or altered </w:t>
      </w:r>
      <w:r w:rsidR="002C5D7D">
        <w:rPr>
          <w:noProof/>
          <w:lang w:val="en-IE" w:eastAsia="en-IE"/>
        </w:rPr>
        <w:t xml:space="preserve">in scope </w:t>
      </w:r>
      <w:r w:rsidR="00282956">
        <w:rPr>
          <w:noProof/>
          <w:lang w:val="en-IE" w:eastAsia="en-IE"/>
        </w:rPr>
        <w:t xml:space="preserve">by </w:t>
      </w:r>
      <w:r w:rsidR="003B09DA">
        <w:rPr>
          <w:noProof/>
          <w:lang w:val="en-IE" w:eastAsia="en-IE"/>
        </w:rPr>
        <w:t xml:space="preserve">the elements being considered for the envisaged </w:t>
      </w:r>
      <w:r w:rsidR="001A406E">
        <w:rPr>
          <w:noProof/>
          <w:lang w:val="en-IE" w:eastAsia="en-IE"/>
        </w:rPr>
        <w:t>additional P</w:t>
      </w:r>
      <w:r w:rsidR="003B09DA">
        <w:rPr>
          <w:noProof/>
          <w:lang w:val="en-IE" w:eastAsia="en-IE"/>
        </w:rPr>
        <w:t>rotocol</w:t>
      </w:r>
      <w:r w:rsidR="00282956">
        <w:rPr>
          <w:noProof/>
          <w:lang w:val="en-IE" w:eastAsia="en-IE"/>
        </w:rPr>
        <w:t>.</w:t>
      </w:r>
    </w:p>
    <w:p w14:paraId="30248B9C" w14:textId="77777777" w:rsidR="00E56DF3" w:rsidRDefault="00282956" w:rsidP="00271364">
      <w:pPr>
        <w:pStyle w:val="Point0"/>
        <w:rPr>
          <w:noProof/>
          <w:lang w:val="en-IE" w:eastAsia="en-IE"/>
        </w:rPr>
      </w:pPr>
      <w:r>
        <w:rPr>
          <w:noProof/>
        </w:rPr>
        <w:t>(5)</w:t>
      </w:r>
      <w:r>
        <w:rPr>
          <w:noProof/>
        </w:rPr>
        <w:tab/>
      </w:r>
      <w:r>
        <w:rPr>
          <w:noProof/>
          <w:lang w:val="en-IE" w:eastAsia="en-IE"/>
        </w:rPr>
        <w:t xml:space="preserve">Therefore, </w:t>
      </w:r>
      <w:r w:rsidR="00E56DF3" w:rsidRPr="261B0FC4">
        <w:rPr>
          <w:noProof/>
          <w:lang w:val="en-IE" w:eastAsia="en-IE"/>
        </w:rPr>
        <w:t xml:space="preserve">the Union </w:t>
      </w:r>
      <w:r>
        <w:rPr>
          <w:noProof/>
          <w:lang w:val="en-IE" w:eastAsia="en-IE"/>
        </w:rPr>
        <w:t xml:space="preserve">should </w:t>
      </w:r>
      <w:r w:rsidR="00E56DF3" w:rsidRPr="261B0FC4">
        <w:rPr>
          <w:noProof/>
          <w:lang w:val="en-IE" w:eastAsia="en-IE"/>
        </w:rPr>
        <w:t xml:space="preserve">participate in the negotiations </w:t>
      </w:r>
      <w:r>
        <w:rPr>
          <w:noProof/>
          <w:lang w:val="en-IE" w:eastAsia="en-IE"/>
        </w:rPr>
        <w:t xml:space="preserve">on </w:t>
      </w:r>
      <w:r w:rsidRPr="00282956">
        <w:rPr>
          <w:noProof/>
          <w:lang w:val="en-IE" w:eastAsia="en-IE"/>
        </w:rPr>
        <w:t xml:space="preserve">an additional Protocol supplementing the </w:t>
      </w:r>
      <w:r w:rsidR="00307D64" w:rsidRPr="00BE3981">
        <w:rPr>
          <w:rStyle w:val="normaltextrun"/>
          <w:noProof/>
          <w:color w:val="000000"/>
          <w:bdr w:val="none" w:sz="0" w:space="0" w:color="auto" w:frame="1"/>
        </w:rPr>
        <w:t xml:space="preserve">Convention on Laundering, Search, Seizure and Confiscation of the Proceeds from Crime and on the Financing of Terrorism </w:t>
      </w:r>
      <w:r w:rsidR="00307D64" w:rsidRPr="00BE3981">
        <w:rPr>
          <w:rStyle w:val="normaltextrun"/>
          <w:noProof/>
          <w:color w:val="000000" w:themeColor="text1"/>
        </w:rPr>
        <w:t>(CETS No. 198)</w:t>
      </w:r>
      <w:r w:rsidR="00307D64">
        <w:rPr>
          <w:rStyle w:val="normaltextrun"/>
          <w:noProof/>
          <w:color w:val="000000" w:themeColor="text1"/>
        </w:rPr>
        <w:t>.</w:t>
      </w:r>
    </w:p>
    <w:p w14:paraId="050CBE3C" w14:textId="77777777" w:rsidR="00FA55C7" w:rsidRDefault="00FA55C7" w:rsidP="007628BD">
      <w:pPr>
        <w:ind w:left="567" w:hanging="567"/>
        <w:rPr>
          <w:noProof/>
          <w:lang w:val="en-IE" w:eastAsia="en-IE"/>
        </w:rPr>
      </w:pPr>
    </w:p>
    <w:p w14:paraId="54EAC01D" w14:textId="77777777" w:rsidR="00677378" w:rsidRPr="00E56E79" w:rsidRDefault="00677378" w:rsidP="000600AE">
      <w:pPr>
        <w:pStyle w:val="Point0"/>
        <w:rPr>
          <w:noProof/>
          <w:lang w:val="en-IE" w:eastAsia="en-IE"/>
        </w:rPr>
      </w:pPr>
    </w:p>
    <w:p w14:paraId="4CD8FAD7" w14:textId="77777777" w:rsidR="00117080" w:rsidRPr="00C56B17" w:rsidRDefault="00117080" w:rsidP="00AD3FFC">
      <w:pPr>
        <w:spacing w:after="240"/>
        <w:ind w:left="567" w:hanging="567"/>
        <w:rPr>
          <w:noProof/>
          <w:lang w:val="en-IE"/>
        </w:rPr>
      </w:pPr>
    </w:p>
    <w:p w14:paraId="3B1BEFEF" w14:textId="77777777" w:rsidR="00117080" w:rsidRDefault="00117080">
      <w:pPr>
        <w:pStyle w:val="Formuledadoption"/>
        <w:rPr>
          <w:noProof/>
        </w:rPr>
      </w:pPr>
      <w:r w:rsidRPr="008C4321">
        <w:rPr>
          <w:noProof/>
        </w:rPr>
        <w:t xml:space="preserve">HAS ADOPTED THIS DECISION: </w:t>
      </w:r>
    </w:p>
    <w:p w14:paraId="39D077E5" w14:textId="77777777" w:rsidR="00117080" w:rsidRDefault="00117080">
      <w:pPr>
        <w:pStyle w:val="Titrearticle"/>
        <w:rPr>
          <w:noProof/>
        </w:rPr>
      </w:pPr>
      <w:r w:rsidRPr="008C4321">
        <w:rPr>
          <w:noProof/>
        </w:rPr>
        <w:t xml:space="preserve">Article </w:t>
      </w:r>
      <w:r w:rsidR="00113A69">
        <w:rPr>
          <w:noProof/>
        </w:rPr>
        <w:t>1</w:t>
      </w:r>
    </w:p>
    <w:p w14:paraId="0D945E64" w14:textId="12012452" w:rsidR="00117080" w:rsidRDefault="00113A69">
      <w:pPr>
        <w:rPr>
          <w:noProof/>
          <w:szCs w:val="24"/>
          <w:lang w:val="en-IE"/>
        </w:rPr>
      </w:pPr>
      <w:bookmarkStart w:id="4" w:name="_CopyToNewDocument_"/>
      <w:bookmarkEnd w:id="4"/>
      <w:r w:rsidRPr="00DB5EB3">
        <w:rPr>
          <w:noProof/>
          <w:szCs w:val="24"/>
          <w:lang w:val="en-IE"/>
        </w:rPr>
        <w:t xml:space="preserve">The Commission is hereby authorised to negotiate, on behalf of the Union, the </w:t>
      </w:r>
      <w:r w:rsidR="004C5EC9">
        <w:rPr>
          <w:noProof/>
          <w:szCs w:val="24"/>
          <w:lang w:val="en-IE"/>
        </w:rPr>
        <w:t>a</w:t>
      </w:r>
      <w:r w:rsidR="007D00F2">
        <w:rPr>
          <w:noProof/>
          <w:szCs w:val="24"/>
          <w:lang w:val="en-IE"/>
        </w:rPr>
        <w:t xml:space="preserve">dditional </w:t>
      </w:r>
      <w:r w:rsidR="00E81BAF">
        <w:rPr>
          <w:noProof/>
          <w:szCs w:val="24"/>
          <w:lang w:val="en-IE"/>
        </w:rPr>
        <w:t>P</w:t>
      </w:r>
      <w:r w:rsidR="007D00F2">
        <w:rPr>
          <w:noProof/>
          <w:szCs w:val="24"/>
          <w:lang w:val="en-IE"/>
        </w:rPr>
        <w:t xml:space="preserve">rotocol </w:t>
      </w:r>
      <w:r>
        <w:rPr>
          <w:noProof/>
          <w:szCs w:val="24"/>
          <w:lang w:val="en-IE"/>
        </w:rPr>
        <w:t xml:space="preserve">of the </w:t>
      </w:r>
      <w:r w:rsidRPr="00DB5EB3">
        <w:rPr>
          <w:noProof/>
          <w:szCs w:val="24"/>
          <w:lang w:val="en-IE"/>
        </w:rPr>
        <w:t xml:space="preserve">Council of Europe Convention </w:t>
      </w:r>
      <w:r w:rsidR="00377D90" w:rsidRPr="00325DAF">
        <w:rPr>
          <w:rStyle w:val="normaltextrun"/>
          <w:noProof/>
          <w:color w:val="000000"/>
          <w:szCs w:val="24"/>
          <w:bdr w:val="none" w:sz="0" w:space="0" w:color="auto" w:frame="1"/>
        </w:rPr>
        <w:t xml:space="preserve">Convention on Laundering, Search, Seizure and Confiscation of the Proceeds from Crime and on the Financing of Terrorism </w:t>
      </w:r>
      <w:r w:rsidRPr="00DB5EB3">
        <w:rPr>
          <w:noProof/>
          <w:szCs w:val="24"/>
          <w:lang w:val="en-IE"/>
        </w:rPr>
        <w:t xml:space="preserve">(CETS No. </w:t>
      </w:r>
      <w:r w:rsidR="007D00F2">
        <w:rPr>
          <w:noProof/>
          <w:szCs w:val="24"/>
          <w:lang w:val="en-IE"/>
        </w:rPr>
        <w:t>198</w:t>
      </w:r>
      <w:r w:rsidRPr="00DB5EB3">
        <w:rPr>
          <w:noProof/>
          <w:szCs w:val="24"/>
          <w:lang w:val="en-IE"/>
        </w:rPr>
        <w:t xml:space="preserve">).  </w:t>
      </w:r>
      <w:r w:rsidRPr="00DB5EB3" w:rsidDel="00A218B1">
        <w:rPr>
          <w:noProof/>
          <w:szCs w:val="24"/>
          <w:lang w:val="en-IE"/>
        </w:rPr>
        <w:t xml:space="preserve"> </w:t>
      </w:r>
    </w:p>
    <w:p w14:paraId="0FF5DFC6" w14:textId="77777777" w:rsidR="00113A69" w:rsidRDefault="00113A69" w:rsidP="00113A69">
      <w:pPr>
        <w:pStyle w:val="Titrearticle"/>
        <w:rPr>
          <w:noProof/>
        </w:rPr>
      </w:pPr>
      <w:r>
        <w:rPr>
          <w:noProof/>
        </w:rPr>
        <w:t>Article 2</w:t>
      </w:r>
    </w:p>
    <w:p w14:paraId="6696604E" w14:textId="77777777" w:rsidR="00113A69" w:rsidRDefault="00113A69" w:rsidP="00113A69">
      <w:pPr>
        <w:rPr>
          <w:noProof/>
        </w:rPr>
      </w:pPr>
      <w:r>
        <w:rPr>
          <w:noProof/>
        </w:rPr>
        <w:t xml:space="preserve">The negotiating directives are set out in the Annex. </w:t>
      </w:r>
    </w:p>
    <w:p w14:paraId="31F98513" w14:textId="77777777" w:rsidR="00113A69" w:rsidRDefault="00113A69" w:rsidP="00113A69">
      <w:pPr>
        <w:pStyle w:val="Titrearticle"/>
        <w:rPr>
          <w:noProof/>
        </w:rPr>
      </w:pPr>
      <w:r>
        <w:rPr>
          <w:noProof/>
        </w:rPr>
        <w:t>Article 3</w:t>
      </w:r>
    </w:p>
    <w:p w14:paraId="4C730397" w14:textId="77777777" w:rsidR="00113A69" w:rsidRDefault="00113A69" w:rsidP="00113A69">
      <w:pPr>
        <w:rPr>
          <w:noProof/>
        </w:rPr>
      </w:pPr>
      <w:r>
        <w:rPr>
          <w:noProof/>
        </w:rPr>
        <w:t>The negotiations shall be conducted in consultation with the [</w:t>
      </w:r>
      <w:r>
        <w:rPr>
          <w:i/>
          <w:iCs/>
          <w:noProof/>
        </w:rPr>
        <w:t>name of the special committee to be inserted by the Council</w:t>
      </w:r>
      <w:r>
        <w:rPr>
          <w:noProof/>
        </w:rPr>
        <w:t>].</w:t>
      </w:r>
    </w:p>
    <w:p w14:paraId="735DA1F3" w14:textId="77777777" w:rsidR="00113A69" w:rsidRDefault="00113A69" w:rsidP="00113A69">
      <w:pPr>
        <w:pStyle w:val="Titrearticle"/>
        <w:rPr>
          <w:noProof/>
        </w:rPr>
      </w:pPr>
      <w:r>
        <w:rPr>
          <w:noProof/>
        </w:rPr>
        <w:t>Article 4</w:t>
      </w:r>
    </w:p>
    <w:p w14:paraId="6A1AEF45" w14:textId="77777777" w:rsidR="00113A69" w:rsidRDefault="00113A69" w:rsidP="00113A69">
      <w:pPr>
        <w:rPr>
          <w:noProof/>
        </w:rPr>
      </w:pPr>
      <w:r>
        <w:rPr>
          <w:noProof/>
        </w:rPr>
        <w:t xml:space="preserve">This Decision is addressed to the Commission. </w:t>
      </w:r>
    </w:p>
    <w:p w14:paraId="265A1DFB" w14:textId="77777777" w:rsidR="00113A69" w:rsidRPr="00113A69" w:rsidRDefault="00113A69" w:rsidP="003B4EB9">
      <w:pPr>
        <w:keepNext/>
        <w:keepLines/>
        <w:rPr>
          <w:noProof/>
        </w:rPr>
      </w:pPr>
    </w:p>
    <w:p w14:paraId="6A3CFFF2" w14:textId="77777777" w:rsidR="00117080" w:rsidRDefault="0047731E" w:rsidP="003B4EB9">
      <w:pPr>
        <w:pStyle w:val="Fait"/>
        <w:rPr>
          <w:noProof/>
        </w:rPr>
      </w:pPr>
      <w:r>
        <w:rPr>
          <w:noProof/>
        </w:rPr>
        <w:t>Done at Brussels,</w:t>
      </w:r>
    </w:p>
    <w:p w14:paraId="4133D7FB" w14:textId="77777777" w:rsidR="00117080" w:rsidRDefault="00117080" w:rsidP="003B4EB9">
      <w:pPr>
        <w:pStyle w:val="Institutionquisigne"/>
        <w:rPr>
          <w:noProof/>
        </w:rPr>
      </w:pPr>
      <w:r w:rsidRPr="00117080">
        <w:rPr>
          <w:noProof/>
        </w:rPr>
        <w:tab/>
        <w:t>For the Council</w:t>
      </w:r>
    </w:p>
    <w:p w14:paraId="7CF195B1" w14:textId="77777777" w:rsidR="00117080" w:rsidRPr="00117080" w:rsidRDefault="00117080" w:rsidP="00117080">
      <w:pPr>
        <w:pStyle w:val="Personnequisigne"/>
        <w:rPr>
          <w:noProof/>
        </w:rPr>
      </w:pPr>
      <w:r w:rsidRPr="00117080">
        <w:rPr>
          <w:noProof/>
        </w:rPr>
        <w:tab/>
        <w:t>The President</w:t>
      </w:r>
    </w:p>
    <w:sectPr w:rsidR="00117080" w:rsidRPr="00117080" w:rsidSect="00716E6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C4D6F" w14:textId="77777777" w:rsidR="00D0103C" w:rsidRDefault="00D0103C" w:rsidP="00117080">
      <w:pPr>
        <w:spacing w:before="0" w:after="0"/>
      </w:pPr>
      <w:r>
        <w:separator/>
      </w:r>
    </w:p>
  </w:endnote>
  <w:endnote w:type="continuationSeparator" w:id="0">
    <w:p w14:paraId="52601F7B" w14:textId="77777777" w:rsidR="00D0103C" w:rsidRDefault="00D0103C" w:rsidP="00117080">
      <w:pPr>
        <w:spacing w:before="0" w:after="0"/>
      </w:pPr>
      <w:r>
        <w:continuationSeparator/>
      </w:r>
    </w:p>
  </w:endnote>
  <w:endnote w:type="continuationNotice" w:id="1">
    <w:p w14:paraId="612192FC" w14:textId="77777777" w:rsidR="00D0103C" w:rsidRDefault="00D010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F3EDC" w14:textId="35B91EF6" w:rsidR="00716E63" w:rsidRPr="00716E63" w:rsidRDefault="00716E63" w:rsidP="00716E63">
    <w:pPr>
      <w:pStyle w:val="Footer"/>
      <w:rPr>
        <w:rFonts w:ascii="Arial" w:hAnsi="Arial" w:cs="Arial"/>
        <w:b/>
        <w:sz w:val="48"/>
      </w:rPr>
    </w:pPr>
    <w:r w:rsidRPr="00716E63">
      <w:rPr>
        <w:rFonts w:ascii="Arial" w:hAnsi="Arial" w:cs="Arial"/>
        <w:b/>
        <w:sz w:val="48"/>
      </w:rPr>
      <w:t>EN</w:t>
    </w:r>
    <w:r w:rsidRPr="00716E63">
      <w:rPr>
        <w:rFonts w:ascii="Arial" w:hAnsi="Arial" w:cs="Arial"/>
        <w:b/>
        <w:sz w:val="48"/>
      </w:rPr>
      <w:tab/>
    </w:r>
    <w:r w:rsidRPr="00716E63">
      <w:rPr>
        <w:rFonts w:ascii="Arial" w:hAnsi="Arial" w:cs="Arial"/>
        <w:b/>
        <w:sz w:val="48"/>
      </w:rPr>
      <w:tab/>
    </w:r>
    <w:r w:rsidRPr="00716E63">
      <w:tab/>
    </w:r>
    <w:r w:rsidRPr="00716E6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A566" w14:textId="027B1CC4" w:rsidR="00716E63" w:rsidRPr="00716E63" w:rsidRDefault="00716E63" w:rsidP="00716E63">
    <w:pPr>
      <w:pStyle w:val="Footer"/>
      <w:rPr>
        <w:rFonts w:ascii="Arial" w:hAnsi="Arial" w:cs="Arial"/>
        <w:b/>
        <w:sz w:val="48"/>
      </w:rPr>
    </w:pPr>
    <w:r w:rsidRPr="00716E63">
      <w:rPr>
        <w:rFonts w:ascii="Arial" w:hAnsi="Arial" w:cs="Arial"/>
        <w:b/>
        <w:sz w:val="48"/>
      </w:rPr>
      <w:t>EN</w:t>
    </w:r>
    <w:r w:rsidRPr="00716E63">
      <w:rPr>
        <w:rFonts w:ascii="Arial" w:hAnsi="Arial" w:cs="Arial"/>
        <w:b/>
        <w:sz w:val="48"/>
      </w:rPr>
      <w:tab/>
    </w:r>
    <w:r w:rsidRPr="00716E63">
      <w:rPr>
        <w:rFonts w:ascii="Arial" w:hAnsi="Arial" w:cs="Arial"/>
        <w:b/>
        <w:sz w:val="48"/>
      </w:rPr>
      <w:tab/>
    </w:r>
    <w:r w:rsidRPr="00716E63">
      <w:tab/>
    </w:r>
    <w:r w:rsidRPr="00716E6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6D41" w14:textId="77777777" w:rsidR="00716E63" w:rsidRDefault="00716E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0C43" w14:textId="19B9B044" w:rsidR="00716E63" w:rsidRPr="00716E63" w:rsidRDefault="00716E63" w:rsidP="00716E63">
    <w:pPr>
      <w:pStyle w:val="Footer"/>
      <w:rPr>
        <w:rFonts w:ascii="Arial" w:hAnsi="Arial" w:cs="Arial"/>
        <w:b/>
        <w:sz w:val="48"/>
      </w:rPr>
    </w:pPr>
    <w:r w:rsidRPr="00716E63">
      <w:rPr>
        <w:rFonts w:ascii="Arial" w:hAnsi="Arial" w:cs="Arial"/>
        <w:b/>
        <w:sz w:val="48"/>
      </w:rPr>
      <w:t>EN</w:t>
    </w:r>
    <w:r w:rsidRPr="00716E63">
      <w:rPr>
        <w:rFonts w:ascii="Arial" w:hAnsi="Arial" w:cs="Arial"/>
        <w:b/>
        <w:sz w:val="48"/>
      </w:rPr>
      <w:tab/>
    </w:r>
    <w:r>
      <w:fldChar w:fldCharType="begin"/>
    </w:r>
    <w:r>
      <w:instrText xml:space="preserve"> PAGE  \* MERGEFORMAT </w:instrText>
    </w:r>
    <w:r>
      <w:fldChar w:fldCharType="separate"/>
    </w:r>
    <w:r w:rsidR="003B4EB9">
      <w:rPr>
        <w:noProof/>
      </w:rPr>
      <w:t>10</w:t>
    </w:r>
    <w:r>
      <w:fldChar w:fldCharType="end"/>
    </w:r>
    <w:r>
      <w:tab/>
    </w:r>
    <w:r w:rsidRPr="00716E63">
      <w:tab/>
    </w:r>
    <w:r w:rsidRPr="00716E6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C301" w14:textId="77777777" w:rsidR="00716E63" w:rsidRDefault="00716E63" w:rsidP="0071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6AD7" w14:textId="77777777" w:rsidR="00D0103C" w:rsidRDefault="00D0103C" w:rsidP="00117080">
      <w:pPr>
        <w:spacing w:before="0" w:after="0"/>
      </w:pPr>
      <w:r>
        <w:separator/>
      </w:r>
    </w:p>
  </w:footnote>
  <w:footnote w:type="continuationSeparator" w:id="0">
    <w:p w14:paraId="192CDCEC" w14:textId="77777777" w:rsidR="00D0103C" w:rsidRDefault="00D0103C" w:rsidP="00117080">
      <w:pPr>
        <w:spacing w:before="0" w:after="0"/>
      </w:pPr>
      <w:r>
        <w:continuationSeparator/>
      </w:r>
    </w:p>
  </w:footnote>
  <w:footnote w:type="continuationNotice" w:id="1">
    <w:p w14:paraId="23CFDCA3" w14:textId="77777777" w:rsidR="00D0103C" w:rsidRDefault="00D0103C">
      <w:pPr>
        <w:spacing w:before="0" w:after="0"/>
      </w:pPr>
    </w:p>
  </w:footnote>
  <w:footnote w:id="2">
    <w:p w14:paraId="230C05AB" w14:textId="77777777" w:rsidR="004D2E60" w:rsidRPr="004D2E60" w:rsidRDefault="004D2E60" w:rsidP="004D2E60">
      <w:pPr>
        <w:pStyle w:val="FootnoteText"/>
      </w:pPr>
      <w:r w:rsidRPr="00241E27">
        <w:rPr>
          <w:rStyle w:val="FootnoteReference"/>
        </w:rPr>
        <w:footnoteRef/>
      </w:r>
      <w:r w:rsidR="00241E27">
        <w:tab/>
      </w:r>
      <w:r>
        <w:t>Europol (2023), European Financial and Economic Crime Threat Assessment 2023 - The Other Side of the Coin: An Analysis of Financial and Economic Crime, Publications Office of the European Union, Luxembourg.</w:t>
      </w:r>
    </w:p>
  </w:footnote>
  <w:footnote w:id="3">
    <w:p w14:paraId="1F422ECA" w14:textId="77777777" w:rsidR="00377D90" w:rsidRPr="00377D90" w:rsidRDefault="00377D90">
      <w:pPr>
        <w:pStyle w:val="FootnoteText"/>
      </w:pPr>
      <w:r w:rsidRPr="00241E27">
        <w:rPr>
          <w:rStyle w:val="FootnoteReference"/>
        </w:rPr>
        <w:footnoteRef/>
      </w:r>
      <w:r w:rsidR="00241E27">
        <w:tab/>
      </w:r>
      <w:r w:rsidRPr="00377D90">
        <w:t>Council of Europe Convention on Laundering, Search, Seizure and Confiscation of the Proceeds from Crime and on the Financing of Terrorism</w:t>
      </w:r>
      <w:r>
        <w:t>, CETS No. 198, adopted on 16 May 2005.</w:t>
      </w:r>
    </w:p>
  </w:footnote>
  <w:footnote w:id="4">
    <w:p w14:paraId="16577F23" w14:textId="77777777" w:rsidR="003A522A" w:rsidRPr="00A43663" w:rsidRDefault="003A522A" w:rsidP="003A522A">
      <w:pPr>
        <w:pStyle w:val="FootnoteText"/>
        <w:rPr>
          <w:lang w:val="en-IE"/>
        </w:rPr>
      </w:pPr>
      <w:r w:rsidRPr="00241E27">
        <w:rPr>
          <w:rStyle w:val="FootnoteReference"/>
        </w:rPr>
        <w:footnoteRef/>
      </w:r>
      <w:r w:rsidR="00241E27">
        <w:tab/>
      </w:r>
      <w:r w:rsidRPr="00E21D34">
        <w:rPr>
          <w:lang w:val="en-IE"/>
        </w:rPr>
        <w:t xml:space="preserve">All EU Member States except </w:t>
      </w:r>
      <w:r>
        <w:rPr>
          <w:lang w:val="en-IE"/>
        </w:rPr>
        <w:t>Czechia and</w:t>
      </w:r>
      <w:r w:rsidRPr="00E21D34">
        <w:rPr>
          <w:lang w:val="en-IE"/>
        </w:rPr>
        <w:t xml:space="preserve"> Ireland</w:t>
      </w:r>
      <w:r>
        <w:rPr>
          <w:lang w:val="en-IE"/>
        </w:rPr>
        <w:t xml:space="preserve"> </w:t>
      </w:r>
      <w:r w:rsidRPr="00E21D34">
        <w:rPr>
          <w:lang w:val="en-IE"/>
        </w:rPr>
        <w:t xml:space="preserve">have </w:t>
      </w:r>
      <w:r>
        <w:rPr>
          <w:lang w:val="en-IE"/>
        </w:rPr>
        <w:t>signed</w:t>
      </w:r>
      <w:r w:rsidRPr="00E21D34">
        <w:rPr>
          <w:lang w:val="en-IE"/>
        </w:rPr>
        <w:t xml:space="preserve"> the Convention No. </w:t>
      </w:r>
      <w:r>
        <w:rPr>
          <w:lang w:val="en-IE"/>
        </w:rPr>
        <w:t>198</w:t>
      </w:r>
      <w:r w:rsidRPr="00E21D34">
        <w:rPr>
          <w:lang w:val="en-IE"/>
        </w:rPr>
        <w:t xml:space="preserve">. </w:t>
      </w:r>
    </w:p>
  </w:footnote>
  <w:footnote w:id="5">
    <w:p w14:paraId="35B5162A" w14:textId="77777777" w:rsidR="00612CF4" w:rsidRPr="00E21D34" w:rsidRDefault="00612CF4" w:rsidP="00612CF4">
      <w:pPr>
        <w:pStyle w:val="FootnoteText"/>
        <w:rPr>
          <w:lang w:val="en-IE"/>
        </w:rPr>
      </w:pPr>
      <w:r w:rsidRPr="00A56A46">
        <w:rPr>
          <w:rStyle w:val="FootnoteReference"/>
        </w:rPr>
        <w:footnoteRef/>
      </w:r>
      <w:r w:rsidR="00A56A46">
        <w:rPr>
          <w:lang w:val="en-IE"/>
        </w:rPr>
        <w:tab/>
      </w:r>
      <w:r w:rsidR="52C48327" w:rsidRPr="00E21D34">
        <w:rPr>
          <w:lang w:val="en-IE"/>
        </w:rPr>
        <w:t xml:space="preserve">All EU Member States except </w:t>
      </w:r>
      <w:r w:rsidR="52C48327">
        <w:rPr>
          <w:lang w:val="en-IE"/>
        </w:rPr>
        <w:t>Czechia, Finland,</w:t>
      </w:r>
      <w:r w:rsidR="52C48327" w:rsidRPr="00E21D34">
        <w:rPr>
          <w:lang w:val="en-IE"/>
        </w:rPr>
        <w:t xml:space="preserve"> Ireland</w:t>
      </w:r>
      <w:r w:rsidR="52C48327">
        <w:rPr>
          <w:lang w:val="en-IE"/>
        </w:rPr>
        <w:t xml:space="preserve"> and Luxembourg</w:t>
      </w:r>
      <w:r w:rsidR="52C48327" w:rsidRPr="00E21D34">
        <w:rPr>
          <w:lang w:val="en-IE"/>
        </w:rPr>
        <w:t xml:space="preserve"> have ratified the Convention No. </w:t>
      </w:r>
      <w:r w:rsidR="52C48327">
        <w:rPr>
          <w:lang w:val="en-IE"/>
        </w:rPr>
        <w:t>198</w:t>
      </w:r>
      <w:r w:rsidR="52C48327" w:rsidRPr="00E21D34">
        <w:rPr>
          <w:lang w:val="en-IE"/>
        </w:rPr>
        <w:t xml:space="preserve">. </w:t>
      </w:r>
      <w:r w:rsidR="000F18C1">
        <w:rPr>
          <w:lang w:val="en-IE"/>
        </w:rPr>
        <w:t>A number of Member States have made reservations with regard to individual provisions of the Convention.</w:t>
      </w:r>
    </w:p>
  </w:footnote>
  <w:footnote w:id="6">
    <w:p w14:paraId="7F2028CA" w14:textId="77777777" w:rsidR="001B5BF9" w:rsidRPr="001B5BF9" w:rsidRDefault="001B5BF9" w:rsidP="001B5BF9">
      <w:pPr>
        <w:pStyle w:val="FootnoteText"/>
        <w:rPr>
          <w:lang w:val="en-IE"/>
        </w:rPr>
      </w:pPr>
      <w:r w:rsidRPr="00241E27">
        <w:rPr>
          <w:rStyle w:val="FootnoteReference"/>
        </w:rPr>
        <w:footnoteRef/>
      </w:r>
      <w:r w:rsidR="00241E27">
        <w:tab/>
      </w:r>
      <w:r>
        <w:rPr>
          <w:lang w:val="en-IE"/>
        </w:rPr>
        <w:t xml:space="preserve">Council of Europe Convention </w:t>
      </w:r>
      <w:r w:rsidRPr="001B5BF9">
        <w:rPr>
          <w:lang w:val="en-IE"/>
        </w:rPr>
        <w:t xml:space="preserve">on Laundering, Search, Seizure and Confiscation of the Proceeds </w:t>
      </w:r>
    </w:p>
    <w:p w14:paraId="0FC9BDEE" w14:textId="77777777" w:rsidR="001B5BF9" w:rsidRPr="0098626E" w:rsidRDefault="001B5BF9" w:rsidP="0098626E">
      <w:pPr>
        <w:pStyle w:val="FootnoteText"/>
        <w:ind w:firstLine="0"/>
        <w:rPr>
          <w:lang w:val="en-IE"/>
        </w:rPr>
      </w:pPr>
      <w:r w:rsidRPr="001B5BF9">
        <w:rPr>
          <w:lang w:val="en-IE"/>
        </w:rPr>
        <w:t>from Crime, ETS No. 141, a</w:t>
      </w:r>
      <w:r w:rsidRPr="0098626E">
        <w:rPr>
          <w:lang w:val="en-IE"/>
        </w:rPr>
        <w:t>dopted on</w:t>
      </w:r>
      <w:r>
        <w:rPr>
          <w:lang w:val="en-IE"/>
        </w:rPr>
        <w:t xml:space="preserve"> 8 November 1990.</w:t>
      </w:r>
      <w:r w:rsidR="00A96C84">
        <w:rPr>
          <w:lang w:val="en-IE"/>
        </w:rPr>
        <w:t xml:space="preserve"> The Union is not </w:t>
      </w:r>
      <w:r w:rsidR="00193E95">
        <w:rPr>
          <w:lang w:val="en-IE"/>
        </w:rPr>
        <w:t xml:space="preserve">a </w:t>
      </w:r>
      <w:r w:rsidR="00A96C84">
        <w:rPr>
          <w:lang w:val="en-IE"/>
        </w:rPr>
        <w:t>Party to this Convention</w:t>
      </w:r>
      <w:r w:rsidR="00193E95">
        <w:rPr>
          <w:lang w:val="en-IE"/>
        </w:rPr>
        <w:t xml:space="preserve"> which does not contain a clause allowing the Union to become a party to the Convention</w:t>
      </w:r>
      <w:r w:rsidR="00A96C84">
        <w:rPr>
          <w:lang w:val="en-IE"/>
        </w:rPr>
        <w:t>.</w:t>
      </w:r>
    </w:p>
  </w:footnote>
  <w:footnote w:id="7">
    <w:p w14:paraId="49880058" w14:textId="3E7AB906" w:rsidR="004C52EC" w:rsidRPr="00AD3FFC" w:rsidRDefault="004C52EC">
      <w:pPr>
        <w:pStyle w:val="FootnoteText"/>
        <w:rPr>
          <w:lang w:val="en-IE"/>
        </w:rPr>
      </w:pPr>
      <w:r w:rsidRPr="00241E27">
        <w:rPr>
          <w:rStyle w:val="FootnoteReference"/>
        </w:rPr>
        <w:footnoteRef/>
      </w:r>
      <w:r w:rsidR="00241E27">
        <w:tab/>
      </w:r>
      <w:r w:rsidR="00731836" w:rsidRPr="00311497">
        <w:rPr>
          <w:lang w:val="en-IE"/>
        </w:rPr>
        <w:t>Proposal for a Directive of the European Parliament and of the Council on asset recovery and confiscation of 25 May 2022 (COM/2022/245 final)</w:t>
      </w:r>
      <w:r w:rsidR="00C3446C">
        <w:rPr>
          <w:lang w:val="en-IE"/>
        </w:rPr>
        <w:t>.</w:t>
      </w:r>
      <w:r w:rsidR="00E56E79">
        <w:rPr>
          <w:lang w:val="en-IE"/>
        </w:rPr>
        <w:t xml:space="preserve"> </w:t>
      </w:r>
    </w:p>
  </w:footnote>
  <w:footnote w:id="8">
    <w:p w14:paraId="0182023F" w14:textId="77777777" w:rsidR="001B5BF9" w:rsidRPr="0098626E" w:rsidRDefault="001B5BF9" w:rsidP="0098626E">
      <w:pPr>
        <w:pStyle w:val="FootnoteText"/>
      </w:pPr>
      <w:r w:rsidRPr="00241E27">
        <w:rPr>
          <w:rStyle w:val="FootnoteReference"/>
        </w:rPr>
        <w:footnoteRef/>
      </w:r>
      <w:r w:rsidR="00241E27">
        <w:tab/>
      </w:r>
      <w:r w:rsidR="0098626E">
        <w:t>Meeting report, 15</w:t>
      </w:r>
      <w:r w:rsidR="0098626E" w:rsidRPr="0098626E">
        <w:rPr>
          <w:vertAlign w:val="superscript"/>
        </w:rPr>
        <w:t>th</w:t>
      </w:r>
      <w:r w:rsidR="0098626E">
        <w:t xml:space="preserve"> meeting of the conference of parties of the Council of Europe Convention on Laundering, Search, Seizure and Confiscation of the Proceeds from Crime and on the Financing of Terrorism (CETS No. 198) on 9 and 10 November 2023, </w:t>
      </w:r>
      <w:r w:rsidR="0098626E" w:rsidRPr="0098626E">
        <w:t>C198-COP(2023)10</w:t>
      </w:r>
      <w:r w:rsidR="0098626E">
        <w:t>.</w:t>
      </w:r>
    </w:p>
  </w:footnote>
  <w:footnote w:id="9">
    <w:p w14:paraId="739CC8EE" w14:textId="77777777" w:rsidR="001B5BF9" w:rsidRPr="0098626E" w:rsidRDefault="001B5BF9">
      <w:pPr>
        <w:pStyle w:val="FootnoteText"/>
        <w:rPr>
          <w:lang w:val="en-IE"/>
        </w:rPr>
      </w:pPr>
      <w:r w:rsidRPr="00241E27">
        <w:rPr>
          <w:rStyle w:val="FootnoteReference"/>
        </w:rPr>
        <w:footnoteRef/>
      </w:r>
      <w:r w:rsidR="00241E27">
        <w:tab/>
      </w:r>
      <w:r w:rsidR="0098626E" w:rsidRPr="00377D90">
        <w:t>Regulation (EU) 2018/1805 of the European Parliament and of the Council of 14 November 2018 on the mutual recognition of freezing orders and confiscation orders</w:t>
      </w:r>
      <w:r w:rsidR="0098626E">
        <w:t xml:space="preserve"> (</w:t>
      </w:r>
      <w:r w:rsidR="0098626E" w:rsidRPr="00377D90">
        <w:t>OJ L 303, 28.11.2018, p. 1–3</w:t>
      </w:r>
      <w:r w:rsidR="0098626E">
        <w:t>8).</w:t>
      </w:r>
    </w:p>
  </w:footnote>
  <w:footnote w:id="10">
    <w:p w14:paraId="60D54C72" w14:textId="77777777" w:rsidR="0035494C" w:rsidRPr="0035494C" w:rsidRDefault="0035494C">
      <w:pPr>
        <w:pStyle w:val="FootnoteText"/>
      </w:pPr>
      <w:r w:rsidRPr="00241E27">
        <w:rPr>
          <w:rStyle w:val="FootnoteReference"/>
        </w:rPr>
        <w:footnoteRef/>
      </w:r>
      <w:r w:rsidR="00241E27">
        <w:tab/>
      </w:r>
      <w:r w:rsidRPr="00E37B3D">
        <w:rPr>
          <w:lang w:val="en-IE"/>
        </w:rPr>
        <w:t xml:space="preserve">Proposal for a </w:t>
      </w:r>
      <w:r>
        <w:rPr>
          <w:lang w:val="en-IE"/>
        </w:rPr>
        <w:t xml:space="preserve">Directive of the European Parliament and of the Council </w:t>
      </w:r>
      <w:r w:rsidRPr="00E37B3D">
        <w:rPr>
          <w:lang w:val="en-IE"/>
        </w:rPr>
        <w:t xml:space="preserve">on asset recovery and confiscation </w:t>
      </w:r>
      <w:r>
        <w:rPr>
          <w:lang w:val="en-IE"/>
        </w:rPr>
        <w:t xml:space="preserve">of </w:t>
      </w:r>
      <w:r w:rsidRPr="00E37B3D">
        <w:rPr>
          <w:lang w:val="en-IE"/>
        </w:rPr>
        <w:t>25 May 2022</w:t>
      </w:r>
      <w:r>
        <w:rPr>
          <w:lang w:val="en-IE"/>
        </w:rPr>
        <w:t xml:space="preserve"> (</w:t>
      </w:r>
      <w:r w:rsidRPr="00E37B3D">
        <w:rPr>
          <w:lang w:val="en-IE"/>
        </w:rPr>
        <w:t>COM/2022/245 final</w:t>
      </w:r>
      <w:r>
        <w:rPr>
          <w:lang w:val="en-IE"/>
        </w:rPr>
        <w:t>).</w:t>
      </w:r>
    </w:p>
  </w:footnote>
  <w:footnote w:id="11">
    <w:p w14:paraId="71E28BB3" w14:textId="77777777" w:rsidR="00C23F03" w:rsidRPr="00C23F03" w:rsidRDefault="00C23F03">
      <w:pPr>
        <w:pStyle w:val="FootnoteText"/>
      </w:pPr>
      <w:r w:rsidRPr="00241E27">
        <w:rPr>
          <w:rStyle w:val="FootnoteReference"/>
        </w:rPr>
        <w:footnoteRef/>
      </w:r>
      <w:r w:rsidR="00241E27">
        <w:tab/>
      </w:r>
      <w:r w:rsidRPr="00C23F03">
        <w:t>Joint Action 98/699/JHA of 3 December 1998 adopted by the Council on the basis of Article K.3 of the Treaty on European Union, on money laundering, the identification, tracing, freezing, seizing and confiscation of instrumentalities and the proceeds from crime (OJ L 333, 9.12.1998, p. 1)</w:t>
      </w:r>
      <w:r w:rsidR="00806A08">
        <w:t>.</w:t>
      </w:r>
    </w:p>
  </w:footnote>
  <w:footnote w:id="12">
    <w:p w14:paraId="1B164D83" w14:textId="77777777" w:rsidR="00C23F03" w:rsidRPr="00C23F03" w:rsidRDefault="00C23F03">
      <w:pPr>
        <w:pStyle w:val="FootnoteText"/>
      </w:pPr>
      <w:r w:rsidRPr="00241E27">
        <w:rPr>
          <w:rStyle w:val="FootnoteReference"/>
        </w:rPr>
        <w:footnoteRef/>
      </w:r>
      <w:r w:rsidR="00241E27">
        <w:tab/>
      </w:r>
      <w:r w:rsidRPr="00C23F03">
        <w:t>Council Framework Decision 2001/500/JHA of 26 June 2001 on money laundering, the identification, tracing, freezing, seizing and confiscation of instrumentalities and the proceeds of crime (OJ L 182, 5.7.2001, p. 1).</w:t>
      </w:r>
    </w:p>
  </w:footnote>
  <w:footnote w:id="13">
    <w:p w14:paraId="41A85B41" w14:textId="77777777" w:rsidR="00C23F03" w:rsidRPr="00C23F03" w:rsidRDefault="00C23F03">
      <w:pPr>
        <w:pStyle w:val="FootnoteText"/>
      </w:pPr>
      <w:r w:rsidRPr="00241E27">
        <w:rPr>
          <w:rStyle w:val="FootnoteReference"/>
        </w:rPr>
        <w:footnoteRef/>
      </w:r>
      <w:r w:rsidR="00241E27">
        <w:tab/>
      </w:r>
      <w:r w:rsidRPr="00C23F03">
        <w:t>Council Framework Decision 2005/212/JHA of 24 February 2005 on confiscation of crime-related proceeds, instrumentalities and property (OJ L 68, 15.3.2005, p. 49)</w:t>
      </w:r>
      <w:r>
        <w:t>.</w:t>
      </w:r>
    </w:p>
  </w:footnote>
  <w:footnote w:id="14">
    <w:p w14:paraId="72C19D15" w14:textId="77777777" w:rsidR="00887ABB" w:rsidRPr="00742D96" w:rsidRDefault="00887ABB" w:rsidP="00887ABB">
      <w:pPr>
        <w:pStyle w:val="FootnoteText"/>
        <w:rPr>
          <w:lang w:val="en-IE"/>
        </w:rPr>
      </w:pPr>
      <w:r w:rsidRPr="00241E27">
        <w:rPr>
          <w:rStyle w:val="FootnoteReference"/>
        </w:rPr>
        <w:footnoteRef/>
      </w:r>
      <w:r w:rsidR="00241E27">
        <w:tab/>
      </w:r>
      <w:r w:rsidRPr="002956C6">
        <w:rPr>
          <w:lang w:val="en-IE"/>
        </w:rPr>
        <w:t>Council Framework Decision 2003/577/JHA of 22 July 2003 on the execution in the European Union of orders freezing property or evidence</w:t>
      </w:r>
      <w:r>
        <w:rPr>
          <w:lang w:val="en-IE"/>
        </w:rPr>
        <w:t xml:space="preserve"> (</w:t>
      </w:r>
      <w:r w:rsidRPr="002956C6">
        <w:rPr>
          <w:lang w:val="en-IE"/>
        </w:rPr>
        <w:t>OJ L 196, 2.8.2003, p. 45–55</w:t>
      </w:r>
      <w:r>
        <w:rPr>
          <w:lang w:val="en-IE"/>
        </w:rPr>
        <w:t>).</w:t>
      </w:r>
    </w:p>
  </w:footnote>
  <w:footnote w:id="15">
    <w:p w14:paraId="08B431FB" w14:textId="77777777" w:rsidR="00887ABB" w:rsidRPr="00742D96" w:rsidRDefault="00887ABB" w:rsidP="00887ABB">
      <w:pPr>
        <w:pStyle w:val="FootnoteText"/>
        <w:rPr>
          <w:lang w:val="en-IE"/>
        </w:rPr>
      </w:pPr>
      <w:r w:rsidRPr="00241E27">
        <w:rPr>
          <w:rStyle w:val="FootnoteReference"/>
        </w:rPr>
        <w:footnoteRef/>
      </w:r>
      <w:r w:rsidR="00241E27">
        <w:tab/>
      </w:r>
      <w:r w:rsidRPr="002956C6">
        <w:rPr>
          <w:lang w:val="en-IE"/>
        </w:rPr>
        <w:t>Council Framework Decision 2006/783/JHA of 6 October 2006 on the application of the principle of mutual recognition to confiscation orders</w:t>
      </w:r>
      <w:r>
        <w:rPr>
          <w:lang w:val="en-IE"/>
        </w:rPr>
        <w:t xml:space="preserve"> (</w:t>
      </w:r>
      <w:r w:rsidRPr="002956C6">
        <w:rPr>
          <w:lang w:val="en-IE"/>
        </w:rPr>
        <w:t>OJ L 328, 24.11.2006, p. 59–78</w:t>
      </w:r>
      <w:r>
        <w:rPr>
          <w:lang w:val="en-IE"/>
        </w:rPr>
        <w:t>).</w:t>
      </w:r>
    </w:p>
  </w:footnote>
  <w:footnote w:id="16">
    <w:p w14:paraId="03EE2DB3" w14:textId="77777777" w:rsidR="00E90B2B" w:rsidRPr="00AD3FFC" w:rsidRDefault="00E90B2B">
      <w:pPr>
        <w:pStyle w:val="FootnoteText"/>
        <w:rPr>
          <w:lang w:val="en-IE"/>
        </w:rPr>
      </w:pPr>
      <w:r>
        <w:rPr>
          <w:rStyle w:val="FootnoteReference"/>
        </w:rPr>
        <w:footnoteRef/>
      </w:r>
      <w:r>
        <w:rPr>
          <w:lang w:val="en-IE"/>
        </w:rPr>
        <w:tab/>
      </w:r>
      <w:r w:rsidR="008D52DE" w:rsidRPr="008D52DE">
        <w:rPr>
          <w:lang w:val="en-IE"/>
        </w:rPr>
        <w:t>Directive (EU) 2017/1371 of the European Parliament and of the Council of 5 July 2017 on the fight against fraud to the Union's financial interests by means of criminal law</w:t>
      </w:r>
      <w:r w:rsidR="008D52DE">
        <w:rPr>
          <w:lang w:val="en-IE"/>
        </w:rPr>
        <w:t xml:space="preserve"> (</w:t>
      </w:r>
      <w:r w:rsidR="008D52DE" w:rsidRPr="008D52DE">
        <w:rPr>
          <w:lang w:val="en-IE"/>
        </w:rPr>
        <w:t>OJ L 198, 28.7.2017, p. 29–41</w:t>
      </w:r>
      <w:r w:rsidR="008D52DE">
        <w:rPr>
          <w:lang w:val="en-IE"/>
        </w:rPr>
        <w:t>).</w:t>
      </w:r>
    </w:p>
  </w:footnote>
  <w:footnote w:id="17">
    <w:p w14:paraId="635BD264" w14:textId="614248F8" w:rsidR="009F0D81" w:rsidRPr="00AD3FFC" w:rsidRDefault="009F0D81" w:rsidP="009F0D81">
      <w:pPr>
        <w:pStyle w:val="FootnoteText"/>
        <w:rPr>
          <w:lang w:val="en-US"/>
        </w:rPr>
      </w:pPr>
      <w:r w:rsidRPr="00ED4AA0">
        <w:rPr>
          <w:rStyle w:val="FootnoteReference"/>
        </w:rPr>
        <w:footnoteRef/>
      </w:r>
      <w:r>
        <w:tab/>
      </w:r>
      <w:r w:rsidRPr="00CC5B53">
        <w:t>Case C-114/12, Commission v. Council, ECLI: ECLI:EU:C:2014:2151, paragraph 69-70</w:t>
      </w:r>
      <w:r w:rsidR="00D078EC">
        <w:t>.</w:t>
      </w:r>
    </w:p>
  </w:footnote>
  <w:footnote w:id="18">
    <w:p w14:paraId="54A3202B" w14:textId="77777777" w:rsidR="00680668" w:rsidRPr="0098626E" w:rsidRDefault="00680668" w:rsidP="00680668">
      <w:pPr>
        <w:pStyle w:val="FootnoteText"/>
        <w:rPr>
          <w:lang w:val="en-IE"/>
        </w:rPr>
      </w:pPr>
      <w:r w:rsidRPr="00241E27">
        <w:rPr>
          <w:rStyle w:val="FootnoteReference"/>
        </w:rPr>
        <w:footnoteRef/>
      </w:r>
      <w:r>
        <w:tab/>
      </w:r>
      <w:r w:rsidRPr="0098626E">
        <w:t>Charter of Fundamental Rights of the European Union</w:t>
      </w:r>
      <w:r>
        <w:t xml:space="preserve">, </w:t>
      </w:r>
      <w:r w:rsidRPr="0098626E">
        <w:t>OJ C 202, 7.6.2016, p. 389–405</w:t>
      </w:r>
      <w:r>
        <w:t>.</w:t>
      </w:r>
    </w:p>
  </w:footnote>
  <w:footnote w:id="19">
    <w:p w14:paraId="1115E34C" w14:textId="77777777" w:rsidR="00BC7A71" w:rsidRPr="00AD3FFC" w:rsidRDefault="00BC7A71">
      <w:pPr>
        <w:pStyle w:val="FootnoteText"/>
        <w:rPr>
          <w:lang w:val="en-IE"/>
        </w:rPr>
      </w:pPr>
      <w:r>
        <w:rPr>
          <w:rStyle w:val="FootnoteReference"/>
        </w:rPr>
        <w:t>1</w:t>
      </w:r>
      <w:r>
        <w:tab/>
      </w:r>
      <w:r w:rsidR="00E9274C" w:rsidRPr="00E21D34">
        <w:rPr>
          <w:lang w:val="en-IE"/>
        </w:rPr>
        <w:t xml:space="preserve">All EU Member States except </w:t>
      </w:r>
      <w:r w:rsidR="00E9274C">
        <w:rPr>
          <w:lang w:val="en-IE"/>
        </w:rPr>
        <w:t>Czechia and</w:t>
      </w:r>
      <w:r w:rsidR="00E9274C" w:rsidRPr="00E21D34">
        <w:rPr>
          <w:lang w:val="en-IE"/>
        </w:rPr>
        <w:t xml:space="preserve"> Ireland</w:t>
      </w:r>
      <w:r w:rsidR="00E9274C">
        <w:rPr>
          <w:lang w:val="en-IE"/>
        </w:rPr>
        <w:t xml:space="preserve"> </w:t>
      </w:r>
      <w:r w:rsidR="00E9274C" w:rsidRPr="00E21D34">
        <w:rPr>
          <w:lang w:val="en-IE"/>
        </w:rPr>
        <w:t xml:space="preserve">have </w:t>
      </w:r>
      <w:r w:rsidR="00E9274C">
        <w:rPr>
          <w:lang w:val="en-IE"/>
        </w:rPr>
        <w:t>signed</w:t>
      </w:r>
      <w:r w:rsidR="00E9274C" w:rsidRPr="00E21D34">
        <w:rPr>
          <w:lang w:val="en-IE"/>
        </w:rPr>
        <w:t xml:space="preserve"> the Convention No. </w:t>
      </w:r>
      <w:r w:rsidR="00E9274C">
        <w:rPr>
          <w:lang w:val="en-IE"/>
        </w:rPr>
        <w:t xml:space="preserve">198 </w:t>
      </w:r>
      <w:r w:rsidR="00E9274C" w:rsidRPr="00E524DE">
        <w:rPr>
          <w:lang w:val="en-IE"/>
        </w:rPr>
        <w:t>with or without reservations</w:t>
      </w:r>
      <w:r w:rsidR="00E9274C" w:rsidRPr="00E21D34">
        <w:rPr>
          <w:lang w:val="en-IE"/>
        </w:rPr>
        <w:t xml:space="preserve">. </w:t>
      </w:r>
    </w:p>
  </w:footnote>
  <w:footnote w:id="20">
    <w:p w14:paraId="0FBD8DA4" w14:textId="77777777" w:rsidR="00E9274C" w:rsidRPr="00AD3FFC" w:rsidRDefault="00E9274C">
      <w:pPr>
        <w:pStyle w:val="FootnoteText"/>
        <w:rPr>
          <w:lang w:val="en-IE"/>
        </w:rPr>
      </w:pPr>
      <w:r>
        <w:rPr>
          <w:rStyle w:val="FootnoteReference"/>
        </w:rPr>
        <w:t>2</w:t>
      </w:r>
      <w:r>
        <w:tab/>
      </w:r>
      <w:r w:rsidRPr="00E21D34">
        <w:rPr>
          <w:lang w:val="en-IE"/>
        </w:rPr>
        <w:t xml:space="preserve">All EU Member States except </w:t>
      </w:r>
      <w:r>
        <w:rPr>
          <w:lang w:val="en-IE"/>
        </w:rPr>
        <w:t>Czechia, Finland,</w:t>
      </w:r>
      <w:r w:rsidRPr="00E21D34">
        <w:rPr>
          <w:lang w:val="en-IE"/>
        </w:rPr>
        <w:t xml:space="preserve"> Ireland</w:t>
      </w:r>
      <w:r>
        <w:rPr>
          <w:lang w:val="en-IE"/>
        </w:rPr>
        <w:t xml:space="preserve"> and Luxembourg</w:t>
      </w:r>
      <w:r w:rsidRPr="00E21D34">
        <w:rPr>
          <w:lang w:val="en-IE"/>
        </w:rPr>
        <w:t xml:space="preserve"> have ratified the Convention No. </w:t>
      </w:r>
      <w:r>
        <w:rPr>
          <w:lang w:val="en-IE"/>
        </w:rPr>
        <w:t>198</w:t>
      </w:r>
      <w:r w:rsidRPr="00E21D34">
        <w:rPr>
          <w:lang w:val="en-IE"/>
        </w:rPr>
        <w:t>.</w:t>
      </w:r>
    </w:p>
  </w:footnote>
  <w:footnote w:id="21">
    <w:p w14:paraId="75EF7470" w14:textId="77777777" w:rsidR="003863A6" w:rsidRPr="00AD3FFC" w:rsidRDefault="003863A6">
      <w:pPr>
        <w:pStyle w:val="FootnoteText"/>
        <w:rPr>
          <w:lang w:val="en-IE"/>
        </w:rPr>
      </w:pPr>
      <w:r>
        <w:rPr>
          <w:rStyle w:val="FootnoteReference"/>
        </w:rPr>
        <w:t>3</w:t>
      </w:r>
      <w:r>
        <w:tab/>
      </w:r>
      <w:r w:rsidRPr="00377D90">
        <w:t>Regulation (EU) 2018/1805 of the European Parliament and of the Council of 14 November 2018 on the mutual recognition of freezing orders and confiscation orders</w:t>
      </w:r>
      <w:r>
        <w:t xml:space="preserve"> (</w:t>
      </w:r>
      <w:r w:rsidRPr="00377D90">
        <w:t>OJ L 303, 28.11.2018, p. 1</w:t>
      </w:r>
      <w:r>
        <w:t xml:space="preserve">, </w:t>
      </w:r>
      <w:r w:rsidRPr="004B7A41">
        <w:t>ELI: http://data.europa.eu/eli/reg/2018/1805/oj</w:t>
      </w:r>
      <w:r>
        <w:t>).</w:t>
      </w:r>
    </w:p>
  </w:footnote>
  <w:footnote w:id="22">
    <w:p w14:paraId="7E52DECD" w14:textId="77777777" w:rsidR="003863A6" w:rsidRPr="00AD3FFC" w:rsidRDefault="003863A6">
      <w:pPr>
        <w:pStyle w:val="FootnoteText"/>
        <w:rPr>
          <w:lang w:val="en-IE"/>
        </w:rPr>
      </w:pPr>
      <w:r>
        <w:rPr>
          <w:rStyle w:val="FootnoteReference"/>
        </w:rPr>
        <w:t>4</w:t>
      </w:r>
      <w:r>
        <w:tab/>
      </w:r>
      <w:r w:rsidRPr="002956C6">
        <w:rPr>
          <w:lang w:val="en-IE"/>
        </w:rPr>
        <w:t>Council Framework Decision 2003/577/JHA of 22 July 2003 on the execution in the European Union of orders freezing property or evidence</w:t>
      </w:r>
      <w:r>
        <w:rPr>
          <w:lang w:val="en-IE"/>
        </w:rPr>
        <w:t xml:space="preserve"> (</w:t>
      </w:r>
      <w:r w:rsidRPr="002956C6">
        <w:rPr>
          <w:lang w:val="en-IE"/>
        </w:rPr>
        <w:t>OJ L 196, 2.8.2003, p. 45</w:t>
      </w:r>
      <w:r>
        <w:rPr>
          <w:lang w:val="en-IE"/>
        </w:rPr>
        <w:t xml:space="preserve">, </w:t>
      </w:r>
      <w:r w:rsidRPr="00D5736A">
        <w:rPr>
          <w:lang w:val="en-IE"/>
        </w:rPr>
        <w:t>http://data.europa.eu/eli/dec_framw/2003/577/oj</w:t>
      </w:r>
      <w:r>
        <w:rPr>
          <w:lang w:val="en-IE"/>
        </w:rPr>
        <w:t>).</w:t>
      </w:r>
    </w:p>
  </w:footnote>
  <w:footnote w:id="23">
    <w:p w14:paraId="4C3A50E3" w14:textId="77777777" w:rsidR="00AD3FFC" w:rsidRPr="00AD3FFC" w:rsidRDefault="00AD3FFC">
      <w:pPr>
        <w:pStyle w:val="FootnoteText"/>
        <w:rPr>
          <w:lang w:val="en-IE"/>
        </w:rPr>
      </w:pPr>
      <w:r>
        <w:rPr>
          <w:rStyle w:val="FootnoteReference"/>
        </w:rPr>
        <w:t>5</w:t>
      </w:r>
      <w:r>
        <w:tab/>
      </w:r>
      <w:r w:rsidRPr="002956C6">
        <w:rPr>
          <w:lang w:val="en-IE"/>
        </w:rPr>
        <w:t>Council Framework Decision 2006/783/JHA of 6 October 2006 on the application of the principle of mutual recognition to confiscation orders</w:t>
      </w:r>
      <w:r>
        <w:rPr>
          <w:lang w:val="en-IE"/>
        </w:rPr>
        <w:t xml:space="preserve"> (</w:t>
      </w:r>
      <w:r w:rsidRPr="002956C6">
        <w:rPr>
          <w:lang w:val="en-IE"/>
        </w:rPr>
        <w:t>OJ L 328, 24.11.2006, p. 59</w:t>
      </w:r>
      <w:r>
        <w:rPr>
          <w:lang w:val="en-IE"/>
        </w:rPr>
        <w:t xml:space="preserve">, </w:t>
      </w:r>
      <w:r w:rsidRPr="00D5736A">
        <w:rPr>
          <w:lang w:val="en-IE"/>
        </w:rPr>
        <w:t>ELI: http://data.europa.eu/eli/dec_framw/2006/783/oj</w:t>
      </w:r>
      <w:r>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EACC" w14:textId="77777777" w:rsidR="00716E63" w:rsidRDefault="00716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638D" w14:textId="77777777" w:rsidR="00716E63" w:rsidRDefault="00716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D56A0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DEE97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0B2B2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ED8353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71047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364A62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01EA62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1C8A9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F9E5611"/>
    <w:multiLevelType w:val="multilevel"/>
    <w:tmpl w:val="E7DC9D06"/>
    <w:lvl w:ilvl="0">
      <w:start w:val="1"/>
      <w:numFmt w:val="upperLetter"/>
      <w:pStyle w:val="Heading1new"/>
      <w:lvlText w:val="%1."/>
      <w:lvlJc w:val="left"/>
      <w:pPr>
        <w:ind w:left="710" w:firstLine="0"/>
      </w:pPr>
      <w:rPr>
        <w:rFonts w:hint="default"/>
      </w:rPr>
    </w:lvl>
    <w:lvl w:ilvl="1">
      <w:start w:val="1"/>
      <w:numFmt w:val="decimal"/>
      <w:pStyle w:val="Heading2new"/>
      <w:lvlText w:val="%1.%2."/>
      <w:lvlJc w:val="left"/>
      <w:pPr>
        <w:ind w:left="1844" w:firstLine="0"/>
      </w:pPr>
      <w:rPr>
        <w:rFonts w:hint="default"/>
        <w:b w:val="0"/>
      </w:rPr>
    </w:lvl>
    <w:lvl w:ilvl="2">
      <w:start w:val="1"/>
      <w:numFmt w:val="decimal"/>
      <w:pStyle w:val="Heading3new"/>
      <w:lvlText w:val="%1.%2.%3."/>
      <w:lvlJc w:val="left"/>
      <w:pPr>
        <w:ind w:left="1418"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Heading4new"/>
      <w:lvlText w:val="%1.%2.%3.%4."/>
      <w:lvlJc w:val="left"/>
      <w:pPr>
        <w:ind w:left="425" w:firstLine="0"/>
      </w:pPr>
      <w:rPr>
        <w:rFonts w:hint="default"/>
      </w:rPr>
    </w:lvl>
    <w:lvl w:ilvl="4">
      <w:start w:val="1"/>
      <w:numFmt w:val="decimal"/>
      <w:pStyle w:val="Heading5new"/>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36E0A5D"/>
    <w:multiLevelType w:val="singleLevel"/>
    <w:tmpl w:val="1A8A7AF8"/>
    <w:lvl w:ilvl="0">
      <w:start w:val="1"/>
      <w:numFmt w:val="bullet"/>
      <w:pStyle w:val="Par-equal"/>
      <w:lvlText w:val=""/>
      <w:lvlJc w:val="left"/>
      <w:pPr>
        <w:tabs>
          <w:tab w:val="num" w:pos="567"/>
        </w:tabs>
        <w:ind w:left="567" w:hanging="567"/>
      </w:pPr>
      <w:rPr>
        <w:rFonts w:ascii="Symbol" w:hAnsi="Symbol" w:hint="default"/>
      </w:r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6"/>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3"/>
  </w:num>
  <w:num w:numId="15">
    <w:abstractNumId w:val="23"/>
  </w:num>
  <w:num w:numId="16">
    <w:abstractNumId w:val="12"/>
  </w:num>
  <w:num w:numId="17">
    <w:abstractNumId w:val="14"/>
  </w:num>
  <w:num w:numId="18">
    <w:abstractNumId w:val="15"/>
  </w:num>
  <w:num w:numId="19">
    <w:abstractNumId w:val="10"/>
  </w:num>
  <w:num w:numId="20">
    <w:abstractNumId w:val="22"/>
  </w:num>
  <w:num w:numId="21">
    <w:abstractNumId w:val="9"/>
  </w:num>
  <w:num w:numId="22">
    <w:abstractNumId w:val="17"/>
  </w:num>
  <w:num w:numId="23">
    <w:abstractNumId w:val="19"/>
  </w:num>
  <w:num w:numId="24">
    <w:abstractNumId w:val="20"/>
  </w:num>
  <w:num w:numId="25">
    <w:abstractNumId w:val="11"/>
  </w:num>
  <w:num w:numId="26">
    <w:abstractNumId w:val="18"/>
  </w:num>
  <w:num w:numId="27">
    <w:abstractNumId w:val="24"/>
  </w:num>
  <w:num w:numId="28">
    <w:abstractNumId w:val="21"/>
  </w:num>
  <w:num w:numId="29">
    <w:abstractNumId w:val="13"/>
  </w:num>
  <w:num w:numId="30">
    <w:abstractNumId w:val="23"/>
  </w:num>
  <w:num w:numId="31">
    <w:abstractNumId w:val="12"/>
  </w:num>
  <w:num w:numId="32">
    <w:abstractNumId w:val="14"/>
  </w:num>
  <w:num w:numId="33">
    <w:abstractNumId w:val="15"/>
  </w:num>
  <w:num w:numId="34">
    <w:abstractNumId w:val="10"/>
  </w:num>
  <w:num w:numId="35">
    <w:abstractNumId w:val="22"/>
  </w:num>
  <w:num w:numId="36">
    <w:abstractNumId w:val="9"/>
  </w:num>
  <w:num w:numId="37">
    <w:abstractNumId w:val="17"/>
  </w:num>
  <w:num w:numId="38">
    <w:abstractNumId w:val="19"/>
  </w:num>
  <w:num w:numId="39">
    <w:abstractNumId w:val="20"/>
  </w:num>
  <w:num w:numId="40">
    <w:abstractNumId w:val="11"/>
  </w:num>
  <w:num w:numId="41">
    <w:abstractNumId w:val="18"/>
  </w:num>
  <w:num w:numId="4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4-05 15:4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C79A9E6A-D749-4884-BB0A-BD80C161DC9C"/>
    <w:docVar w:name="LW_COVERPAGE_TYPE" w:val="1"/>
    <w:docVar w:name="LW_CROSSREFERENCE" w:val="&lt;UNUSED&gt;"/>
    <w:docVar w:name="LW_DocType" w:val="COM"/>
    <w:docVar w:name="LW_EMISSION" w:val="17.4.2024"/>
    <w:docVar w:name="LW_EMISSION_ISODATE" w:val="2024-04-17"/>
    <w:docVar w:name="LW_EMISSION_LOCATION" w:val="BRX"/>
    <w:docVar w:name="LW_EMISSION_PREFIX" w:val="Brussels, "/>
    <w:docVar w:name="LW_EMISSION_SUFFIX" w:val=" "/>
    <w:docVar w:name="LW_ID_DOCMODEL" w:val="SG-001"/>
    <w:docVar w:name="LW_ID_DOCSIGNATURE" w:val="SG-001"/>
    <w:docVar w:name="LW_ID_DOCSTRUCTURE" w:val="COM/PL/ORG/NOEEA"/>
    <w:docVar w:name="LW_ID_DOCTYPE" w:val="SG-001"/>
    <w:docVar w:name="LW_ID_STATUT" w:val="SG-001"/>
    <w:docVar w:name="LW_INSERT_EXP.MOTIFS.NEW" w:val="1"/>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17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authorising the European Commission to participate, on behalf of the European Union, in negotiations on an additional protocol to the Council of Europe Convention on Laundering, Search, Seizure and Confiscation of the Proceeds from Crime and on the Financing of Terrorism (CETS No. 198)"/>
    <w:docVar w:name="LW_TYPE.DOC.CP" w:val="COUNCIL DECISION"/>
    <w:docVar w:name="LwApiVersions" w:val="LW4CoDe 1.24.5.0; LW 9.0, Build 20240221"/>
  </w:docVars>
  <w:rsids>
    <w:rsidRoot w:val="00117080"/>
    <w:rsid w:val="0002366C"/>
    <w:rsid w:val="000600AE"/>
    <w:rsid w:val="00062DB4"/>
    <w:rsid w:val="000638BF"/>
    <w:rsid w:val="000677AC"/>
    <w:rsid w:val="000827C2"/>
    <w:rsid w:val="000B33B5"/>
    <w:rsid w:val="000B3F97"/>
    <w:rsid w:val="000D25AB"/>
    <w:rsid w:val="000D72B6"/>
    <w:rsid w:val="000E1DA7"/>
    <w:rsid w:val="000E2C90"/>
    <w:rsid w:val="000F18C1"/>
    <w:rsid w:val="00102F14"/>
    <w:rsid w:val="001065F5"/>
    <w:rsid w:val="00113A69"/>
    <w:rsid w:val="00117080"/>
    <w:rsid w:val="00121C8A"/>
    <w:rsid w:val="001238EF"/>
    <w:rsid w:val="00133244"/>
    <w:rsid w:val="0015436C"/>
    <w:rsid w:val="00184FAB"/>
    <w:rsid w:val="00187495"/>
    <w:rsid w:val="001917B4"/>
    <w:rsid w:val="00193E95"/>
    <w:rsid w:val="00197613"/>
    <w:rsid w:val="001A35D7"/>
    <w:rsid w:val="001A406E"/>
    <w:rsid w:val="001B5BF9"/>
    <w:rsid w:val="001B6071"/>
    <w:rsid w:val="001C2DCD"/>
    <w:rsid w:val="001D16B8"/>
    <w:rsid w:val="001D4FD8"/>
    <w:rsid w:val="001E484B"/>
    <w:rsid w:val="001E4A84"/>
    <w:rsid w:val="001E5D14"/>
    <w:rsid w:val="001F07A0"/>
    <w:rsid w:val="001F4F47"/>
    <w:rsid w:val="00206DCC"/>
    <w:rsid w:val="00213A36"/>
    <w:rsid w:val="00227F11"/>
    <w:rsid w:val="00233DC7"/>
    <w:rsid w:val="00236EBC"/>
    <w:rsid w:val="00241E27"/>
    <w:rsid w:val="0024754A"/>
    <w:rsid w:val="00247779"/>
    <w:rsid w:val="002542C3"/>
    <w:rsid w:val="00271364"/>
    <w:rsid w:val="00272416"/>
    <w:rsid w:val="00274B9B"/>
    <w:rsid w:val="00282956"/>
    <w:rsid w:val="00285BEE"/>
    <w:rsid w:val="00287588"/>
    <w:rsid w:val="002943C7"/>
    <w:rsid w:val="0029533F"/>
    <w:rsid w:val="002956C6"/>
    <w:rsid w:val="002960FD"/>
    <w:rsid w:val="00297207"/>
    <w:rsid w:val="002A7FF4"/>
    <w:rsid w:val="002B30AF"/>
    <w:rsid w:val="002C1CB3"/>
    <w:rsid w:val="002C2888"/>
    <w:rsid w:val="002C5D7D"/>
    <w:rsid w:val="002D1B14"/>
    <w:rsid w:val="002D3659"/>
    <w:rsid w:val="003014FD"/>
    <w:rsid w:val="00305207"/>
    <w:rsid w:val="00307D64"/>
    <w:rsid w:val="00316F3B"/>
    <w:rsid w:val="00325DAF"/>
    <w:rsid w:val="0033344A"/>
    <w:rsid w:val="00344A9B"/>
    <w:rsid w:val="0034630A"/>
    <w:rsid w:val="003466C7"/>
    <w:rsid w:val="0035494C"/>
    <w:rsid w:val="0035683F"/>
    <w:rsid w:val="0036179C"/>
    <w:rsid w:val="00377D90"/>
    <w:rsid w:val="003863A6"/>
    <w:rsid w:val="003A0BE0"/>
    <w:rsid w:val="003A2C9A"/>
    <w:rsid w:val="003A522A"/>
    <w:rsid w:val="003B09DA"/>
    <w:rsid w:val="003B295E"/>
    <w:rsid w:val="003B4EB9"/>
    <w:rsid w:val="003C7A59"/>
    <w:rsid w:val="003D58A3"/>
    <w:rsid w:val="003F2A16"/>
    <w:rsid w:val="00401840"/>
    <w:rsid w:val="004245F7"/>
    <w:rsid w:val="0042648E"/>
    <w:rsid w:val="004267D9"/>
    <w:rsid w:val="00426804"/>
    <w:rsid w:val="00441B8B"/>
    <w:rsid w:val="00445F56"/>
    <w:rsid w:val="004614DB"/>
    <w:rsid w:val="0047731E"/>
    <w:rsid w:val="00484C0E"/>
    <w:rsid w:val="004936D2"/>
    <w:rsid w:val="004937CD"/>
    <w:rsid w:val="004A0E00"/>
    <w:rsid w:val="004B7A41"/>
    <w:rsid w:val="004C2304"/>
    <w:rsid w:val="004C52EC"/>
    <w:rsid w:val="004C5B75"/>
    <w:rsid w:val="004C5EC9"/>
    <w:rsid w:val="004D2E60"/>
    <w:rsid w:val="004F59B9"/>
    <w:rsid w:val="004F6174"/>
    <w:rsid w:val="004F6A39"/>
    <w:rsid w:val="005019A5"/>
    <w:rsid w:val="0050209C"/>
    <w:rsid w:val="00505C10"/>
    <w:rsid w:val="00507616"/>
    <w:rsid w:val="00517014"/>
    <w:rsid w:val="005251C7"/>
    <w:rsid w:val="0052575D"/>
    <w:rsid w:val="00531F0C"/>
    <w:rsid w:val="00536480"/>
    <w:rsid w:val="00540B2D"/>
    <w:rsid w:val="005412FA"/>
    <w:rsid w:val="0054477E"/>
    <w:rsid w:val="005747B3"/>
    <w:rsid w:val="00576EAA"/>
    <w:rsid w:val="00586708"/>
    <w:rsid w:val="0059363B"/>
    <w:rsid w:val="005946BD"/>
    <w:rsid w:val="005A04D7"/>
    <w:rsid w:val="005A3171"/>
    <w:rsid w:val="005A49C0"/>
    <w:rsid w:val="005B11F0"/>
    <w:rsid w:val="005B1EB6"/>
    <w:rsid w:val="005B430B"/>
    <w:rsid w:val="005F6CB7"/>
    <w:rsid w:val="00611462"/>
    <w:rsid w:val="00612CF4"/>
    <w:rsid w:val="00623836"/>
    <w:rsid w:val="00636ACB"/>
    <w:rsid w:val="00645E90"/>
    <w:rsid w:val="00651248"/>
    <w:rsid w:val="006560C4"/>
    <w:rsid w:val="00656E45"/>
    <w:rsid w:val="0066036F"/>
    <w:rsid w:val="00661AAD"/>
    <w:rsid w:val="006637F7"/>
    <w:rsid w:val="00663B14"/>
    <w:rsid w:val="00677378"/>
    <w:rsid w:val="00680668"/>
    <w:rsid w:val="00697937"/>
    <w:rsid w:val="006A67A4"/>
    <w:rsid w:val="006B53E1"/>
    <w:rsid w:val="006B6FA5"/>
    <w:rsid w:val="006D5225"/>
    <w:rsid w:val="00702F66"/>
    <w:rsid w:val="007055B6"/>
    <w:rsid w:val="00716D67"/>
    <w:rsid w:val="00716E63"/>
    <w:rsid w:val="0073033A"/>
    <w:rsid w:val="00731836"/>
    <w:rsid w:val="0073771B"/>
    <w:rsid w:val="007378E5"/>
    <w:rsid w:val="00760C6D"/>
    <w:rsid w:val="007628BD"/>
    <w:rsid w:val="00773331"/>
    <w:rsid w:val="0077632A"/>
    <w:rsid w:val="007801FD"/>
    <w:rsid w:val="007808D0"/>
    <w:rsid w:val="0078614E"/>
    <w:rsid w:val="007932EF"/>
    <w:rsid w:val="007A3F39"/>
    <w:rsid w:val="007C2D9F"/>
    <w:rsid w:val="007C2E0A"/>
    <w:rsid w:val="007C361A"/>
    <w:rsid w:val="007C3781"/>
    <w:rsid w:val="007C4478"/>
    <w:rsid w:val="007C73E3"/>
    <w:rsid w:val="007D00F2"/>
    <w:rsid w:val="007E05B0"/>
    <w:rsid w:val="00802000"/>
    <w:rsid w:val="00806A08"/>
    <w:rsid w:val="008306CA"/>
    <w:rsid w:val="00836BFD"/>
    <w:rsid w:val="00865BC9"/>
    <w:rsid w:val="00870DF4"/>
    <w:rsid w:val="00874D22"/>
    <w:rsid w:val="008809AD"/>
    <w:rsid w:val="0088216C"/>
    <w:rsid w:val="008821A9"/>
    <w:rsid w:val="00887ABB"/>
    <w:rsid w:val="00890157"/>
    <w:rsid w:val="008A2914"/>
    <w:rsid w:val="008A5E02"/>
    <w:rsid w:val="008B06E6"/>
    <w:rsid w:val="008B22FF"/>
    <w:rsid w:val="008C58F0"/>
    <w:rsid w:val="008D52DE"/>
    <w:rsid w:val="008E0539"/>
    <w:rsid w:val="008E4D8E"/>
    <w:rsid w:val="00904B24"/>
    <w:rsid w:val="00917928"/>
    <w:rsid w:val="0092714A"/>
    <w:rsid w:val="009448B7"/>
    <w:rsid w:val="00985B68"/>
    <w:rsid w:val="0098626E"/>
    <w:rsid w:val="00987689"/>
    <w:rsid w:val="009950D6"/>
    <w:rsid w:val="009A7550"/>
    <w:rsid w:val="009B115E"/>
    <w:rsid w:val="009B26B3"/>
    <w:rsid w:val="009B3EFA"/>
    <w:rsid w:val="009B4CE1"/>
    <w:rsid w:val="009C3AF4"/>
    <w:rsid w:val="009C3CE3"/>
    <w:rsid w:val="009D1632"/>
    <w:rsid w:val="009D493D"/>
    <w:rsid w:val="009E0112"/>
    <w:rsid w:val="009F0D81"/>
    <w:rsid w:val="009F68E8"/>
    <w:rsid w:val="00A10E60"/>
    <w:rsid w:val="00A111DB"/>
    <w:rsid w:val="00A26BE5"/>
    <w:rsid w:val="00A27364"/>
    <w:rsid w:val="00A43663"/>
    <w:rsid w:val="00A44337"/>
    <w:rsid w:val="00A56A46"/>
    <w:rsid w:val="00A66721"/>
    <w:rsid w:val="00A72338"/>
    <w:rsid w:val="00A72AE2"/>
    <w:rsid w:val="00A74C5C"/>
    <w:rsid w:val="00A86CF8"/>
    <w:rsid w:val="00A91D69"/>
    <w:rsid w:val="00A91E6C"/>
    <w:rsid w:val="00A9538D"/>
    <w:rsid w:val="00A96842"/>
    <w:rsid w:val="00A96C84"/>
    <w:rsid w:val="00AD28BB"/>
    <w:rsid w:val="00AD3FFC"/>
    <w:rsid w:val="00AE541B"/>
    <w:rsid w:val="00B17092"/>
    <w:rsid w:val="00B21B87"/>
    <w:rsid w:val="00B22BD5"/>
    <w:rsid w:val="00B378B1"/>
    <w:rsid w:val="00B438BA"/>
    <w:rsid w:val="00B7174A"/>
    <w:rsid w:val="00B777A5"/>
    <w:rsid w:val="00B82EBE"/>
    <w:rsid w:val="00B83B33"/>
    <w:rsid w:val="00BB7C1D"/>
    <w:rsid w:val="00BC7A71"/>
    <w:rsid w:val="00BE0675"/>
    <w:rsid w:val="00BE3981"/>
    <w:rsid w:val="00BF477F"/>
    <w:rsid w:val="00BF6F5F"/>
    <w:rsid w:val="00C0140D"/>
    <w:rsid w:val="00C07690"/>
    <w:rsid w:val="00C10D53"/>
    <w:rsid w:val="00C12301"/>
    <w:rsid w:val="00C1387E"/>
    <w:rsid w:val="00C23F03"/>
    <w:rsid w:val="00C3446C"/>
    <w:rsid w:val="00C40C22"/>
    <w:rsid w:val="00C50AC3"/>
    <w:rsid w:val="00C51470"/>
    <w:rsid w:val="00C52B8A"/>
    <w:rsid w:val="00C56B17"/>
    <w:rsid w:val="00C76DC1"/>
    <w:rsid w:val="00C900DC"/>
    <w:rsid w:val="00CC412D"/>
    <w:rsid w:val="00CD592F"/>
    <w:rsid w:val="00CD5A50"/>
    <w:rsid w:val="00CE3146"/>
    <w:rsid w:val="00CE7B02"/>
    <w:rsid w:val="00CF01A6"/>
    <w:rsid w:val="00CF1D95"/>
    <w:rsid w:val="00CF34B5"/>
    <w:rsid w:val="00CF5A51"/>
    <w:rsid w:val="00D0047D"/>
    <w:rsid w:val="00D0103C"/>
    <w:rsid w:val="00D02A59"/>
    <w:rsid w:val="00D078EC"/>
    <w:rsid w:val="00D20381"/>
    <w:rsid w:val="00D230E9"/>
    <w:rsid w:val="00D254EC"/>
    <w:rsid w:val="00D342C1"/>
    <w:rsid w:val="00D45396"/>
    <w:rsid w:val="00D5736A"/>
    <w:rsid w:val="00D70941"/>
    <w:rsid w:val="00D736BD"/>
    <w:rsid w:val="00DA066E"/>
    <w:rsid w:val="00DA5B4B"/>
    <w:rsid w:val="00DB2A5E"/>
    <w:rsid w:val="00DC0FDD"/>
    <w:rsid w:val="00DE0D11"/>
    <w:rsid w:val="00DE330D"/>
    <w:rsid w:val="00DE74D5"/>
    <w:rsid w:val="00DF783C"/>
    <w:rsid w:val="00E1150F"/>
    <w:rsid w:val="00E14476"/>
    <w:rsid w:val="00E14E52"/>
    <w:rsid w:val="00E158BF"/>
    <w:rsid w:val="00E20814"/>
    <w:rsid w:val="00E20F0D"/>
    <w:rsid w:val="00E257AB"/>
    <w:rsid w:val="00E30A51"/>
    <w:rsid w:val="00E3469A"/>
    <w:rsid w:val="00E420D8"/>
    <w:rsid w:val="00E44249"/>
    <w:rsid w:val="00E5081F"/>
    <w:rsid w:val="00E524DE"/>
    <w:rsid w:val="00E56DF3"/>
    <w:rsid w:val="00E56E79"/>
    <w:rsid w:val="00E612D7"/>
    <w:rsid w:val="00E813F2"/>
    <w:rsid w:val="00E81BAF"/>
    <w:rsid w:val="00E90B2B"/>
    <w:rsid w:val="00E9274C"/>
    <w:rsid w:val="00E93EA9"/>
    <w:rsid w:val="00E96D55"/>
    <w:rsid w:val="00EA28F3"/>
    <w:rsid w:val="00EA605E"/>
    <w:rsid w:val="00EC4F8D"/>
    <w:rsid w:val="00ED2893"/>
    <w:rsid w:val="00ED2FF0"/>
    <w:rsid w:val="00ED4AA0"/>
    <w:rsid w:val="00EF1666"/>
    <w:rsid w:val="00F11811"/>
    <w:rsid w:val="00F1749D"/>
    <w:rsid w:val="00F31D97"/>
    <w:rsid w:val="00F35FDC"/>
    <w:rsid w:val="00F53337"/>
    <w:rsid w:val="00F53892"/>
    <w:rsid w:val="00F6051A"/>
    <w:rsid w:val="00F6192F"/>
    <w:rsid w:val="00F75EC1"/>
    <w:rsid w:val="00F93A78"/>
    <w:rsid w:val="00FA2B8D"/>
    <w:rsid w:val="00FA55C7"/>
    <w:rsid w:val="00FB70E5"/>
    <w:rsid w:val="00FC38F8"/>
    <w:rsid w:val="00FC3CCC"/>
    <w:rsid w:val="00FD4ACF"/>
    <w:rsid w:val="00FD4CB6"/>
    <w:rsid w:val="03636BDA"/>
    <w:rsid w:val="04239B4F"/>
    <w:rsid w:val="0B103B4B"/>
    <w:rsid w:val="0CB33917"/>
    <w:rsid w:val="0E4AA30A"/>
    <w:rsid w:val="16E2ADBE"/>
    <w:rsid w:val="1C082716"/>
    <w:rsid w:val="1F3FC7D8"/>
    <w:rsid w:val="261AD558"/>
    <w:rsid w:val="261B0FC4"/>
    <w:rsid w:val="26CE5F3C"/>
    <w:rsid w:val="3A39BD26"/>
    <w:rsid w:val="4936C93E"/>
    <w:rsid w:val="50B66156"/>
    <w:rsid w:val="52008BB3"/>
    <w:rsid w:val="52C48327"/>
    <w:rsid w:val="557BF474"/>
    <w:rsid w:val="69608B97"/>
    <w:rsid w:val="6BAC56EC"/>
    <w:rsid w:val="6E2986FE"/>
    <w:rsid w:val="739E4074"/>
    <w:rsid w:val="73F572EC"/>
    <w:rsid w:val="79D7D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54FBE"/>
  <w15:docId w15:val="{95594257-146F-4986-B05B-AD92EAE8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A3F39"/>
    <w:pPr>
      <w:numPr>
        <w:numId w:val="1"/>
      </w:numPr>
      <w:contextualSpacing/>
    </w:pPr>
  </w:style>
  <w:style w:type="paragraph" w:styleId="ListBullet2">
    <w:name w:val="List Bullet 2"/>
    <w:basedOn w:val="Normal"/>
    <w:uiPriority w:val="99"/>
    <w:semiHidden/>
    <w:unhideWhenUsed/>
    <w:rsid w:val="007A3F39"/>
    <w:pPr>
      <w:numPr>
        <w:numId w:val="2"/>
      </w:numPr>
      <w:contextualSpacing/>
    </w:pPr>
  </w:style>
  <w:style w:type="paragraph" w:styleId="ListBullet3">
    <w:name w:val="List Bullet 3"/>
    <w:basedOn w:val="Normal"/>
    <w:uiPriority w:val="99"/>
    <w:semiHidden/>
    <w:unhideWhenUsed/>
    <w:rsid w:val="007A3F39"/>
    <w:pPr>
      <w:numPr>
        <w:numId w:val="3"/>
      </w:numPr>
      <w:contextualSpacing/>
    </w:pPr>
  </w:style>
  <w:style w:type="paragraph" w:styleId="ListBullet4">
    <w:name w:val="List Bullet 4"/>
    <w:basedOn w:val="Normal"/>
    <w:uiPriority w:val="99"/>
    <w:semiHidden/>
    <w:unhideWhenUsed/>
    <w:rsid w:val="007A3F39"/>
    <w:pPr>
      <w:numPr>
        <w:numId w:val="4"/>
      </w:numPr>
      <w:contextualSpacing/>
    </w:pPr>
  </w:style>
  <w:style w:type="paragraph" w:styleId="ListParagraph">
    <w:name w:val="List Paragraph"/>
    <w:basedOn w:val="Normal"/>
    <w:uiPriority w:val="34"/>
    <w:qFormat/>
    <w:rsid w:val="00612CF4"/>
    <w:pPr>
      <w:spacing w:before="0" w:after="160" w:line="259" w:lineRule="auto"/>
      <w:ind w:left="720"/>
      <w:contextualSpacing/>
      <w:jc w:val="left"/>
    </w:pPr>
    <w:rPr>
      <w:rFonts w:asciiTheme="minorHAnsi" w:hAnsiTheme="minorHAnsi" w:cstheme="minorBidi"/>
      <w:sz w:val="22"/>
      <w:lang w:val="fr-BE"/>
    </w:rPr>
  </w:style>
  <w:style w:type="paragraph" w:customStyle="1" w:styleId="paragraph">
    <w:name w:val="paragraph"/>
    <w:basedOn w:val="Normal"/>
    <w:rsid w:val="00612CF4"/>
    <w:pPr>
      <w:spacing w:before="100" w:beforeAutospacing="1" w:after="100" w:afterAutospacing="1"/>
      <w:jc w:val="left"/>
    </w:pPr>
    <w:rPr>
      <w:rFonts w:eastAsia="Times New Roman"/>
      <w:szCs w:val="24"/>
      <w:lang w:val="en-IE" w:eastAsia="en-IE"/>
    </w:rPr>
  </w:style>
  <w:style w:type="character" w:customStyle="1" w:styleId="normaltextrun">
    <w:name w:val="normaltextrun"/>
    <w:basedOn w:val="DefaultParagraphFont"/>
    <w:rsid w:val="00612CF4"/>
  </w:style>
  <w:style w:type="character" w:customStyle="1" w:styleId="eop">
    <w:name w:val="eop"/>
    <w:basedOn w:val="DefaultParagraphFont"/>
    <w:rsid w:val="00612CF4"/>
  </w:style>
  <w:style w:type="character" w:styleId="Hyperlink">
    <w:name w:val="Hyperlink"/>
    <w:basedOn w:val="DefaultParagraphFont"/>
    <w:uiPriority w:val="99"/>
    <w:unhideWhenUsed/>
    <w:rsid w:val="00612CF4"/>
    <w:rPr>
      <w:color w:val="0000FF" w:themeColor="hyperlink"/>
      <w:u w:val="single"/>
    </w:rPr>
  </w:style>
  <w:style w:type="character" w:styleId="Emphasis">
    <w:name w:val="Emphasis"/>
    <w:basedOn w:val="DefaultParagraphFont"/>
    <w:uiPriority w:val="20"/>
    <w:qFormat/>
    <w:rsid w:val="00AE541B"/>
    <w:rPr>
      <w:i/>
      <w:iCs/>
    </w:rPr>
  </w:style>
  <w:style w:type="character" w:styleId="CommentReference">
    <w:name w:val="annotation reference"/>
    <w:basedOn w:val="DefaultParagraphFont"/>
    <w:uiPriority w:val="99"/>
    <w:semiHidden/>
    <w:unhideWhenUsed/>
    <w:rsid w:val="00C56B17"/>
    <w:rPr>
      <w:sz w:val="16"/>
      <w:szCs w:val="16"/>
    </w:rPr>
  </w:style>
  <w:style w:type="paragraph" w:styleId="CommentText">
    <w:name w:val="annotation text"/>
    <w:basedOn w:val="Normal"/>
    <w:link w:val="CommentTextChar"/>
    <w:uiPriority w:val="99"/>
    <w:unhideWhenUsed/>
    <w:rsid w:val="00C56B17"/>
    <w:pPr>
      <w:spacing w:before="0" w:after="160"/>
      <w:jc w:val="left"/>
    </w:pPr>
    <w:rPr>
      <w:rFonts w:asciiTheme="minorHAnsi" w:hAnsiTheme="minorHAnsi" w:cstheme="minorBidi"/>
      <w:sz w:val="20"/>
      <w:szCs w:val="20"/>
      <w:lang w:val="fr-BE"/>
    </w:rPr>
  </w:style>
  <w:style w:type="character" w:customStyle="1" w:styleId="CommentTextChar">
    <w:name w:val="Comment Text Char"/>
    <w:basedOn w:val="DefaultParagraphFont"/>
    <w:link w:val="CommentText"/>
    <w:uiPriority w:val="99"/>
    <w:rsid w:val="00C56B17"/>
    <w:rPr>
      <w:sz w:val="20"/>
      <w:szCs w:val="20"/>
      <w:lang w:val="fr-BE"/>
    </w:rPr>
  </w:style>
  <w:style w:type="paragraph" w:styleId="Caption">
    <w:name w:val="caption"/>
    <w:basedOn w:val="Normal"/>
    <w:next w:val="Normal"/>
    <w:uiPriority w:val="35"/>
    <w:semiHidden/>
    <w:unhideWhenUsed/>
    <w:qFormat/>
    <w:rsid w:val="00A111D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111DB"/>
    <w:pPr>
      <w:spacing w:after="0"/>
    </w:pPr>
  </w:style>
  <w:style w:type="paragraph" w:styleId="ListNumber">
    <w:name w:val="List Number"/>
    <w:basedOn w:val="Normal"/>
    <w:uiPriority w:val="99"/>
    <w:semiHidden/>
    <w:unhideWhenUsed/>
    <w:rsid w:val="00A111DB"/>
    <w:pPr>
      <w:numPr>
        <w:numId w:val="5"/>
      </w:numPr>
      <w:contextualSpacing/>
    </w:pPr>
  </w:style>
  <w:style w:type="paragraph" w:styleId="ListNumber2">
    <w:name w:val="List Number 2"/>
    <w:basedOn w:val="Normal"/>
    <w:uiPriority w:val="99"/>
    <w:semiHidden/>
    <w:unhideWhenUsed/>
    <w:rsid w:val="00A111DB"/>
    <w:pPr>
      <w:numPr>
        <w:numId w:val="6"/>
      </w:numPr>
      <w:contextualSpacing/>
    </w:pPr>
  </w:style>
  <w:style w:type="paragraph" w:styleId="ListNumber3">
    <w:name w:val="List Number 3"/>
    <w:basedOn w:val="Normal"/>
    <w:uiPriority w:val="99"/>
    <w:semiHidden/>
    <w:unhideWhenUsed/>
    <w:rsid w:val="00A111DB"/>
    <w:pPr>
      <w:numPr>
        <w:numId w:val="7"/>
      </w:numPr>
      <w:contextualSpacing/>
    </w:pPr>
  </w:style>
  <w:style w:type="paragraph" w:styleId="ListNumber4">
    <w:name w:val="List Number 4"/>
    <w:basedOn w:val="Normal"/>
    <w:uiPriority w:val="99"/>
    <w:semiHidden/>
    <w:unhideWhenUsed/>
    <w:rsid w:val="00A111DB"/>
    <w:pPr>
      <w:numPr>
        <w:numId w:val="8"/>
      </w:numPr>
      <w:contextualSpacing/>
    </w:pPr>
  </w:style>
  <w:style w:type="paragraph" w:styleId="CommentSubject">
    <w:name w:val="annotation subject"/>
    <w:basedOn w:val="CommentText"/>
    <w:next w:val="CommentText"/>
    <w:link w:val="CommentSubjectChar"/>
    <w:uiPriority w:val="99"/>
    <w:semiHidden/>
    <w:unhideWhenUsed/>
    <w:rsid w:val="00A26BE5"/>
    <w:pPr>
      <w:spacing w:before="120" w:after="120"/>
      <w:jc w:val="both"/>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A26BE5"/>
    <w:rPr>
      <w:rFonts w:ascii="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A26BE5"/>
    <w:rPr>
      <w:color w:val="605E5C"/>
      <w:shd w:val="clear" w:color="auto" w:fill="E1DFDD"/>
    </w:rPr>
  </w:style>
  <w:style w:type="paragraph" w:styleId="Revision">
    <w:name w:val="Revision"/>
    <w:hidden/>
    <w:uiPriority w:val="99"/>
    <w:semiHidden/>
    <w:rsid w:val="004F6A39"/>
    <w:pPr>
      <w:spacing w:after="0" w:line="240" w:lineRule="auto"/>
    </w:pPr>
    <w:rPr>
      <w:rFonts w:ascii="Times New Roman" w:hAnsi="Times New Roman" w:cs="Times New Roman"/>
      <w:sz w:val="24"/>
      <w:lang w:val="en-GB"/>
    </w:rPr>
  </w:style>
  <w:style w:type="character" w:customStyle="1" w:styleId="UnresolvedMention">
    <w:name w:val="Unresolved Mention"/>
    <w:basedOn w:val="DefaultParagraphFont"/>
    <w:uiPriority w:val="99"/>
    <w:semiHidden/>
    <w:unhideWhenUsed/>
    <w:rsid w:val="00271364"/>
    <w:rPr>
      <w:color w:val="605E5C"/>
      <w:shd w:val="clear" w:color="auto" w:fill="E1DFDD"/>
    </w:rPr>
  </w:style>
  <w:style w:type="paragraph" w:customStyle="1" w:styleId="Par-equal">
    <w:name w:val="Par-equal"/>
    <w:basedOn w:val="Normal"/>
    <w:next w:val="Normal"/>
    <w:rsid w:val="00D254EC"/>
    <w:pPr>
      <w:widowControl w:val="0"/>
      <w:numPr>
        <w:numId w:val="10"/>
      </w:numPr>
      <w:spacing w:before="0" w:after="0" w:line="360" w:lineRule="auto"/>
      <w:jc w:val="left"/>
    </w:pPr>
    <w:rPr>
      <w:rFonts w:eastAsia="Times New Roman"/>
      <w:szCs w:val="24"/>
      <w:lang w:eastAsia="fr-BE"/>
    </w:rPr>
  </w:style>
  <w:style w:type="paragraph" w:customStyle="1" w:styleId="Heading1new">
    <w:name w:val="Heading 1 new"/>
    <w:basedOn w:val="Normal"/>
    <w:qFormat/>
    <w:rsid w:val="00677378"/>
    <w:pPr>
      <w:widowControl w:val="0"/>
      <w:numPr>
        <w:numId w:val="11"/>
      </w:numPr>
      <w:spacing w:before="0" w:after="0"/>
      <w:jc w:val="center"/>
    </w:pPr>
    <w:rPr>
      <w:rFonts w:ascii="Verdana" w:eastAsia="Times New Roman" w:hAnsi="Verdana" w:cs="Calibri"/>
      <w:bCs/>
      <w:sz w:val="28"/>
      <w:szCs w:val="28"/>
      <w:lang w:eastAsia="fr-BE"/>
    </w:rPr>
  </w:style>
  <w:style w:type="paragraph" w:customStyle="1" w:styleId="Heading2new">
    <w:name w:val="Heading 2 new"/>
    <w:basedOn w:val="Normal"/>
    <w:qFormat/>
    <w:rsid w:val="00677378"/>
    <w:pPr>
      <w:widowControl w:val="0"/>
      <w:numPr>
        <w:ilvl w:val="1"/>
        <w:numId w:val="11"/>
      </w:numPr>
      <w:tabs>
        <w:tab w:val="left" w:pos="-1392"/>
        <w:tab w:val="left" w:pos="-720"/>
        <w:tab w:val="left" w:pos="709"/>
        <w:tab w:val="left" w:pos="993"/>
        <w:tab w:val="left" w:pos="1418"/>
        <w:tab w:val="right" w:pos="9638"/>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jc w:val="left"/>
      <w:outlineLvl w:val="0"/>
    </w:pPr>
    <w:rPr>
      <w:rFonts w:ascii="Verdana" w:eastAsia="Times New Roman" w:hAnsi="Verdana" w:cs="Calibri"/>
      <w:caps/>
      <w:szCs w:val="24"/>
      <w:lang w:eastAsia="fr-BE"/>
    </w:rPr>
  </w:style>
  <w:style w:type="paragraph" w:customStyle="1" w:styleId="Heading3new">
    <w:name w:val="Heading 3 new"/>
    <w:basedOn w:val="Normal"/>
    <w:qFormat/>
    <w:rsid w:val="00677378"/>
    <w:pPr>
      <w:widowControl w:val="0"/>
      <w:numPr>
        <w:ilvl w:val="2"/>
        <w:numId w:val="11"/>
      </w:numPr>
      <w:suppressAutoHyphens/>
      <w:spacing w:before="0"/>
      <w:jc w:val="left"/>
      <w:outlineLvl w:val="0"/>
    </w:pPr>
    <w:rPr>
      <w:rFonts w:ascii="Verdana" w:eastAsia="Times New Roman" w:hAnsi="Verdana" w:cs="Calibri"/>
      <w:szCs w:val="24"/>
      <w:lang w:eastAsia="fr-BE"/>
    </w:rPr>
  </w:style>
  <w:style w:type="paragraph" w:customStyle="1" w:styleId="Heading4new">
    <w:name w:val="Heading 4 new"/>
    <w:basedOn w:val="Normal"/>
    <w:link w:val="Heading4newChar"/>
    <w:qFormat/>
    <w:rsid w:val="00677378"/>
    <w:pPr>
      <w:widowControl w:val="0"/>
      <w:numPr>
        <w:ilvl w:val="3"/>
        <w:numId w:val="11"/>
      </w:numPr>
      <w:suppressAutoHyphens/>
      <w:spacing w:before="0"/>
      <w:jc w:val="left"/>
      <w:outlineLvl w:val="0"/>
    </w:pPr>
    <w:rPr>
      <w:rFonts w:ascii="Verdana" w:eastAsia="Times New Roman" w:hAnsi="Verdana"/>
      <w:szCs w:val="24"/>
      <w:lang w:eastAsia="fr-BE"/>
    </w:rPr>
  </w:style>
  <w:style w:type="paragraph" w:customStyle="1" w:styleId="Heading5new">
    <w:name w:val="Heading 5 new"/>
    <w:basedOn w:val="Normal"/>
    <w:qFormat/>
    <w:rsid w:val="00677378"/>
    <w:pPr>
      <w:widowControl w:val="0"/>
      <w:numPr>
        <w:ilvl w:val="4"/>
        <w:numId w:val="11"/>
      </w:numPr>
      <w:suppressAutoHyphens/>
      <w:spacing w:before="0"/>
      <w:ind w:left="2269" w:hanging="1418"/>
      <w:jc w:val="left"/>
      <w:outlineLvl w:val="0"/>
    </w:pPr>
    <w:rPr>
      <w:rFonts w:ascii="Verdana" w:eastAsia="Times New Roman" w:hAnsi="Verdana"/>
      <w:bCs/>
      <w:iCs/>
      <w:szCs w:val="24"/>
      <w:lang w:eastAsia="fr-BE"/>
    </w:rPr>
  </w:style>
  <w:style w:type="character" w:customStyle="1" w:styleId="Heading4newChar">
    <w:name w:val="Heading 4 new Char"/>
    <w:link w:val="Heading4new"/>
    <w:rsid w:val="00677378"/>
    <w:rPr>
      <w:rFonts w:ascii="Verdana" w:eastAsia="Times New Roman" w:hAnsi="Verdana" w:cs="Times New Roman"/>
      <w:sz w:val="24"/>
      <w:szCs w:val="24"/>
      <w:lang w:val="en-GB" w:eastAsia="fr-BE"/>
    </w:rPr>
  </w:style>
  <w:style w:type="character" w:customStyle="1" w:styleId="HeaderChar">
    <w:name w:val="Header Char"/>
    <w:basedOn w:val="DefaultParagraphFont"/>
    <w:link w:val="Header"/>
    <w:uiPriority w:val="99"/>
    <w:rsid w:val="00716E63"/>
    <w:rPr>
      <w:rFonts w:ascii="Times New Roman" w:hAnsi="Times New Roman" w:cs="Times New Roman"/>
      <w:sz w:val="24"/>
      <w:lang w:val="en-GB"/>
    </w:rPr>
  </w:style>
  <w:style w:type="character" w:customStyle="1" w:styleId="FooterChar">
    <w:name w:val="Footer Char"/>
    <w:basedOn w:val="DefaultParagraphFont"/>
    <w:link w:val="Footer"/>
    <w:uiPriority w:val="99"/>
    <w:rsid w:val="00716E6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16E6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16E63"/>
    <w:pPr>
      <w:spacing w:before="0"/>
      <w:jc w:val="right"/>
    </w:pPr>
    <w:rPr>
      <w:sz w:val="28"/>
    </w:rPr>
  </w:style>
  <w:style w:type="paragraph" w:customStyle="1" w:styleId="FooterSensitivity">
    <w:name w:val="Footer Sensitivity"/>
    <w:basedOn w:val="Normal"/>
    <w:rsid w:val="00716E6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16E63"/>
    <w:pPr>
      <w:tabs>
        <w:tab w:val="center" w:pos="4535"/>
        <w:tab w:val="right" w:pos="9071"/>
      </w:tabs>
      <w:spacing w:before="0"/>
    </w:pPr>
  </w:style>
  <w:style w:type="paragraph" w:customStyle="1" w:styleId="HeaderLandscape">
    <w:name w:val="HeaderLandscape"/>
    <w:basedOn w:val="Normal"/>
    <w:rsid w:val="00716E63"/>
    <w:pPr>
      <w:tabs>
        <w:tab w:val="center" w:pos="7285"/>
        <w:tab w:val="right" w:pos="14003"/>
      </w:tabs>
      <w:spacing w:before="0"/>
    </w:pPr>
  </w:style>
  <w:style w:type="paragraph" w:styleId="Footer">
    <w:name w:val="footer"/>
    <w:basedOn w:val="Normal"/>
    <w:link w:val="FooterChar"/>
    <w:uiPriority w:val="99"/>
    <w:unhideWhenUsed/>
    <w:rsid w:val="00716E6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16E6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4436">
      <w:bodyDiv w:val="1"/>
      <w:marLeft w:val="0"/>
      <w:marRight w:val="0"/>
      <w:marTop w:val="0"/>
      <w:marBottom w:val="0"/>
      <w:divBdr>
        <w:top w:val="none" w:sz="0" w:space="0" w:color="auto"/>
        <w:left w:val="none" w:sz="0" w:space="0" w:color="auto"/>
        <w:bottom w:val="none" w:sz="0" w:space="0" w:color="auto"/>
        <w:right w:val="none" w:sz="0" w:space="0" w:color="auto"/>
      </w:divBdr>
    </w:div>
    <w:div w:id="609824725">
      <w:bodyDiv w:val="1"/>
      <w:marLeft w:val="0"/>
      <w:marRight w:val="0"/>
      <w:marTop w:val="0"/>
      <w:marBottom w:val="0"/>
      <w:divBdr>
        <w:top w:val="none" w:sz="0" w:space="0" w:color="auto"/>
        <w:left w:val="none" w:sz="0" w:space="0" w:color="auto"/>
        <w:bottom w:val="none" w:sz="0" w:space="0" w:color="auto"/>
        <w:right w:val="none" w:sz="0" w:space="0" w:color="auto"/>
      </w:divBdr>
    </w:div>
    <w:div w:id="890726172">
      <w:bodyDiv w:val="1"/>
      <w:marLeft w:val="0"/>
      <w:marRight w:val="0"/>
      <w:marTop w:val="0"/>
      <w:marBottom w:val="0"/>
      <w:divBdr>
        <w:top w:val="none" w:sz="0" w:space="0" w:color="auto"/>
        <w:left w:val="none" w:sz="0" w:space="0" w:color="auto"/>
        <w:bottom w:val="none" w:sz="0" w:space="0" w:color="auto"/>
        <w:right w:val="none" w:sz="0" w:space="0" w:color="auto"/>
      </w:divBdr>
    </w:div>
    <w:div w:id="92472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5DB44-75CC-4163-8C2F-E6393774F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B32CF-4263-4539-9CBD-F09018448098}">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3.xml><?xml version="1.0" encoding="utf-8"?>
<ds:datastoreItem xmlns:ds="http://schemas.openxmlformats.org/officeDocument/2006/customXml" ds:itemID="{E54779E3-1EFE-4CA7-9177-052705BF741D}">
  <ds:schemaRefs>
    <ds:schemaRef ds:uri="http://schemas.microsoft.com/sharepoint/v3/contenttype/forms"/>
  </ds:schemaRefs>
</ds:datastoreItem>
</file>

<file path=customXml/itemProps4.xml><?xml version="1.0" encoding="utf-8"?>
<ds:datastoreItem xmlns:ds="http://schemas.openxmlformats.org/officeDocument/2006/customXml" ds:itemID="{F13FFD37-D459-41A4-BEDB-1984DC8C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10</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cp:lastPrinted>2024-03-21T18:33:00Z</cp:lastPrinted>
  <dcterms:created xsi:type="dcterms:W3CDTF">2024-04-05T15:57:00Z</dcterms:created>
  <dcterms:modified xsi:type="dcterms:W3CDTF">2024-04-16T16:17:00Z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2023-02-10T14:18:03Z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88c0a876-4df4-4171-8f2e-853553a00815</vt:lpwstr>
  </property>
  <property fmtid="{D5CDD505-2E9C-101B-9397-08002B2CF9AE}" pid="11" name="MSIP_Label_6bd9ddd1-4d20-43f6-abfa-fc3c07406f94_ContentBits">
    <vt:lpwstr>0</vt:lpwstr>
  </property>
  <property fmtid="{D5CDD505-2E9C-101B-9397-08002B2CF9AE}" pid="12" name="Created using">
    <vt:lpwstr>LW 8.1, Build 20230124</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SG-001</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Yellow (DQC version 03)</vt:lpwstr>
  </property>
</Properties>
</file>